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8"/>
        </w:rPr>
        <w:t>SIH26166 — Chandrayaan-2 Image Correspondence</w:t>
      </w:r>
    </w:p>
    <w:p>
      <w:pPr>
        <w:jc w:val="center"/>
      </w:pPr>
      <w:r>
        <w:rPr>
          <w:b/>
          <w:sz w:val="32"/>
        </w:rPr>
        <w:t>Phased Project Roadmap: MVP → SIH-Grade System</w:t>
      </w:r>
    </w:p>
    <w:p>
      <w:pPr>
        <w:jc w:val="center"/>
      </w:pPr>
      <w:r>
        <w:rPr>
          <w:i/>
          <w:sz w:val="22"/>
        </w:rPr>
        <w:t>Multi-modal, Sun-angle and Scale-invariant image correspondence using OHRC, TMC-2 and IIRS</w:t>
      </w:r>
    </w:p>
    <w:p>
      <w:pPr>
        <w:jc w:val="center"/>
      </w:pPr>
      <w:r>
        <w:rPr>
          <w:sz w:val="20"/>
        </w:rPr>
        <w:t>Prepared for team planning and proctor/demo execution</w:t>
      </w:r>
    </w:p>
    <w:p/>
    <w:p>
      <w:r>
        <w:rPr>
          <w:b/>
        </w:rPr>
        <w:t xml:space="preserve">Official SIH problem-statement page: </w:t>
      </w:r>
      <w:hyperlink r:id="rId9">
        <w:r>
          <w:rPr>
            <w:color w:val="0563C1"/>
            <w:u w:val="single"/>
          </w:rPr>
          <w:t>https://sih.gov.in/sih2026PS</w:t>
        </w:r>
      </w:hyperlink>
    </w:p>
    <w:p>
      <w:r>
        <w:rPr>
          <w:b/>
        </w:rPr>
        <w:t xml:space="preserve">Primary ISRO payload reference: </w:t>
      </w:r>
      <w:hyperlink r:id="rId10">
        <w:r>
          <w:rPr>
            <w:color w:val="0563C1"/>
            <w:u w:val="single"/>
          </w:rPr>
          <w:t>Chandrayaan-2 payload/science pages</w:t>
        </w:r>
      </w:hyperlink>
    </w:p>
    <w:p/>
    <w:p>
      <w:pPr>
        <w:pStyle w:val="Heading1"/>
      </w:pPr>
      <w:r>
        <w:t>1. Executive Summary</w:t>
      </w:r>
    </w:p>
    <w:p>
      <w:r>
        <w:t>The fastest credible route to a proctor-ready demonstration is to build one complete correspondence-and-registration pipeline before attempting the full three-sensor problem. The recommended MVP uses a Chandrayaan-2 optical pair (preferably OHRC ↔ TMC-2 when a suitable common-area pair is available), establishes image correspondences, rejects bad matches geometrically, estimates a transformation, warps the source image, and reports match/registration metrics. This directly demonstrates the central capability of the problem statement.</w:t>
      </w:r>
    </w:p>
    <w:p>
      <w:r>
        <w:t>After the MVP, the project should grow in controlled phases: (1) robust optical registration, (2) multimodal registration with RIFT2 and learned matchers, (3) IIRS hyperspectral handling and spectral-to-spatial correspondence, and (4) sub-pixel refinement, spatially balanced control points, benchmarking, packaging and deployment.</w:t>
      </w:r>
    </w:p>
    <w:p>
      <w:pPr>
        <w:pStyle w:val="Heading1"/>
      </w:pPr>
      <w:r>
        <w:t>2. What the Software Must Ultimately Produce</w:t>
      </w:r>
    </w:p>
    <w:tbl>
      <w:tblPr>
        <w:tblW w:type="auto" w:w="0"/>
        <w:jc w:val="center"/>
        <w:tblLook w:firstColumn="1" w:firstRow="1" w:lastColumn="0" w:lastRow="0" w:noHBand="0" w:noVBand="1" w:val="04A0"/>
      </w:tblPr>
      <w:tblGrid>
        <w:gridCol w:w="8640"/>
      </w:tblGrid>
      <w:tr>
        <w:tc>
          <w:tcPr>
            <w:tcW w:type="dxa" w:w="8640"/>
            <w:shd w:fill="F3F4F6"/>
          </w:tcPr>
          <w:p>
            <w:r>
              <w:rPr>
                <w:rFonts w:ascii="Courier New" w:hAnsi="Courier New"/>
                <w:sz w:val="17"/>
              </w:rPr>
              <w:t>SOURCE IMAGE + REFERENCE IMAGE</w:t>
              <w:br/>
              <w:t xml:space="preserve">           │</w:t>
              <w:br/>
              <w:t xml:space="preserve">           ▼</w:t>
              <w:br/>
              <w:t xml:space="preserve">     Correspondence Engine</w:t>
              <w:br/>
              <w:t xml:space="preserve">           │</w:t>
              <w:br/>
              <w:t xml:space="preserve">           ├── matching point pairs</w:t>
              <w:br/>
              <w:t xml:space="preserve">           │      (x_source, y_source) ↔ (x_ref, y_ref)</w:t>
              <w:br/>
              <w:t xml:space="preserve">           │</w:t>
              <w:br/>
              <w:t xml:space="preserve">           ├── confidence / descriptor score</w:t>
              <w:br/>
              <w:t xml:space="preserve">           │</w:t>
              <w:br/>
              <w:t xml:space="preserve">           ├── geometrically verified inliers</w:t>
              <w:br/>
              <w:t xml:space="preserve">           │</w:t>
              <w:br/>
              <w:t xml:space="preserve">           └── transformation model</w:t>
              <w:br/>
              <w:t xml:space="preserve">                    │</w:t>
              <w:br/>
              <w:t xml:space="preserve">                    ▼</w:t>
              <w:br/>
              <w:t xml:space="preserve">               REGISTER / WARP</w:t>
              <w:br/>
              <w:t xml:space="preserve">                    │</w:t>
              <w:br/>
              <w:t xml:space="preserve">                    ▼</w:t>
              <w:br/>
              <w:t xml:space="preserve">       REGISTERED SOURCE IMAGE</w:t>
              <w:br/>
              <w:t xml:space="preserve">                    +</w:t>
              <w:br/>
              <w:t xml:space="preserve">       MATCH POINTS + METRICS</w:t>
            </w:r>
          </w:p>
        </w:tc>
      </w:tr>
    </w:tbl>
    <w:p/>
    <w:p>
      <w:r>
        <w:t>Correspondence is the central output: a point in the source image is linked to the same physical terrain location in the reference image. The registered image is a downstream product created from many reliable correspondences.</w:t>
      </w:r>
    </w:p>
    <w:p>
      <w:pPr>
        <w:pStyle w:val="Heading1"/>
      </w:pPr>
      <w:r>
        <w:t>3. Sensor and Data Context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9EAF7"/>
          </w:tcPr>
          <w:p>
            <w:r/>
            <w:r>
              <w:rPr>
                <w:b/>
                <w:sz w:val="18"/>
              </w:rPr>
              <w:t>Sensor</w:t>
            </w:r>
          </w:p>
        </w:tc>
        <w:tc>
          <w:tcPr>
            <w:tcW w:type="dxa" w:w="2160"/>
            <w:vAlign w:val="center"/>
            <w:shd w:fill="D9EAF7"/>
          </w:tcPr>
          <w:p>
            <w:r/>
            <w:r>
              <w:rPr>
                <w:b/>
                <w:sz w:val="18"/>
              </w:rPr>
              <w:t>Type</w:t>
            </w:r>
          </w:p>
        </w:tc>
        <w:tc>
          <w:tcPr>
            <w:tcW w:type="dxa" w:w="2160"/>
            <w:vAlign w:val="center"/>
            <w:shd w:fill="D9EAF7"/>
          </w:tcPr>
          <w:p>
            <w:r/>
            <w:r>
              <w:rPr>
                <w:b/>
                <w:sz w:val="18"/>
              </w:rPr>
              <w:t>Approx. spatial/spectral characteristics</w:t>
            </w:r>
          </w:p>
        </w:tc>
        <w:tc>
          <w:tcPr>
            <w:tcW w:type="dxa" w:w="2160"/>
            <w:vAlign w:val="center"/>
            <w:shd w:fill="D9EAF7"/>
          </w:tcPr>
          <w:p>
            <w:r/>
            <w:r>
              <w:rPr>
                <w:b/>
                <w:sz w:val="18"/>
              </w:rPr>
              <w:t>Why it matters</w:t>
            </w:r>
          </w:p>
        </w:tc>
      </w:tr>
      <w:tr>
        <w:tc>
          <w:tcPr>
            <w:tcW w:type="dxa" w:w="2160"/>
            <w:vAlign w:val="center"/>
          </w:tcPr>
          <w:p>
            <w:r/>
            <w:r>
              <w:rPr>
                <w:b w:val="0"/>
                <w:sz w:val="17"/>
              </w:rPr>
              <w:t>OHRC</w:t>
            </w:r>
          </w:p>
        </w:tc>
        <w:tc>
          <w:tcPr>
            <w:tcW w:type="dxa" w:w="2160"/>
            <w:vAlign w:val="center"/>
          </w:tcPr>
          <w:p>
            <w:r/>
            <w:r>
              <w:rPr>
                <w:b w:val="0"/>
                <w:sz w:val="17"/>
              </w:rPr>
              <w:t>Panchromatic optical</w:t>
            </w:r>
          </w:p>
        </w:tc>
        <w:tc>
          <w:tcPr>
            <w:tcW w:type="dxa" w:w="2160"/>
            <w:vAlign w:val="center"/>
          </w:tcPr>
          <w:p>
            <w:r/>
            <w:r>
              <w:rPr>
                <w:b w:val="0"/>
                <w:sz w:val="17"/>
              </w:rPr>
              <w:t>~0.32 m ground resolution; narrow high-detail imaging</w:t>
            </w:r>
          </w:p>
        </w:tc>
        <w:tc>
          <w:tcPr>
            <w:tcW w:type="dxa" w:w="2160"/>
            <w:vAlign w:val="center"/>
          </w:tcPr>
          <w:p>
            <w:r/>
            <w:r>
              <w:rPr>
                <w:b w:val="0"/>
                <w:sz w:val="17"/>
              </w:rPr>
              <w:t>Fine terrain detail; strong source for high-resolution registration.</w:t>
            </w:r>
          </w:p>
        </w:tc>
      </w:tr>
      <w:tr>
        <w:tc>
          <w:tcPr>
            <w:tcW w:type="dxa" w:w="2160"/>
            <w:vAlign w:val="center"/>
          </w:tcPr>
          <w:p>
            <w:r/>
            <w:r>
              <w:rPr>
                <w:b w:val="0"/>
                <w:sz w:val="17"/>
              </w:rPr>
              <w:t>TMC-2</w:t>
            </w:r>
          </w:p>
        </w:tc>
        <w:tc>
          <w:tcPr>
            <w:tcW w:type="dxa" w:w="2160"/>
            <w:vAlign w:val="center"/>
          </w:tcPr>
          <w:p>
            <w:r/>
            <w:r>
              <w:rPr>
                <w:b w:val="0"/>
                <w:sz w:val="17"/>
              </w:rPr>
              <w:t>Panchromatic optical</w:t>
            </w:r>
          </w:p>
        </w:tc>
        <w:tc>
          <w:tcPr>
            <w:tcW w:type="dxa" w:w="2160"/>
            <w:vAlign w:val="center"/>
          </w:tcPr>
          <w:p>
            <w:r/>
            <w:r>
              <w:rPr>
                <w:b w:val="0"/>
                <w:sz w:val="17"/>
              </w:rPr>
              <w:t>~5 m spatial resolution; ~20 km swath</w:t>
            </w:r>
          </w:p>
        </w:tc>
        <w:tc>
          <w:tcPr>
            <w:tcW w:type="dxa" w:w="2160"/>
            <w:vAlign w:val="center"/>
          </w:tcPr>
          <w:p>
            <w:r/>
            <w:r>
              <w:rPr>
                <w:b w:val="0"/>
                <w:sz w:val="17"/>
              </w:rPr>
              <w:t>Large-area terrain mapping and DEM/mosaic context.</w:t>
            </w:r>
          </w:p>
        </w:tc>
      </w:tr>
      <w:tr>
        <w:tc>
          <w:tcPr>
            <w:tcW w:type="dxa" w:w="2160"/>
            <w:vAlign w:val="center"/>
          </w:tcPr>
          <w:p>
            <w:r/>
            <w:r>
              <w:rPr>
                <w:b w:val="0"/>
                <w:sz w:val="17"/>
              </w:rPr>
              <w:t>IIRS</w:t>
            </w:r>
          </w:p>
        </w:tc>
        <w:tc>
          <w:tcPr>
            <w:tcW w:type="dxa" w:w="2160"/>
            <w:vAlign w:val="center"/>
          </w:tcPr>
          <w:p>
            <w:r/>
            <w:r>
              <w:rPr>
                <w:b w:val="0"/>
                <w:sz w:val="17"/>
              </w:rPr>
              <w:t>Hyperspectral optical</w:t>
            </w:r>
          </w:p>
        </w:tc>
        <w:tc>
          <w:tcPr>
            <w:tcW w:type="dxa" w:w="2160"/>
            <w:vAlign w:val="center"/>
          </w:tcPr>
          <w:p>
            <w:r/>
            <w:r>
              <w:rPr>
                <w:b w:val="0"/>
                <w:sz w:val="17"/>
              </w:rPr>
              <w:t>~0.8–5.0 μm; ~250 contiguous bands; ~80 m spatial resolution</w:t>
            </w:r>
          </w:p>
        </w:tc>
        <w:tc>
          <w:tcPr>
            <w:tcW w:type="dxa" w:w="2160"/>
            <w:vAlign w:val="center"/>
          </w:tcPr>
          <w:p>
            <w:r/>
            <w:r>
              <w:rPr>
                <w:b w:val="0"/>
                <w:sz w:val="17"/>
              </w:rPr>
              <w:t>Multimodal challenge: spectral information plus much coarser spatial scale.</w:t>
            </w:r>
          </w:p>
        </w:tc>
      </w:tr>
    </w:tbl>
    <w:p>
      <w:r>
        <w:rPr>
          <w:b/>
        </w:rPr>
        <w:t xml:space="preserve">ISRO source: </w:t>
      </w:r>
      <w:hyperlink r:id="rId10">
        <w:r>
          <w:rPr>
            <w:color w:val="0563C1"/>
            <w:u w:val="single"/>
          </w:rPr>
          <w:t>Chandrayaan-2 Science / Payloads</w:t>
        </w:r>
      </w:hyperlink>
    </w:p>
    <w:p>
      <w:pPr>
        <w:pStyle w:val="Heading1"/>
      </w:pPr>
      <w:r>
        <w:t>4. Data Strategy</w:t>
      </w:r>
    </w:p>
    <w:p>
      <w:r>
        <w:t>Use the official SIH-provided dataset first. Public Chandrayaan-2 data are archived by ISSDC in PDS4 format and disseminated through PRADAN. For development and additional validation, use public lunar reference imagery such as NASA LROC NAC/WAC. Do not assume the hidden SIH evaluation set is identical to the public datasets.</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r/>
            <w:r>
              <w:rPr>
                <w:b/>
                <w:sz w:val="18"/>
              </w:rPr>
              <w:t>Dataset / source</w:t>
            </w:r>
          </w:p>
        </w:tc>
        <w:tc>
          <w:tcPr>
            <w:tcW w:type="dxa" w:w="4320"/>
            <w:vAlign w:val="center"/>
            <w:shd w:fill="D9EAF7"/>
          </w:tcPr>
          <w:p>
            <w:r/>
            <w:r>
              <w:rPr>
                <w:b/>
                <w:sz w:val="18"/>
              </w:rPr>
              <w:t>Use in project</w:t>
            </w:r>
          </w:p>
        </w:tc>
      </w:tr>
      <w:tr>
        <w:tc>
          <w:tcPr>
            <w:tcW w:type="dxa" w:w="4320"/>
            <w:vAlign w:val="center"/>
          </w:tcPr>
          <w:p>
            <w:r/>
            <w:r>
              <w:rPr>
                <w:b/>
                <w:sz w:val="17"/>
              </w:rPr>
              <w:t>SIH26166 supplied dataset</w:t>
            </w:r>
          </w:p>
        </w:tc>
        <w:tc>
          <w:tcPr>
            <w:tcW w:type="dxa" w:w="4320"/>
            <w:vAlign w:val="center"/>
          </w:tcPr>
          <w:p>
            <w:r/>
            <w:r>
              <w:rPr>
                <w:b w:val="0"/>
                <w:sz w:val="17"/>
              </w:rPr>
              <w:t>Highest priority. Treat as the source of truth for file formats, image pairs, expected products and evaluation. The official problem page is the controlling reference; dataset links may require the team’s SIH portal access or provided materials.</w:t>
            </w:r>
          </w:p>
        </w:tc>
      </w:tr>
      <w:tr>
        <w:tc>
          <w:tcPr>
            <w:tcW w:type="dxa" w:w="4320"/>
            <w:vAlign w:val="center"/>
          </w:tcPr>
          <w:p>
            <w:r/>
            <w:r>
              <w:rPr>
                <w:b/>
                <w:sz w:val="17"/>
              </w:rPr>
              <w:t>Chandrayaan-2 / ISSDC / PRADAN</w:t>
            </w:r>
          </w:p>
        </w:tc>
        <w:tc>
          <w:tcPr>
            <w:tcW w:type="dxa" w:w="4320"/>
            <w:vAlign w:val="center"/>
          </w:tcPr>
          <w:p>
            <w:r/>
            <w:r>
              <w:rPr>
                <w:b w:val="0"/>
                <w:sz w:val="17"/>
              </w:rPr>
              <w:t>Official mission data archive. Chandrayaan-2 public data are released in PDS4 and made available through PRADAN.</w:t>
            </w:r>
          </w:p>
        </w:tc>
      </w:tr>
      <w:tr>
        <w:tc>
          <w:tcPr>
            <w:tcW w:type="dxa" w:w="4320"/>
            <w:vAlign w:val="center"/>
          </w:tcPr>
          <w:p>
            <w:r/>
            <w:r>
              <w:rPr>
                <w:b/>
                <w:sz w:val="17"/>
              </w:rPr>
              <w:t>NASA LROC NAC/WAC</w:t>
            </w:r>
          </w:p>
        </w:tc>
        <w:tc>
          <w:tcPr>
            <w:tcW w:type="dxa" w:w="4320"/>
            <w:vAlign w:val="center"/>
          </w:tcPr>
          <w:p>
            <w:r/>
            <w:r>
              <w:rPr>
                <w:b w:val="0"/>
                <w:sz w:val="17"/>
              </w:rPr>
              <w:t>Useful lunar reference imagery for experiments with cross-mission registration and for creating controlled benchmarks.</w:t>
            </w:r>
          </w:p>
        </w:tc>
      </w:tr>
    </w:tbl>
    <w:p/>
    <w:p>
      <w:r>
        <w:rPr>
          <w:b/>
        </w:rPr>
        <w:t xml:space="preserve">Official data archive links: </w:t>
      </w:r>
      <w:hyperlink r:id="rId11">
        <w:r>
          <w:rPr>
            <w:color w:val="0563C1"/>
            <w:u w:val="single"/>
          </w:rPr>
          <w:t>ISRO Chandrayaan-2 initial data release</w:t>
        </w:r>
      </w:hyperlink>
    </w:p>
    <w:p>
      <w:hyperlink r:id="rId12">
        <w:r>
          <w:rPr>
            <w:color w:val="0563C1"/>
            <w:u w:val="single"/>
          </w:rPr>
          <w:t>ISSDC PRADAN / Chandrayaan-2 data portal</w:t>
        </w:r>
      </w:hyperlink>
    </w:p>
    <w:p>
      <w:hyperlink r:id="rId13">
        <w:r>
          <w:rPr>
            <w:color w:val="0563C1"/>
            <w:u w:val="single"/>
          </w:rPr>
          <w:t>NASA PDS LROC NAC/WAC collection</w:t>
        </w:r>
      </w:hyperlink>
    </w:p>
    <w:p>
      <w:r>
        <w:br w:type="page"/>
      </w:r>
    </w:p>
    <w:p>
      <w:pPr>
        <w:pStyle w:val="Heading1"/>
      </w:pPr>
      <w:r>
        <w:t>Phase 1 — MVP for the Proctor / Demo Round</w:t>
      </w:r>
    </w:p>
    <w:p>
      <w:r>
        <w:rPr>
          <w:b/>
        </w:rPr>
        <w:t xml:space="preserve">Suggested duration: </w:t>
      </w:r>
      <w:r>
        <w:t>3–7 days (depending on dataset readiness)</w:t>
      </w:r>
    </w:p>
    <w:p>
      <w:pPr>
        <w:pStyle w:val="Heading2"/>
      </w:pPr>
      <w:r>
        <w:t>Goal</w:t>
      </w:r>
    </w:p>
    <w:p>
      <w:r>
        <w:t>Demonstrate a complete, automatic lunar-image correspondence and registration loop with one realistic image pair. The demo must visibly show correspondences, RANSAC inliers, the estimated transformation and the registered image. The MVP should prioritize reliability and explainability over novelty.</w:t>
      </w:r>
    </w:p>
    <w:p>
      <w:pPr>
        <w:pStyle w:val="Heading2"/>
      </w:pPr>
      <w:r>
        <w:t>Roadmap</w:t>
      </w:r>
    </w:p>
    <w:p>
      <w:pPr>
        <w:pStyle w:val="ListNumber"/>
      </w:pPr>
      <w:r>
        <w:t>1) Obtain one clean common-area pair. Preferred first target: OHRC ↔ TMC-2 because both are panchromatic optical, while still forcing strong scale and geometry handling.</w:t>
      </w:r>
    </w:p>
    <w:p>
      <w:pPr>
        <w:pStyle w:val="ListNumber"/>
      </w:pPr>
      <w:r>
        <w:t>2) Normalize inputs: grayscale conversion if necessary, contrast normalization, optional CLAHE, downsample/crop to a manageable working size while preserving metadata and original dimensions.</w:t>
      </w:r>
    </w:p>
    <w:p>
      <w:pPr>
        <w:pStyle w:val="ListNumber"/>
      </w:pPr>
      <w:r>
        <w:t>3) Detect local features with SIFT. Generate descriptors for both images.</w:t>
      </w:r>
    </w:p>
    <w:p>
      <w:pPr>
        <w:pStyle w:val="ListNumber"/>
      </w:pPr>
      <w:r>
        <w:t>4) Match descriptors using BFMatcher/FLANN with Lowe's ratio test; optionally add mutual-nearest-neighbour filtering.</w:t>
      </w:r>
    </w:p>
    <w:p>
      <w:pPr>
        <w:pStyle w:val="ListNumber"/>
      </w:pPr>
      <w:r>
        <w:t>5) Use RANSAC to estimate a homography or affine model. Visualize both raw matches and geometrically verified inliers.</w:t>
      </w:r>
    </w:p>
    <w:p>
      <w:pPr>
        <w:pStyle w:val="ListNumber"/>
      </w:pPr>
      <w:r>
        <w:t>6) Enforce spatial distribution by dividing the source image into a grid and selecting good matches across cells rather than allowing all points to cluster in one easy region.</w:t>
      </w:r>
    </w:p>
    <w:p>
      <w:pPr>
        <w:pStyle w:val="ListNumber"/>
      </w:pPr>
      <w:r>
        <w:t>7) Warp the source image into the reference frame and render an overlay/blink/difference view.</w:t>
      </w:r>
    </w:p>
    <w:p>
      <w:pPr>
        <w:pStyle w:val="ListNumber"/>
      </w:pPr>
      <w:r>
        <w:t>8) Report: total tentative matches, inliers, inlier ratio, transformation type, registration error when ground truth is available, and a simple spatial coverage score.</w:t>
      </w:r>
    </w:p>
    <w:p>
      <w:pPr>
        <w:pStyle w:val="ListNumber"/>
      </w:pPr>
      <w:r>
        <w:t>9) Package as a single Streamlit application with image upload/selection and one-click 'Register'.</w:t>
      </w:r>
    </w:p>
    <w:p>
      <w:pPr>
        <w:pStyle w:val="Heading2"/>
      </w:pPr>
      <w:r>
        <w:t>Dataset details</w:t>
      </w:r>
    </w:p>
    <w:p>
      <w:pPr>
        <w:pStyle w:val="ListBullet"/>
      </w:pPr>
      <w:r>
        <w:t>Official SIH-provided dataset or image pair — use first.</w:t>
      </w:r>
    </w:p>
    <w:p>
      <w:pPr>
        <w:pStyle w:val="ListBullet"/>
      </w:pPr>
      <w:r>
        <w:t>ISRO Chandrayaan-2 public products from PRADAN / ISSDC for additional examples.</w:t>
      </w:r>
    </w:p>
    <w:p>
      <w:pPr>
        <w:pStyle w:val="ListBullet"/>
      </w:pPr>
      <w:r>
        <w:t>Do not train on IIRS yet; the first demo can be optical-to-optical.</w:t>
      </w:r>
    </w:p>
    <w:p>
      <w:pPr>
        <w:pStyle w:val="Heading2"/>
      </w:pPr>
      <w:r>
        <w:t>Tech stack</w:t>
      </w:r>
    </w:p>
    <w:p>
      <w:pPr>
        <w:pStyle w:val="ListBullet"/>
      </w:pPr>
      <w:r>
        <w:t>Python 3.11+</w:t>
      </w:r>
    </w:p>
    <w:p>
      <w:pPr>
        <w:pStyle w:val="ListBullet"/>
      </w:pPr>
      <w:r>
        <w:t>OpenCV (SIFT, BF/FLANN, RANSAC, warping)</w:t>
      </w:r>
    </w:p>
    <w:p>
      <w:pPr>
        <w:pStyle w:val="ListBullet"/>
      </w:pPr>
      <w:r>
        <w:t>NumPy</w:t>
      </w:r>
    </w:p>
    <w:p>
      <w:pPr>
        <w:pStyle w:val="ListBullet"/>
      </w:pPr>
      <w:r>
        <w:t>Rasterio/GDAL for GeoTIFF/metadata handling where required</w:t>
      </w:r>
    </w:p>
    <w:p>
      <w:pPr>
        <w:pStyle w:val="ListBullet"/>
      </w:pPr>
      <w:r>
        <w:t>Matplotlib for research plots</w:t>
      </w:r>
    </w:p>
    <w:p>
      <w:pPr>
        <w:pStyle w:val="ListBullet"/>
      </w:pPr>
      <w:r>
        <w:t>Streamlit for the fastest demo UI</w:t>
      </w:r>
    </w:p>
    <w:p>
      <w:pPr>
        <w:pStyle w:val="ListBullet"/>
      </w:pPr>
      <w:r>
        <w:t>Git + GitHub for versioning</w:t>
      </w:r>
    </w:p>
    <w:p>
      <w:pPr>
        <w:pStyle w:val="Heading2"/>
      </w:pPr>
      <w:r>
        <w:t>Procedure</w:t>
      </w:r>
    </w:p>
    <w:p>
      <w:pPr>
        <w:pStyle w:val="ListNumber"/>
      </w:pPr>
      <w:r>
        <w:t>Load source and reference images and validate that both are readable.</w:t>
      </w:r>
    </w:p>
    <w:p>
      <w:pPr>
        <w:pStyle w:val="ListNumber"/>
      </w:pPr>
      <w:r>
        <w:t>Keep original resolution/metadata, but create a working-resolution pyramid for matching.</w:t>
      </w:r>
    </w:p>
    <w:p>
      <w:pPr>
        <w:pStyle w:val="ListNumber"/>
      </w:pPr>
      <w:r>
        <w:t>Apply grayscale/contrast normalization and optional CLAHE.</w:t>
      </w:r>
    </w:p>
    <w:p>
      <w:pPr>
        <w:pStyle w:val="ListNumber"/>
      </w:pPr>
      <w:r>
        <w:t>Run SIFT and descriptor extraction.</w:t>
      </w:r>
    </w:p>
    <w:p>
      <w:pPr>
        <w:pStyle w:val="ListNumber"/>
      </w:pPr>
      <w:r>
        <w:t>Match descriptors, apply ratio test and mutual-consistency filtering.</w:t>
      </w:r>
    </w:p>
    <w:p>
      <w:pPr>
        <w:pStyle w:val="ListNumber"/>
      </w:pPr>
      <w:r>
        <w:t>Run RANSAC; retain the inlier correspondences and transformation.</w:t>
      </w:r>
    </w:p>
    <w:p>
      <w:pPr>
        <w:pStyle w:val="ListNumber"/>
      </w:pPr>
      <w:r>
        <w:t>Apply a grid-based spatial selection pass to avoid concentration of matches.</w:t>
      </w:r>
    </w:p>
    <w:p>
      <w:pPr>
        <w:pStyle w:val="ListNumber"/>
      </w:pPr>
      <w:r>
        <w:t>Warp source into the reference frame.</w:t>
      </w:r>
    </w:p>
    <w:p>
      <w:pPr>
        <w:pStyle w:val="ListNumber"/>
      </w:pPr>
      <w:r>
        <w:t>Render three panes: source, reference, and correspondence/registered overlay.</w:t>
      </w:r>
    </w:p>
    <w:p>
      <w:pPr>
        <w:pStyle w:val="ListNumber"/>
      </w:pPr>
      <w:r>
        <w:t>Save results: registered image, source/reference point CSV/JSON, transformation matrix and metrics JSON.</w:t>
      </w:r>
    </w:p>
    <w:p>
      <w:pPr>
        <w:pStyle w:val="Heading2"/>
      </w:pPr>
      <w:r>
        <w:t>Relevant research / algorithms / links</w:t>
      </w:r>
    </w:p>
    <w:p>
      <w:pPr>
        <w:pStyle w:val="ListBullet"/>
      </w:pPr>
      <w:r>
        <w:rPr>
          <w:b/>
        </w:rPr>
        <w:t xml:space="preserve">SIFT — Distinctive Image Features from Scale-Invariant Keypoints (Lowe, 2004) — </w:t>
      </w:r>
      <w:hyperlink r:id="rId14">
        <w:r>
          <w:rPr>
            <w:color w:val="0563C1"/>
            <w:u w:val="single"/>
          </w:rPr>
          <w:t>https://www.cs.ubc.ca/~lowe/papers/ijcv04.pdf</w:t>
        </w:r>
      </w:hyperlink>
    </w:p>
    <w:p>
      <w:pPr>
        <w:pStyle w:val="ListBullet"/>
      </w:pPr>
      <w:r>
        <w:rPr>
          <w:b/>
        </w:rPr>
        <w:t xml:space="preserve">OpenCV feature matching / homography tutorials — </w:t>
      </w:r>
      <w:hyperlink r:id="rId15">
        <w:r>
          <w:rPr>
            <w:color w:val="0563C1"/>
            <w:u w:val="single"/>
          </w:rPr>
          <w:t>https://docs.opencv.org/4.x/d1/de0/tutorial_py_feature_homography.html</w:t>
        </w:r>
      </w:hyperlink>
    </w:p>
    <w:p>
      <w:pPr>
        <w:pStyle w:val="Heading2"/>
      </w:pPr>
      <w:r>
        <w:t>Acceptance criteria</w:t>
      </w:r>
    </w:p>
    <w:p>
      <w:pPr>
        <w:pStyle w:val="ListBullet"/>
      </w:pPr>
      <w:r>
        <w:t>One-click demo completes without manual point clicking.</w:t>
      </w:r>
    </w:p>
    <w:p>
      <w:pPr>
        <w:pStyle w:val="ListBullet"/>
      </w:pPr>
      <w:r>
        <w:t>At least one image pair produces visually convincing, geometrically coherent inlier matches.</w:t>
      </w:r>
    </w:p>
    <w:p>
      <w:pPr>
        <w:pStyle w:val="ListBullet"/>
      </w:pPr>
      <w:r>
        <w:t>Registered overlay clearly aligns major terrain structures.</w:t>
      </w:r>
    </w:p>
    <w:p>
      <w:pPr>
        <w:pStyle w:val="ListBullet"/>
      </w:pPr>
      <w:r>
        <w:t>All match coordinates are exportable.</w:t>
      </w:r>
    </w:p>
    <w:p>
      <w:pPr>
        <w:pStyle w:val="ListBullet"/>
      </w:pPr>
      <w:r>
        <w:t>Dashboard shows inlier count and inlier ratio.</w:t>
      </w:r>
    </w:p>
    <w:p>
      <w:pPr>
        <w:pStyle w:val="ListBullet"/>
      </w:pPr>
      <w:r>
        <w:t>Demo can run on a normal laptop without a GPU.</w:t>
      </w:r>
    </w:p>
    <w:p>
      <w:pPr>
        <w:pStyle w:val="Heading2"/>
      </w:pPr>
      <w:r>
        <w:t>Do NOT add yet</w:t>
      </w:r>
    </w:p>
    <w:p>
      <w:pPr>
        <w:pStyle w:val="ListBullet"/>
      </w:pPr>
      <w:r>
        <w:t>Do not build a custom neural network.</w:t>
      </w:r>
    </w:p>
    <w:p>
      <w:pPr>
        <w:pStyle w:val="ListBullet"/>
      </w:pPr>
      <w:r>
        <w:t>Do not implement the full IIRS hyperspectral pipeline.</w:t>
      </w:r>
    </w:p>
    <w:p>
      <w:pPr>
        <w:pStyle w:val="ListBullet"/>
      </w:pPr>
      <w:r>
        <w:t>Do not spend time on user accounts, cloud auth, mobile apps or elaborate 3D rendering.</w:t>
      </w:r>
    </w:p>
    <w:p>
      <w:r>
        <w:br w:type="page"/>
      </w:r>
    </w:p>
    <w:p>
      <w:pPr>
        <w:pStyle w:val="Heading1"/>
      </w:pPr>
      <w:r>
        <w:t>Phase 2 — Robust Optical Registration</w:t>
      </w:r>
    </w:p>
    <w:p>
      <w:r>
        <w:rPr>
          <w:b/>
        </w:rPr>
        <w:t xml:space="preserve">Suggested duration: </w:t>
      </w:r>
      <w:r>
        <w:t>1–2 weeks</w:t>
      </w:r>
    </w:p>
    <w:p>
      <w:pPr>
        <w:pStyle w:val="Heading2"/>
      </w:pPr>
      <w:r>
        <w:t>Goal</w:t>
      </w:r>
    </w:p>
    <w:p>
      <w:r>
        <w:t>Turn the MVP into a reliable optical registration engine that can survive wider changes in scale, rotation, illumination and viewpoint, and benchmark multiple algorithms instead of trusting a single matcher.</w:t>
      </w:r>
    </w:p>
    <w:p>
      <w:pPr>
        <w:pStyle w:val="Heading2"/>
      </w:pPr>
      <w:r>
        <w:t>Roadmap</w:t>
      </w:r>
    </w:p>
    <w:p>
      <w:pPr>
        <w:pStyle w:val="ListNumber"/>
      </w:pPr>
      <w:r>
        <w:t>1) Build a repeatable benchmark set from multiple OHRC↔TMC and/or OHRC↔lunar-reference pairs.</w:t>
      </w:r>
    </w:p>
    <w:p>
      <w:pPr>
        <w:pStyle w:val="ListNumber"/>
      </w:pPr>
      <w:r>
        <w:t>2) Add multi-scale image pyramids and metadata-aware pre-alignment when georeferencing information exists.</w:t>
      </w:r>
    </w:p>
    <w:p>
      <w:pPr>
        <w:pStyle w:val="ListNumber"/>
      </w:pPr>
      <w:r>
        <w:t>3) Compare SIFT, ASIFT and AKAZE under the same evaluation harness.</w:t>
      </w:r>
    </w:p>
    <w:p>
      <w:pPr>
        <w:pStyle w:val="ListNumber"/>
      </w:pPr>
      <w:r>
        <w:t>4) Add robust matching variants: cross-check, ratio tests, geometric pre-filtering and adaptive RANSAC thresholds.</w:t>
      </w:r>
    </w:p>
    <w:p>
      <w:pPr>
        <w:pStyle w:val="ListNumber"/>
      </w:pPr>
      <w:r>
        <w:t>5) Add coarse-to-fine registration: global alignment first, then local refinement.</w:t>
      </w:r>
    </w:p>
    <w:p>
      <w:pPr>
        <w:pStyle w:val="ListNumber"/>
      </w:pPr>
      <w:r>
        <w:t>6) Track metrics across equatorial vs polar / shadow-heavy examples.</w:t>
      </w:r>
    </w:p>
    <w:p>
      <w:pPr>
        <w:pStyle w:val="ListNumber"/>
      </w:pPr>
      <w:r>
        <w:t>7) Keep the simplest method that passes the benchmark; preserve a stronger method as fallback.</w:t>
      </w:r>
    </w:p>
    <w:p>
      <w:pPr>
        <w:pStyle w:val="Heading2"/>
      </w:pPr>
      <w:r>
        <w:t>Dataset details</w:t>
      </w:r>
    </w:p>
    <w:p>
      <w:pPr>
        <w:pStyle w:val="ListBullet"/>
      </w:pPr>
      <w:r>
        <w:t>Chandrayaan-2 OHRC and TMC-2 products from ISSDC/PRADAN.</w:t>
      </w:r>
    </w:p>
    <w:p>
      <w:pPr>
        <w:pStyle w:val="ListBullet"/>
      </w:pPr>
      <w:r>
        <w:t>NASA LROC NAC/WAC as a reference source for cross-mission registration experiments.</w:t>
      </w:r>
    </w:p>
    <w:p>
      <w:pPr>
        <w:pStyle w:val="ListBullet"/>
      </w:pPr>
      <w:r>
        <w:t>Construct a small curated benchmark with image-pair IDs, overlap percentage, illumination condition and expected transformation class.</w:t>
      </w:r>
    </w:p>
    <w:p>
      <w:pPr>
        <w:pStyle w:val="Heading2"/>
      </w:pPr>
      <w:r>
        <w:t>Tech stack</w:t>
      </w:r>
    </w:p>
    <w:p>
      <w:pPr>
        <w:pStyle w:val="ListBullet"/>
      </w:pPr>
      <w:r>
        <w:t>Python + OpenCV</w:t>
      </w:r>
    </w:p>
    <w:p>
      <w:pPr>
        <w:pStyle w:val="ListBullet"/>
      </w:pPr>
      <w:r>
        <w:t>Rasterio/GDAL + pyproj where coordinate systems/georeferencing are present</w:t>
      </w:r>
    </w:p>
    <w:p>
      <w:pPr>
        <w:pStyle w:val="ListBullet"/>
      </w:pPr>
      <w:r>
        <w:t>scikit-image for image-processing utilities</w:t>
      </w:r>
    </w:p>
    <w:p>
      <w:pPr>
        <w:pStyle w:val="ListBullet"/>
      </w:pPr>
      <w:r>
        <w:t>pandas for benchmark tables</w:t>
      </w:r>
    </w:p>
    <w:p>
      <w:pPr>
        <w:pStyle w:val="ListBullet"/>
      </w:pPr>
      <w:r>
        <w:t>Jupyter notebooks for experiments</w:t>
      </w:r>
    </w:p>
    <w:p>
      <w:pPr>
        <w:pStyle w:val="ListBullet"/>
      </w:pPr>
      <w:r>
        <w:t>Streamlit retained for visualization</w:t>
      </w:r>
    </w:p>
    <w:p>
      <w:pPr>
        <w:pStyle w:val="Heading2"/>
      </w:pPr>
      <w:r>
        <w:t>Procedure</w:t>
      </w:r>
    </w:p>
    <w:p>
      <w:pPr>
        <w:pStyle w:val="ListNumber"/>
      </w:pPr>
      <w:r>
        <w:t>Create a standardized preprocessing module with switches for normalization, CLAHE, blur suppression and shadow handling.</w:t>
      </w:r>
    </w:p>
    <w:p>
      <w:pPr>
        <w:pStyle w:val="ListNumber"/>
      </w:pPr>
      <w:r>
        <w:t>Run all matchers through the same API so they can be compared fairly.</w:t>
      </w:r>
    </w:p>
    <w:p>
      <w:pPr>
        <w:pStyle w:val="ListNumber"/>
      </w:pPr>
      <w:r>
        <w:t>Use RANSAC-based geometric verification for every method.</w:t>
      </w:r>
    </w:p>
    <w:p>
      <w:pPr>
        <w:pStyle w:val="ListNumber"/>
      </w:pPr>
      <w:r>
        <w:t>Record runtime, tentative matches, inliers, inlier ratio and RMSE where ground truth is available.</w:t>
      </w:r>
    </w:p>
    <w:p>
      <w:pPr>
        <w:pStyle w:val="ListNumber"/>
      </w:pPr>
      <w:r>
        <w:t>Generate a benchmark report and keep representative failure cases.</w:t>
      </w:r>
    </w:p>
    <w:p>
      <w:pPr>
        <w:pStyle w:val="ListNumber"/>
      </w:pPr>
      <w:r>
        <w:t>Use those failure cases to decide whether the next investment is RIFT2 or a learned matcher.</w:t>
      </w:r>
    </w:p>
    <w:p>
      <w:pPr>
        <w:pStyle w:val="Heading2"/>
      </w:pPr>
      <w:r>
        <w:t>Relevant research / algorithms / links</w:t>
      </w:r>
    </w:p>
    <w:p>
      <w:pPr>
        <w:pStyle w:val="ListBullet"/>
      </w:pPr>
      <w:r>
        <w:rPr>
          <w:b/>
        </w:rPr>
        <w:t xml:space="preserve">Image Registration of High Resolution Chandrayaan-2 Data, InGARSS 2024 — </w:t>
      </w:r>
      <w:hyperlink r:id="rId16">
        <w:r>
          <w:rPr>
            <w:color w:val="0563C1"/>
            <w:u w:val="single"/>
          </w:rPr>
          <w:t>https://doi.org/10.1109/InGARSS61818.2024.10984368</w:t>
        </w:r>
      </w:hyperlink>
    </w:p>
    <w:p>
      <w:pPr>
        <w:pStyle w:val="ListBullet"/>
      </w:pPr>
      <w:r>
        <w:rPr>
          <w:b/>
        </w:rPr>
        <w:t xml:space="preserve">Comparative Evaluation of Traditional and Deep Learning Feature Matching Algorithms using Chandrayaan-2 Lunar Data — </w:t>
      </w:r>
      <w:hyperlink r:id="rId17">
        <w:r>
          <w:rPr>
            <w:color w:val="0563C1"/>
            <w:u w:val="single"/>
          </w:rPr>
          <w:t>https://arxiv.org/abs/2509.04775</w:t>
        </w:r>
      </w:hyperlink>
    </w:p>
    <w:p>
      <w:pPr>
        <w:pStyle w:val="ListBullet"/>
      </w:pPr>
      <w:r>
        <w:rPr>
          <w:b/>
        </w:rPr>
        <w:t xml:space="preserve">ASIFT — An Algorithm for Fully Affine Invariant Comparison — </w:t>
      </w:r>
      <w:hyperlink r:id="rId18">
        <w:r>
          <w:rPr>
            <w:color w:val="0563C1"/>
            <w:u w:val="single"/>
          </w:rPr>
          <w:t>https://www.ipol.im/pub/art/2009/my-asift/</w:t>
        </w:r>
      </w:hyperlink>
    </w:p>
    <w:p>
      <w:pPr>
        <w:pStyle w:val="ListBullet"/>
      </w:pPr>
      <w:r>
        <w:rPr>
          <w:b/>
        </w:rPr>
        <w:t xml:space="preserve">AKAZE — Fast Explicit Diffusion for Accelerated Features in Nonlinear Scale Spaces — </w:t>
      </w:r>
      <w:hyperlink r:id="rId19">
        <w:r>
          <w:rPr>
            <w:color w:val="0563C1"/>
            <w:u w:val="single"/>
          </w:rPr>
          <w:t>https://www.bmva-archive.org.uk/bmvc/2013/Papers/paper0014/index.html</w:t>
        </w:r>
      </w:hyperlink>
    </w:p>
    <w:p>
      <w:pPr>
        <w:pStyle w:val="Heading2"/>
      </w:pPr>
      <w:r>
        <w:t>Acceptance criteria</w:t>
      </w:r>
    </w:p>
    <w:p>
      <w:pPr>
        <w:pStyle w:val="ListBullet"/>
      </w:pPr>
      <w:r>
        <w:t>Benchmark is reproducible from a config file.</w:t>
      </w:r>
    </w:p>
    <w:p>
      <w:pPr>
        <w:pStyle w:val="ListBullet"/>
      </w:pPr>
      <w:r>
        <w:t>At least 3 classical matchers can be compared on the same images.</w:t>
      </w:r>
    </w:p>
    <w:p>
      <w:pPr>
        <w:pStyle w:val="ListBullet"/>
      </w:pPr>
      <w:r>
        <w:t>Failure modes are documented rather than hidden.</w:t>
      </w:r>
    </w:p>
    <w:p>
      <w:pPr>
        <w:pStyle w:val="ListBullet"/>
      </w:pPr>
      <w:r>
        <w:t>The system can automatically choose a fallback matcher or flag low-confidence registration.</w:t>
      </w:r>
    </w:p>
    <w:p>
      <w:pPr>
        <w:pStyle w:val="ListBullet"/>
      </w:pPr>
      <w:r>
        <w:t>Geometrically incoherent matches are strongly reduced by verification.</w:t>
      </w:r>
    </w:p>
    <w:p>
      <w:pPr>
        <w:pStyle w:val="Heading2"/>
      </w:pPr>
      <w:r>
        <w:t>Do NOT add yet</w:t>
      </w:r>
    </w:p>
    <w:p>
      <w:pPr>
        <w:pStyle w:val="ListBullet"/>
      </w:pPr>
      <w:r>
        <w:t>Do not jump directly to end-to-end deep training.</w:t>
      </w:r>
    </w:p>
    <w:p>
      <w:pPr>
        <w:pStyle w:val="ListBullet"/>
      </w:pPr>
      <w:r>
        <w:t>Do not claim sub-pixel performance without an appropriate reference/ground truth.</w:t>
      </w:r>
    </w:p>
    <w:p>
      <w:r>
        <w:br w:type="page"/>
      </w:r>
    </w:p>
    <w:p>
      <w:pPr>
        <w:pStyle w:val="Heading1"/>
      </w:pPr>
      <w:r>
        <w:t>Phase 3 — Multimodal Matching: RIFT2 + Learned Matching</w:t>
      </w:r>
    </w:p>
    <w:p>
      <w:r>
        <w:rPr>
          <w:b/>
        </w:rPr>
        <w:t xml:space="preserve">Suggested duration: </w:t>
      </w:r>
      <w:r>
        <w:t>2–3 weeks</w:t>
      </w:r>
    </w:p>
    <w:p>
      <w:pPr>
        <w:pStyle w:val="Heading2"/>
      </w:pPr>
      <w:r>
        <w:t>Goal</w:t>
      </w:r>
    </w:p>
    <w:p>
      <w:r>
        <w:t>Address the hard part of the PS: non-linear radiometric differences between sensors/illumination conditions. Establish a multimodal feature-matching baseline and compare it to the optical-only baseline.</w:t>
      </w:r>
    </w:p>
    <w:p>
      <w:pPr>
        <w:pStyle w:val="Heading2"/>
      </w:pPr>
      <w:r>
        <w:t>Roadmap</w:t>
      </w:r>
    </w:p>
    <w:p>
      <w:pPr>
        <w:pStyle w:val="ListNumber"/>
      </w:pPr>
      <w:r>
        <w:t>1) Implement or integrate RIFT/RIFT2 as the primary multimodal classical baseline.</w:t>
      </w:r>
    </w:p>
    <w:p>
      <w:pPr>
        <w:pStyle w:val="ListNumber"/>
      </w:pPr>
      <w:r>
        <w:t>2) Compare RIFT2 against SIFT/ASIFT/AKAZE on deliberately difficult cross-sensor and illumination-changing pairs.</w:t>
      </w:r>
    </w:p>
    <w:p>
      <w:pPr>
        <w:pStyle w:val="ListNumber"/>
      </w:pPr>
      <w:r>
        <w:t>3) Add SuperGlue as a learned matcher where the input feature pipeline is compatible.</w:t>
      </w:r>
    </w:p>
    <w:p>
      <w:pPr>
        <w:pStyle w:val="ListNumber"/>
      </w:pPr>
      <w:r>
        <w:t>4) Experiment with LoFTR as a detector-free alternative for low-texture areas.</w:t>
      </w:r>
    </w:p>
    <w:p>
      <w:pPr>
        <w:pStyle w:val="ListNumber"/>
      </w:pPr>
      <w:r>
        <w:t>5) Keep a common evaluation harness so every method outputs standardized correspondences and metrics.</w:t>
      </w:r>
    </w:p>
    <w:p>
      <w:pPr>
        <w:pStyle w:val="ListNumber"/>
      </w:pPr>
      <w:r>
        <w:t>6) Build a model-selection layer: pick the cheapest method for easy cases and the stronger multimodal matcher for difficult cases.</w:t>
      </w:r>
    </w:p>
    <w:p>
      <w:pPr>
        <w:pStyle w:val="Heading2"/>
      </w:pPr>
      <w:r>
        <w:t>Dataset details</w:t>
      </w:r>
    </w:p>
    <w:p>
      <w:pPr>
        <w:pStyle w:val="ListBullet"/>
      </w:pPr>
      <w:r>
        <w:t>OHRC ↔ TMC-2 for cross-resolution optical testing.</w:t>
      </w:r>
    </w:p>
    <w:p>
      <w:pPr>
        <w:pStyle w:val="ListBullet"/>
      </w:pPr>
      <w:r>
        <w:t>OHRC ↔ LROC NAC/WAC for cross-mission and illumination variation.</w:t>
      </w:r>
    </w:p>
    <w:p>
      <w:pPr>
        <w:pStyle w:val="ListBullet"/>
      </w:pPr>
      <w:r>
        <w:t>Later introduce IIRS-derived representations once the IIRS pipeline is ready.</w:t>
      </w:r>
    </w:p>
    <w:p>
      <w:pPr>
        <w:pStyle w:val="ListBullet"/>
      </w:pPr>
      <w:r>
        <w:t>Use public RIFT2 sample data only to verify the implementation; final benchmarking should use lunar data.</w:t>
      </w:r>
    </w:p>
    <w:p>
      <w:pPr>
        <w:pStyle w:val="Heading2"/>
      </w:pPr>
      <w:r>
        <w:t>Tech stack</w:t>
      </w:r>
    </w:p>
    <w:p>
      <w:pPr>
        <w:pStyle w:val="ListBullet"/>
      </w:pPr>
      <w:r>
        <w:t>RIFT2 implementation</w:t>
      </w:r>
    </w:p>
    <w:p>
      <w:pPr>
        <w:pStyle w:val="ListBullet"/>
      </w:pPr>
      <w:r>
        <w:t>OpenCV for geometric verification</w:t>
      </w:r>
    </w:p>
    <w:p>
      <w:pPr>
        <w:pStyle w:val="ListBullet"/>
      </w:pPr>
      <w:r>
        <w:t>PyTorch for SuperGlue/LoFTR integration</w:t>
      </w:r>
    </w:p>
    <w:p>
      <w:pPr>
        <w:pStyle w:val="ListBullet"/>
      </w:pPr>
      <w:r>
        <w:t>CUDA GPU strongly recommended for learned matchers</w:t>
      </w:r>
    </w:p>
    <w:p>
      <w:pPr>
        <w:pStyle w:val="ListBullet"/>
      </w:pPr>
      <w:r>
        <w:t>Rasterio/GDAL for data I/O</w:t>
      </w:r>
    </w:p>
    <w:p>
      <w:pPr>
        <w:pStyle w:val="ListBullet"/>
      </w:pPr>
      <w:r>
        <w:t>FAISS/nearest-neighbour libraries only if the chosen architecture needs them</w:t>
      </w:r>
    </w:p>
    <w:p>
      <w:pPr>
        <w:pStyle w:val="Heading2"/>
      </w:pPr>
      <w:r>
        <w:t>Procedure</w:t>
      </w:r>
    </w:p>
    <w:p>
      <w:pPr>
        <w:pStyle w:val="ListNumber"/>
      </w:pPr>
      <w:r>
        <w:t>Start with RIFT2 because it explicitly targets multimodal/radiometric variation.</w:t>
      </w:r>
    </w:p>
    <w:p>
      <w:pPr>
        <w:pStyle w:val="ListNumber"/>
      </w:pPr>
      <w:r>
        <w:t>Run the same point-filtering and RANSAC back end as the classical baseline.</w:t>
      </w:r>
    </w:p>
    <w:p>
      <w:pPr>
        <w:pStyle w:val="ListNumber"/>
      </w:pPr>
      <w:r>
        <w:t>Add SuperGlue with a known feature extractor and ensure the coordinate conventions are preserved.</w:t>
      </w:r>
    </w:p>
    <w:p>
      <w:pPr>
        <w:pStyle w:val="ListNumber"/>
      </w:pPr>
      <w:r>
        <w:t>Test LoFTR on low-texture terrain and large viewpoint changes.</w:t>
      </w:r>
    </w:p>
    <w:p>
      <w:pPr>
        <w:pStyle w:val="ListNumber"/>
      </w:pPr>
      <w:r>
        <w:t>Compare quality versus runtime and memory.</w:t>
      </w:r>
    </w:p>
    <w:p>
      <w:pPr>
        <w:pStyle w:val="ListNumber"/>
      </w:pPr>
      <w:r>
        <w:t>Record the best method per scenario rather than forcing one algorithm to solve every case.</w:t>
      </w:r>
    </w:p>
    <w:p>
      <w:pPr>
        <w:pStyle w:val="Heading2"/>
      </w:pPr>
      <w:r>
        <w:t>Relevant research / algorithms / links</w:t>
      </w:r>
    </w:p>
    <w:p>
      <w:pPr>
        <w:pStyle w:val="ListBullet"/>
      </w:pPr>
      <w:r>
        <w:rPr>
          <w:b/>
        </w:rPr>
        <w:t xml:space="preserve">RIFT: Multi-modal Image Matching based on Radiation-Variation Insensitive Feature Transform — </w:t>
      </w:r>
      <w:hyperlink r:id="rId20">
        <w:r>
          <w:rPr>
            <w:color w:val="0563C1"/>
            <w:u w:val="single"/>
          </w:rPr>
          <w:t>https://doi.org/10.1109/TIP.2019.2915893</w:t>
        </w:r>
      </w:hyperlink>
    </w:p>
    <w:p>
      <w:pPr>
        <w:pStyle w:val="ListBullet"/>
      </w:pPr>
      <w:r>
        <w:rPr>
          <w:b/>
        </w:rPr>
        <w:t xml:space="preserve">RIFT2: Speeding-up RIFT with a New Rotation-Invariance Technique — </w:t>
      </w:r>
      <w:hyperlink r:id="rId21">
        <w:r>
          <w:rPr>
            <w:color w:val="0563C1"/>
            <w:u w:val="single"/>
          </w:rPr>
          <w:t>https://arxiv.org/abs/2303.00319</w:t>
        </w:r>
      </w:hyperlink>
    </w:p>
    <w:p>
      <w:pPr>
        <w:pStyle w:val="ListBullet"/>
      </w:pPr>
      <w:r>
        <w:rPr>
          <w:b/>
        </w:rPr>
        <w:t xml:space="preserve">RIFT2 reference implementation — </w:t>
      </w:r>
      <w:hyperlink r:id="rId22">
        <w:r>
          <w:rPr>
            <w:color w:val="0563C1"/>
            <w:u w:val="single"/>
          </w:rPr>
          <w:t>https://github.com/LJY-RS/RIFT2-multimodal-matching-rotation</w:t>
        </w:r>
      </w:hyperlink>
    </w:p>
    <w:p>
      <w:pPr>
        <w:pStyle w:val="ListBullet"/>
      </w:pPr>
      <w:r>
        <w:rPr>
          <w:b/>
        </w:rPr>
        <w:t xml:space="preserve">SuperGlue: Learning Feature Matching with Graph Neural Networks — </w:t>
      </w:r>
      <w:hyperlink r:id="rId23">
        <w:r>
          <w:rPr>
            <w:color w:val="0563C1"/>
            <w:u w:val="single"/>
          </w:rPr>
          <w:t>https://openaccess.thecvf.com/content_CVPR_2020/papers/Sarlin_SuperGlue_Learning_Feature_Matching_With_Graph_Neural_Networks_CVPR_2020_paper.pdf</w:t>
        </w:r>
      </w:hyperlink>
    </w:p>
    <w:p>
      <w:pPr>
        <w:pStyle w:val="ListBullet"/>
      </w:pPr>
      <w:r>
        <w:rPr>
          <w:b/>
        </w:rPr>
        <w:t xml:space="preserve">SuperGlue pretrained code — </w:t>
      </w:r>
      <w:hyperlink r:id="rId24">
        <w:r>
          <w:rPr>
            <w:color w:val="0563C1"/>
            <w:u w:val="single"/>
          </w:rPr>
          <w:t>https://github.com/magicleap/SuperGluePretrainedNetwork</w:t>
        </w:r>
      </w:hyperlink>
    </w:p>
    <w:p>
      <w:pPr>
        <w:pStyle w:val="ListBullet"/>
      </w:pPr>
      <w:r>
        <w:rPr>
          <w:b/>
        </w:rPr>
        <w:t xml:space="preserve">LoFTR: Detector-Free Local Feature Matching with Transformers — </w:t>
      </w:r>
      <w:hyperlink r:id="rId25">
        <w:r>
          <w:rPr>
            <w:color w:val="0563C1"/>
            <w:u w:val="single"/>
          </w:rPr>
          <w:t>https://openaccess.thecvf.com/content/CVPR2021/papers/Sun_LoFTR_Detector-Free_Local_Feature_Matching_With_Transformers_CVPR_2021_paper.pdf</w:t>
        </w:r>
      </w:hyperlink>
    </w:p>
    <w:p>
      <w:pPr>
        <w:pStyle w:val="ListBullet"/>
      </w:pPr>
      <w:r>
        <w:rPr>
          <w:b/>
        </w:rPr>
        <w:t xml:space="preserve">LoFTR project/code — </w:t>
      </w:r>
      <w:hyperlink r:id="rId26">
        <w:r>
          <w:rPr>
            <w:color w:val="0563C1"/>
            <w:u w:val="single"/>
          </w:rPr>
          <w:t>https://zju3dv.github.io/loftr/</w:t>
        </w:r>
      </w:hyperlink>
    </w:p>
    <w:p>
      <w:pPr>
        <w:pStyle w:val="Heading2"/>
      </w:pPr>
      <w:r>
        <w:t>Acceptance criteria</w:t>
      </w:r>
    </w:p>
    <w:p>
      <w:pPr>
        <w:pStyle w:val="ListBullet"/>
      </w:pPr>
      <w:r>
        <w:t>At least one multimodal method clearly outperforms the MVP baseline on difficult image pairs.</w:t>
      </w:r>
    </w:p>
    <w:p>
      <w:pPr>
        <w:pStyle w:val="ListBullet"/>
      </w:pPr>
      <w:r>
        <w:t>Match visualization remains interpretable.</w:t>
      </w:r>
    </w:p>
    <w:p>
      <w:pPr>
        <w:pStyle w:val="ListBullet"/>
      </w:pPr>
      <w:r>
        <w:t>Learned matching is treated as an experiment with reproducible inference settings, not a black box.</w:t>
      </w:r>
    </w:p>
    <w:p>
      <w:pPr>
        <w:pStyle w:val="ListBullet"/>
      </w:pPr>
      <w:r>
        <w:t>A benchmark table records accuracy, runtime and memory.</w:t>
      </w:r>
    </w:p>
    <w:p>
      <w:pPr>
        <w:pStyle w:val="Heading2"/>
      </w:pPr>
      <w:r>
        <w:t>Do NOT add yet</w:t>
      </w:r>
    </w:p>
    <w:p>
      <w:pPr>
        <w:pStyle w:val="ListBullet"/>
      </w:pPr>
      <w:r>
        <w:t>Do not train SuperGlue/LoFTR from scratch without a suitable lunar training set.</w:t>
      </w:r>
    </w:p>
    <w:p>
      <w:pPr>
        <w:pStyle w:val="ListBullet"/>
      </w:pPr>
      <w:r>
        <w:t>Do not replace geometric verification with neural confidence alone.</w:t>
      </w:r>
    </w:p>
    <w:p>
      <w:r>
        <w:br w:type="page"/>
      </w:r>
    </w:p>
    <w:p>
      <w:pPr>
        <w:pStyle w:val="Heading1"/>
      </w:pPr>
      <w:r>
        <w:t>Phase 4 — IIRS Hyperspectral + Cross-Sensor Correspondence</w:t>
      </w:r>
    </w:p>
    <w:p>
      <w:r>
        <w:rPr>
          <w:b/>
        </w:rPr>
        <w:t xml:space="preserve">Suggested duration: </w:t>
      </w:r>
      <w:r>
        <w:t>2–4 weeks</w:t>
      </w:r>
    </w:p>
    <w:p>
      <w:pPr>
        <w:pStyle w:val="Heading2"/>
      </w:pPr>
      <w:r>
        <w:t>Goal</w:t>
      </w:r>
    </w:p>
    <w:p>
      <w:r>
        <w:t>Add the IIRS modality and make the system genuinely cross-sensor rather than only optical-to-optical.</w:t>
      </w:r>
    </w:p>
    <w:p>
      <w:pPr>
        <w:pStyle w:val="Heading2"/>
      </w:pPr>
      <w:r>
        <w:t>Roadmap</w:t>
      </w:r>
    </w:p>
    <w:p>
      <w:pPr>
        <w:pStyle w:val="ListNumber"/>
      </w:pPr>
      <w:r>
        <w:t>1) Ingest IIRS products and inspect their metadata, band structure and available georeferencing.</w:t>
      </w:r>
    </w:p>
    <w:p>
      <w:pPr>
        <w:pStyle w:val="ListNumber"/>
      </w:pPr>
      <w:r>
        <w:t>2) Define a spatial representation from IIRS before matching: candidate options include selected bands, PCA components, continuum-removed indices, or physically meaningful band composites.</w:t>
      </w:r>
    </w:p>
    <w:p>
      <w:pPr>
        <w:pStyle w:val="ListNumber"/>
      </w:pPr>
      <w:r>
        <w:t>3) Register the IIRS spatial representation to a higher-resolution optical/reference image at a suitable scale.</w:t>
      </w:r>
    </w:p>
    <w:p>
      <w:pPr>
        <w:pStyle w:val="ListNumber"/>
      </w:pPr>
      <w:r>
        <w:t>4) Use coarse georeferencing and overlap estimation to avoid impossible search regions.</w:t>
      </w:r>
    </w:p>
    <w:p>
      <w:pPr>
        <w:pStyle w:val="ListNumber"/>
      </w:pPr>
      <w:r>
        <w:t>5) Test RIFT2 and learned matchers on IIRS-derived representations.</w:t>
      </w:r>
    </w:p>
    <w:p>
      <w:pPr>
        <w:pStyle w:val="ListNumber"/>
      </w:pPr>
      <w:r>
        <w:t>6) Handle the many-to-one nature of cross-resolution correspondence: many fine-resolution pixels can map to a single coarse IIRS pixel or footprint.</w:t>
      </w:r>
    </w:p>
    <w:p>
      <w:pPr>
        <w:pStyle w:val="ListNumber"/>
      </w:pPr>
      <w:r>
        <w:t>7) Store correspondences in a common geographic/spatial reference and preserve sensor-specific coordinates.</w:t>
      </w:r>
    </w:p>
    <w:p>
      <w:pPr>
        <w:pStyle w:val="Heading2"/>
      </w:pPr>
      <w:r>
        <w:t>Dataset details</w:t>
      </w:r>
    </w:p>
    <w:p>
      <w:pPr>
        <w:pStyle w:val="ListBullet"/>
      </w:pPr>
      <w:r>
        <w:t>Official Chandrayaan-2 IIRS products from ISSDC/PRADAN.</w:t>
      </w:r>
    </w:p>
    <w:p>
      <w:pPr>
        <w:pStyle w:val="ListBullet"/>
      </w:pPr>
      <w:r>
        <w:t>IIRS has ~0.8–5.0 μm spectral coverage, ~250 contiguous bands and ~80 m spatial resolution according to ISRO; exact product levels and file structure must be taken from the released data.</w:t>
      </w:r>
    </w:p>
    <w:p>
      <w:pPr>
        <w:pStyle w:val="ListBullet"/>
      </w:pPr>
      <w:r>
        <w:t>Use OHRC/TMC/LROC as the higher-resolution spatial reference.</w:t>
      </w:r>
    </w:p>
    <w:p>
      <w:pPr>
        <w:pStyle w:val="ListBullet"/>
      </w:pPr>
      <w:r>
        <w:t>Use published Chandrayaan-2 IIRS-to-LROC registration work as an implementation reference.</w:t>
      </w:r>
    </w:p>
    <w:p>
      <w:pPr>
        <w:pStyle w:val="Heading2"/>
      </w:pPr>
      <w:r>
        <w:t>Tech stack</w:t>
      </w:r>
    </w:p>
    <w:p>
      <w:pPr>
        <w:pStyle w:val="ListBullet"/>
      </w:pPr>
      <w:r>
        <w:t>Python + NumPy</w:t>
      </w:r>
    </w:p>
    <w:p>
      <w:pPr>
        <w:pStyle w:val="ListBullet"/>
      </w:pPr>
      <w:r>
        <w:t>xarray or hyperspectral/PDS-aware tooling as needed</w:t>
      </w:r>
    </w:p>
    <w:p>
      <w:pPr>
        <w:pStyle w:val="ListBullet"/>
      </w:pPr>
      <w:r>
        <w:t>Rasterio/GDAL</w:t>
      </w:r>
    </w:p>
    <w:p>
      <w:pPr>
        <w:pStyle w:val="ListBullet"/>
      </w:pPr>
      <w:r>
        <w:t>scikit-learn PCA</w:t>
      </w:r>
    </w:p>
    <w:p>
      <w:pPr>
        <w:pStyle w:val="ListBullet"/>
      </w:pPr>
      <w:r>
        <w:t>PyTorch for learned matching</w:t>
      </w:r>
    </w:p>
    <w:p>
      <w:pPr>
        <w:pStyle w:val="ListBullet"/>
      </w:pPr>
      <w:r>
        <w:t>RIFT2 / SuperGlue / LoFTR candidates</w:t>
      </w:r>
    </w:p>
    <w:p>
      <w:pPr>
        <w:pStyle w:val="ListBullet"/>
      </w:pPr>
      <w:r>
        <w:t>GeoPandas/pyproj only if the project needs vector/geographic overlays</w:t>
      </w:r>
    </w:p>
    <w:p>
      <w:pPr>
        <w:pStyle w:val="Heading2"/>
      </w:pPr>
      <w:r>
        <w:t>Procedure</w:t>
      </w:r>
    </w:p>
    <w:p>
      <w:pPr>
        <w:pStyle w:val="ListNumber"/>
      </w:pPr>
      <w:r>
        <w:t>Identify the exact IIRS product level and band metadata before writing the matcher.</w:t>
      </w:r>
    </w:p>
    <w:p>
      <w:pPr>
        <w:pStyle w:val="ListNumber"/>
      </w:pPr>
      <w:r>
        <w:t>Collapse or transform the spectral cube into one or more spatially informative representations for the first experiment.</w:t>
      </w:r>
    </w:p>
    <w:p>
      <w:pPr>
        <w:pStyle w:val="ListNumber"/>
      </w:pPr>
      <w:r>
        <w:t>Estimate approximate overlap from metadata/geolocation when available.</w:t>
      </w:r>
    </w:p>
    <w:p>
      <w:pPr>
        <w:pStyle w:val="ListNumber"/>
      </w:pPr>
      <w:r>
        <w:t>Run coarse matching at IIRS scale.</w:t>
      </w:r>
    </w:p>
    <w:p>
      <w:pPr>
        <w:pStyle w:val="ListNumber"/>
      </w:pPr>
      <w:r>
        <w:t>Refine correspondence and retain the IIRS footprint/area associated with each point.</w:t>
      </w:r>
    </w:p>
    <w:p>
      <w:pPr>
        <w:pStyle w:val="ListNumber"/>
      </w:pPr>
      <w:r>
        <w:t>Verify the result against known terrain structures in the reference image.</w:t>
      </w:r>
    </w:p>
    <w:p>
      <w:pPr>
        <w:pStyle w:val="ListNumber"/>
      </w:pPr>
      <w:r>
        <w:t>Add a visualization mode that displays the IIRS-derived image beside the optical reference.</w:t>
      </w:r>
    </w:p>
    <w:p>
      <w:pPr>
        <w:pStyle w:val="Heading2"/>
      </w:pPr>
      <w:r>
        <w:t>Relevant research / algorithms / links</w:t>
      </w:r>
    </w:p>
    <w:p>
      <w:pPr>
        <w:pStyle w:val="ListBullet"/>
      </w:pPr>
      <w:r>
        <w:rPr>
          <w:b/>
        </w:rPr>
        <w:t xml:space="preserve">ISRO Chandrayaan-2 Science — IIRS/TMC-2/OHRC instrument characteristics — </w:t>
      </w:r>
      <w:hyperlink r:id="rId10">
        <w:r>
          <w:rPr>
            <w:color w:val="0563C1"/>
            <w:u w:val="single"/>
          </w:rPr>
          <w:t>https://www.isro.gov.in/ISRO_EN/Chandrayaan2_science.html</w:t>
        </w:r>
      </w:hyperlink>
    </w:p>
    <w:p>
      <w:pPr>
        <w:pStyle w:val="ListBullet"/>
      </w:pPr>
      <w:r>
        <w:rPr>
          <w:b/>
        </w:rPr>
        <w:t xml:space="preserve">Comparative Evaluation of Traditional and Deep Learning Feature Matching Algorithms using Chandrayaan-2 Lunar Data — </w:t>
      </w:r>
      <w:hyperlink r:id="rId17">
        <w:r>
          <w:rPr>
            <w:color w:val="0563C1"/>
            <w:u w:val="single"/>
          </w:rPr>
          <w:t>https://arxiv.org/abs/2509.04775</w:t>
        </w:r>
      </w:hyperlink>
    </w:p>
    <w:p>
      <w:pPr>
        <w:pStyle w:val="ListBullet"/>
      </w:pPr>
      <w:r>
        <w:rPr>
          <w:b/>
        </w:rPr>
        <w:t xml:space="preserve">NASA LROC PDS archive — NAC/WAC reference data — </w:t>
      </w:r>
      <w:hyperlink r:id="rId13">
        <w:r>
          <w:rPr>
            <w:color w:val="0563C1"/>
            <w:u w:val="single"/>
          </w:rPr>
          <w:t>https://pds.nasa.gov/ds-view/pds/viewCollection.jsp?identifier=urn%3Anasa%3Apds%3Alro-l-lroc-2-edr%3Alrolrc_0005_data</w:t>
        </w:r>
      </w:hyperlink>
    </w:p>
    <w:p>
      <w:pPr>
        <w:pStyle w:val="Heading2"/>
      </w:pPr>
      <w:r>
        <w:t>Acceptance criteria</w:t>
      </w:r>
    </w:p>
    <w:p>
      <w:pPr>
        <w:pStyle w:val="ListBullet"/>
      </w:pPr>
      <w:r>
        <w:t>IIRS data can be loaded and visualized without manual conversion.</w:t>
      </w:r>
    </w:p>
    <w:p>
      <w:pPr>
        <w:pStyle w:val="ListBullet"/>
      </w:pPr>
      <w:r>
        <w:t>At least one IIRS-to-reference pair produces stable, geometrically plausible correspondences.</w:t>
      </w:r>
    </w:p>
    <w:p>
      <w:pPr>
        <w:pStyle w:val="ListBullet"/>
      </w:pPr>
      <w:r>
        <w:t>The system explicitly records that IIRS pixels represent coarse spatial footprints rather than OHRC-scale point detail.</w:t>
      </w:r>
    </w:p>
    <w:p>
      <w:pPr>
        <w:pStyle w:val="ListBullet"/>
      </w:pPr>
      <w:r>
        <w:t>Cross-sensor results can be exported in a common coordinate convention.</w:t>
      </w:r>
    </w:p>
    <w:p>
      <w:pPr>
        <w:pStyle w:val="Heading2"/>
      </w:pPr>
      <w:r>
        <w:t>Do NOT add yet</w:t>
      </w:r>
    </w:p>
    <w:p>
      <w:pPr>
        <w:pStyle w:val="ListBullet"/>
      </w:pPr>
      <w:r>
        <w:t>Do not attempt to train a 250-band neural network immediately.</w:t>
      </w:r>
    </w:p>
    <w:p>
      <w:pPr>
        <w:pStyle w:val="ListBullet"/>
      </w:pPr>
      <w:r>
        <w:t>Do not use all spectral bands blindly; establish a scientifically justified representation first.</w:t>
      </w:r>
    </w:p>
    <w:p>
      <w:r>
        <w:br w:type="page"/>
      </w:r>
    </w:p>
    <w:p>
      <w:pPr>
        <w:pStyle w:val="Heading1"/>
      </w:pPr>
      <w:r>
        <w:t>Phase 5 — SIH-Grade Accuracy, Sub-Pixel Refinement and Final Product</w:t>
      </w:r>
    </w:p>
    <w:p>
      <w:r>
        <w:rPr>
          <w:b/>
        </w:rPr>
        <w:t xml:space="preserve">Suggested duration: </w:t>
      </w:r>
      <w:r>
        <w:t>2–4 weeks</w:t>
      </w:r>
    </w:p>
    <w:p>
      <w:pPr>
        <w:pStyle w:val="Heading2"/>
      </w:pPr>
      <w:r>
        <w:t>Goal</w:t>
      </w:r>
    </w:p>
    <w:p>
      <w:r>
        <w:t>Convert the research prototype into a robust, measurable and defensible system that directly addresses sub-pixel accuracy, spatially distributed correspondences, evaluation and deployment.</w:t>
      </w:r>
    </w:p>
    <w:p>
      <w:pPr>
        <w:pStyle w:val="Heading2"/>
      </w:pPr>
      <w:r>
        <w:t>Roadmap</w:t>
      </w:r>
    </w:p>
    <w:p>
      <w:pPr>
        <w:pStyle w:val="ListNumber"/>
      </w:pPr>
      <w:r>
        <w:t>1) Build a ground-truth/validation protocol using trusted registration products or manually verified control points on a representative holdout set.</w:t>
      </w:r>
    </w:p>
    <w:p>
      <w:pPr>
        <w:pStyle w:val="ListNumber"/>
      </w:pPr>
      <w:r>
        <w:t>2) Add sub-pixel refinement after coarse matching; candidates include local correlation/optimization, fine-level learned refinement or an Efficient LoFTR-style fine correlation stage.</w:t>
      </w:r>
    </w:p>
    <w:p>
      <w:pPr>
        <w:pStyle w:val="ListNumber"/>
      </w:pPr>
      <w:r>
        <w:t>3) Enforce spatial distribution using grid/quadtree selection and quality-aware point quotas.</w:t>
      </w:r>
    </w:p>
    <w:p>
      <w:pPr>
        <w:pStyle w:val="ListNumber"/>
      </w:pPr>
      <w:r>
        <w:t>4) Add confidence calibration and automatic rejection of low-quality registrations.</w:t>
      </w:r>
    </w:p>
    <w:p>
      <w:pPr>
        <w:pStyle w:val="ListNumber"/>
      </w:pPr>
      <w:r>
        <w:t>5) Evaluate RMSE, inlier count, inlier ratio, coverage, runtime and failure rate.</w:t>
      </w:r>
    </w:p>
    <w:p>
      <w:pPr>
        <w:pStyle w:val="ListNumber"/>
      </w:pPr>
      <w:r>
        <w:t>6) Separate training/development images from holdout images. Never tune directly on the final evaluation set.</w:t>
      </w:r>
    </w:p>
    <w:p>
      <w:pPr>
        <w:pStyle w:val="ListNumber"/>
      </w:pPr>
      <w:r>
        <w:t>7) Package the system as a reproducible application with saved model/config versions.</w:t>
      </w:r>
    </w:p>
    <w:p>
      <w:pPr>
        <w:pStyle w:val="ListNumber"/>
      </w:pPr>
      <w:r>
        <w:t>8) Prepare a proctor/final demo mode with a single-click pipeline and a technical mode with overlays, metrics and exported artifacts.</w:t>
      </w:r>
    </w:p>
    <w:p>
      <w:pPr>
        <w:pStyle w:val="Heading2"/>
      </w:pPr>
      <w:r>
        <w:t>Dataset details</w:t>
      </w:r>
    </w:p>
    <w:p>
      <w:pPr>
        <w:pStyle w:val="ListBullet"/>
      </w:pPr>
      <w:r>
        <w:t>Official SIH evaluation/demonstration data wherever provided.</w:t>
      </w:r>
    </w:p>
    <w:p>
      <w:pPr>
        <w:pStyle w:val="ListBullet"/>
      </w:pPr>
      <w:r>
        <w:t>Holdout lunar reference scenes from LROC NAC/WAC and Chandrayaan-2 sensors for internal benchmarking.</w:t>
      </w:r>
    </w:p>
    <w:p>
      <w:pPr>
        <w:pStyle w:val="ListBullet"/>
      </w:pPr>
      <w:r>
        <w:t>Preserve metadata, original pixel size, geolocation and sensor ID for every benchmark item.</w:t>
      </w:r>
    </w:p>
    <w:p>
      <w:pPr>
        <w:pStyle w:val="ListBullet"/>
      </w:pPr>
      <w:r>
        <w:t>Maintain a failure-case set for polar shadows, low texture, strong scale change and sensor mismatch.</w:t>
      </w:r>
    </w:p>
    <w:p>
      <w:pPr>
        <w:pStyle w:val="Heading2"/>
      </w:pPr>
      <w:r>
        <w:t>Tech stack</w:t>
      </w:r>
    </w:p>
    <w:p>
      <w:pPr>
        <w:pStyle w:val="ListBullet"/>
      </w:pPr>
      <w:r>
        <w:t>Efficient LoFTR or other fine-level correspondence refinement</w:t>
      </w:r>
    </w:p>
    <w:p>
      <w:pPr>
        <w:pStyle w:val="ListBullet"/>
      </w:pPr>
      <w:r>
        <w:t>RANSAC/USAC-style geometric verification</w:t>
      </w:r>
    </w:p>
    <w:p>
      <w:pPr>
        <w:pStyle w:val="ListBullet"/>
      </w:pPr>
      <w:r>
        <w:t>OpenCV / scikit-image</w:t>
      </w:r>
    </w:p>
    <w:p>
      <w:pPr>
        <w:pStyle w:val="ListBullet"/>
      </w:pPr>
      <w:r>
        <w:t>PyTorch + CUDA for learned components</w:t>
      </w:r>
    </w:p>
    <w:p>
      <w:pPr>
        <w:pStyle w:val="ListBullet"/>
      </w:pPr>
      <w:r>
        <w:t>Rasterio/GDAL</w:t>
      </w:r>
    </w:p>
    <w:p>
      <w:pPr>
        <w:pStyle w:val="ListBullet"/>
      </w:pPr>
      <w:r>
        <w:t>FastAPI optional for deployment; Streamlit or React for final front end</w:t>
      </w:r>
    </w:p>
    <w:p>
      <w:pPr>
        <w:pStyle w:val="ListBullet"/>
      </w:pPr>
      <w:r>
        <w:t>Docker for reproducible deployment</w:t>
      </w:r>
    </w:p>
    <w:p>
      <w:pPr>
        <w:pStyle w:val="Heading2"/>
      </w:pPr>
      <w:r>
        <w:t>Procedure</w:t>
      </w:r>
    </w:p>
    <w:p>
      <w:pPr>
        <w:pStyle w:val="ListNumber"/>
      </w:pPr>
      <w:r>
        <w:t>Define the final metrics before tuning.</w:t>
      </w:r>
    </w:p>
    <w:p>
      <w:pPr>
        <w:pStyle w:val="ListNumber"/>
      </w:pPr>
      <w:r>
        <w:t>Create a reference-control-point annotation protocol and store points in a machine-readable format.</w:t>
      </w:r>
    </w:p>
    <w:p>
      <w:pPr>
        <w:pStyle w:val="ListNumber"/>
      </w:pPr>
      <w:r>
        <w:t>Estimate coarse transformation, then perform local/sub-pixel refinement.</w:t>
      </w:r>
    </w:p>
    <w:p>
      <w:pPr>
        <w:pStyle w:val="ListNumber"/>
      </w:pPr>
      <w:r>
        <w:t>Score only final correspondences after all filtering.</w:t>
      </w:r>
    </w:p>
    <w:p>
      <w:pPr>
        <w:pStyle w:val="ListNumber"/>
      </w:pPr>
      <w:r>
        <w:t>Calculate coverage using spatial bins and report both accuracy and distribution.</w:t>
      </w:r>
    </w:p>
    <w:p>
      <w:pPr>
        <w:pStyle w:val="ListNumber"/>
      </w:pPr>
      <w:r>
        <w:t>Create automated regression tests so algorithm changes cannot silently degrade performance.</w:t>
      </w:r>
    </w:p>
    <w:p>
      <w:pPr>
        <w:pStyle w:val="ListNumber"/>
      </w:pPr>
      <w:r>
        <w:t>Package outputs: registered raster, point pairs CSV/JSON, transformation parameters, metric report and visual match map.</w:t>
      </w:r>
    </w:p>
    <w:p>
      <w:pPr>
        <w:pStyle w:val="Heading2"/>
      </w:pPr>
      <w:r>
        <w:t>Relevant research / algorithms / links</w:t>
      </w:r>
    </w:p>
    <w:p>
      <w:pPr>
        <w:pStyle w:val="ListBullet"/>
      </w:pPr>
      <w:r>
        <w:rPr>
          <w:b/>
        </w:rPr>
        <w:t xml:space="preserve">Efficient LoFTR: Semi-Dense Local Feature Matching with Sparse-Like Speed — </w:t>
      </w:r>
      <w:hyperlink r:id="rId27">
        <w:r>
          <w:rPr>
            <w:color w:val="0563C1"/>
            <w:u w:val="single"/>
          </w:rPr>
          <w:t>https://arxiv.org/abs/2403.04765</w:t>
        </w:r>
      </w:hyperlink>
    </w:p>
    <w:p>
      <w:pPr>
        <w:pStyle w:val="ListBullet"/>
      </w:pPr>
      <w:r>
        <w:rPr>
          <w:b/>
        </w:rPr>
        <w:t xml:space="preserve">Comparative Evaluation of Traditional and Deep Learning Feature Matching Algorithms using Chandrayaan-2 Lunar Data — </w:t>
      </w:r>
      <w:hyperlink r:id="rId17">
        <w:r>
          <w:rPr>
            <w:color w:val="0563C1"/>
            <w:u w:val="single"/>
          </w:rPr>
          <w:t>https://arxiv.org/abs/2509.04775</w:t>
        </w:r>
      </w:hyperlink>
    </w:p>
    <w:p>
      <w:pPr>
        <w:pStyle w:val="ListBullet"/>
      </w:pPr>
      <w:r>
        <w:rPr>
          <w:b/>
        </w:rPr>
        <w:t xml:space="preserve">OpenCV geometric image registration / homography documentation — </w:t>
      </w:r>
      <w:hyperlink r:id="rId28">
        <w:r>
          <w:rPr>
            <w:color w:val="0563C1"/>
            <w:u w:val="single"/>
          </w:rPr>
          <w:t>https://docs.opencv.org/4.x/d9/d0c/group__calib3d.html</w:t>
        </w:r>
      </w:hyperlink>
    </w:p>
    <w:p>
      <w:pPr>
        <w:pStyle w:val="Heading2"/>
      </w:pPr>
      <w:r>
        <w:t>Acceptance criteria</w:t>
      </w:r>
    </w:p>
    <w:p>
      <w:pPr>
        <w:pStyle w:val="ListBullet"/>
      </w:pPr>
      <w:r>
        <w:t>Sub-pixel metric is demonstrated on a validation set with known/reference correspondences.</w:t>
      </w:r>
    </w:p>
    <w:p>
      <w:pPr>
        <w:pStyle w:val="ListBullet"/>
      </w:pPr>
      <w:r>
        <w:t>Matches are spatially distributed rather than clustered.</w:t>
      </w:r>
    </w:p>
    <w:p>
      <w:pPr>
        <w:pStyle w:val="ListBullet"/>
      </w:pPr>
      <w:r>
        <w:t>Registered images are visually aligned and numerically evaluated.</w:t>
      </w:r>
    </w:p>
    <w:p>
      <w:pPr>
        <w:pStyle w:val="ListBullet"/>
      </w:pPr>
      <w:r>
        <w:t>Every result is reproducible from saved input IDs and configuration.</w:t>
      </w:r>
    </w:p>
    <w:p>
      <w:pPr>
        <w:pStyle w:val="ListBullet"/>
      </w:pPr>
      <w:r>
        <w:t>Final demo can run end-to-end without manual intervention.</w:t>
      </w:r>
    </w:p>
    <w:p>
      <w:pPr>
        <w:pStyle w:val="Heading2"/>
      </w:pPr>
      <w:r>
        <w:t>Do NOT add yet</w:t>
      </w:r>
    </w:p>
    <w:p>
      <w:pPr>
        <w:pStyle w:val="ListBullet"/>
      </w:pPr>
      <w:r>
        <w:t>Do not optimize for a single spectacular image.</w:t>
      </w:r>
    </w:p>
    <w:p>
      <w:pPr>
        <w:pStyle w:val="ListBullet"/>
      </w:pPr>
      <w:r>
        <w:t>Do not report only inlier count; report error and spatial coverage as well.</w:t>
      </w:r>
    </w:p>
    <w:p>
      <w:r>
        <w:br w:type="page"/>
      </w:r>
    </w:p>
    <w:p>
      <w:pPr>
        <w:pStyle w:val="Heading1"/>
      </w:pPr>
      <w:r>
        <w:t>8. Suggested Team Split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9EAF7"/>
          </w:tcPr>
          <w:p>
            <w:r/>
            <w:r>
              <w:rPr>
                <w:b/>
                <w:sz w:val="18"/>
              </w:rPr>
              <w:t>Role</w:t>
            </w:r>
          </w:p>
        </w:tc>
        <w:tc>
          <w:tcPr>
            <w:tcW w:type="dxa" w:w="2160"/>
            <w:vAlign w:val="center"/>
            <w:shd w:fill="D9EAF7"/>
          </w:tcPr>
          <w:p>
            <w:r/>
            <w:r>
              <w:rPr>
                <w:b/>
                <w:sz w:val="18"/>
              </w:rPr>
              <w:t>Primary responsibility</w:t>
            </w:r>
          </w:p>
        </w:tc>
        <w:tc>
          <w:tcPr>
            <w:tcW w:type="dxa" w:w="2160"/>
            <w:vAlign w:val="center"/>
            <w:shd w:fill="D9EAF7"/>
          </w:tcPr>
          <w:p>
            <w:r/>
            <w:r>
              <w:rPr>
                <w:b/>
                <w:sz w:val="18"/>
              </w:rPr>
              <w:t>Phases</w:t>
            </w:r>
          </w:p>
        </w:tc>
        <w:tc>
          <w:tcPr>
            <w:tcW w:type="dxa" w:w="2160"/>
            <w:vAlign w:val="center"/>
            <w:shd w:fill="D9EAF7"/>
          </w:tcPr>
          <w:p>
            <w:r/>
            <w:r>
              <w:rPr>
                <w:b/>
                <w:sz w:val="18"/>
              </w:rPr>
              <w:t>Key deliverables</w:t>
            </w:r>
          </w:p>
        </w:tc>
      </w:tr>
      <w:tr>
        <w:tc>
          <w:tcPr>
            <w:tcW w:type="dxa" w:w="2160"/>
            <w:vAlign w:val="center"/>
          </w:tcPr>
          <w:p>
            <w:r/>
            <w:r>
              <w:rPr>
                <w:b w:val="0"/>
                <w:sz w:val="17"/>
              </w:rPr>
              <w:t>CV / Registration</w:t>
            </w:r>
          </w:p>
        </w:tc>
        <w:tc>
          <w:tcPr>
            <w:tcW w:type="dxa" w:w="2160"/>
            <w:vAlign w:val="center"/>
          </w:tcPr>
          <w:p>
            <w:r/>
            <w:r>
              <w:rPr>
                <w:b w:val="0"/>
                <w:sz w:val="17"/>
              </w:rPr>
              <w:t>SIFT/AKAZE/RANSAC, transformations, spatial selection, metrics</w:t>
            </w:r>
          </w:p>
        </w:tc>
        <w:tc>
          <w:tcPr>
            <w:tcW w:type="dxa" w:w="2160"/>
            <w:vAlign w:val="center"/>
          </w:tcPr>
          <w:p>
            <w:r/>
            <w:r>
              <w:rPr>
                <w:b w:val="0"/>
                <w:sz w:val="17"/>
              </w:rPr>
              <w:t>1–5</w:t>
            </w:r>
          </w:p>
        </w:tc>
        <w:tc>
          <w:tcPr>
            <w:tcW w:type="dxa" w:w="2160"/>
            <w:vAlign w:val="center"/>
          </w:tcPr>
          <w:p>
            <w:r/>
            <w:r>
              <w:rPr>
                <w:b w:val="0"/>
                <w:sz w:val="17"/>
              </w:rPr>
              <w:t>Core matcher + registration engine</w:t>
            </w:r>
          </w:p>
        </w:tc>
      </w:tr>
      <w:tr>
        <w:tc>
          <w:tcPr>
            <w:tcW w:type="dxa" w:w="2160"/>
            <w:vAlign w:val="center"/>
          </w:tcPr>
          <w:p>
            <w:r/>
            <w:r>
              <w:rPr>
                <w:b w:val="0"/>
                <w:sz w:val="17"/>
              </w:rPr>
              <w:t>Remote Sensing / Data</w:t>
            </w:r>
          </w:p>
        </w:tc>
        <w:tc>
          <w:tcPr>
            <w:tcW w:type="dxa" w:w="2160"/>
            <w:vAlign w:val="center"/>
          </w:tcPr>
          <w:p>
            <w:r/>
            <w:r>
              <w:rPr>
                <w:b w:val="0"/>
                <w:sz w:val="17"/>
              </w:rPr>
              <w:t>PDS4/GeoTIFF handling, metadata, sensor characteristics, data curation</w:t>
            </w:r>
          </w:p>
        </w:tc>
        <w:tc>
          <w:tcPr>
            <w:tcW w:type="dxa" w:w="2160"/>
            <w:vAlign w:val="center"/>
          </w:tcPr>
          <w:p>
            <w:r/>
            <w:r>
              <w:rPr>
                <w:b w:val="0"/>
                <w:sz w:val="17"/>
              </w:rPr>
              <w:t>1–5</w:t>
            </w:r>
          </w:p>
        </w:tc>
        <w:tc>
          <w:tcPr>
            <w:tcW w:type="dxa" w:w="2160"/>
            <w:vAlign w:val="center"/>
          </w:tcPr>
          <w:p>
            <w:r/>
            <w:r>
              <w:rPr>
                <w:b w:val="0"/>
                <w:sz w:val="17"/>
              </w:rPr>
              <w:t>Dataset pipeline + benchmark set</w:t>
            </w:r>
          </w:p>
        </w:tc>
      </w:tr>
      <w:tr>
        <w:tc>
          <w:tcPr>
            <w:tcW w:type="dxa" w:w="2160"/>
            <w:vAlign w:val="center"/>
          </w:tcPr>
          <w:p>
            <w:r/>
            <w:r>
              <w:rPr>
                <w:b w:val="0"/>
                <w:sz w:val="17"/>
              </w:rPr>
              <w:t>ML / Multimodal</w:t>
            </w:r>
          </w:p>
        </w:tc>
        <w:tc>
          <w:tcPr>
            <w:tcW w:type="dxa" w:w="2160"/>
            <w:vAlign w:val="center"/>
          </w:tcPr>
          <w:p>
            <w:r/>
            <w:r>
              <w:rPr>
                <w:b w:val="0"/>
                <w:sz w:val="17"/>
              </w:rPr>
              <w:t>RIFT2, SuperGlue, LoFTR, learned refinement</w:t>
            </w:r>
          </w:p>
        </w:tc>
        <w:tc>
          <w:tcPr>
            <w:tcW w:type="dxa" w:w="2160"/>
            <w:vAlign w:val="center"/>
          </w:tcPr>
          <w:p>
            <w:r/>
            <w:r>
              <w:rPr>
                <w:b w:val="0"/>
                <w:sz w:val="17"/>
              </w:rPr>
              <w:t>3–5</w:t>
            </w:r>
          </w:p>
        </w:tc>
        <w:tc>
          <w:tcPr>
            <w:tcW w:type="dxa" w:w="2160"/>
            <w:vAlign w:val="center"/>
          </w:tcPr>
          <w:p>
            <w:r/>
            <w:r>
              <w:rPr>
                <w:b w:val="0"/>
                <w:sz w:val="17"/>
              </w:rPr>
              <w:t>Advanced matcher experiments</w:t>
            </w:r>
          </w:p>
        </w:tc>
      </w:tr>
      <w:tr>
        <w:tc>
          <w:tcPr>
            <w:tcW w:type="dxa" w:w="2160"/>
            <w:vAlign w:val="center"/>
          </w:tcPr>
          <w:p>
            <w:r/>
            <w:r>
              <w:rPr>
                <w:b w:val="0"/>
                <w:sz w:val="17"/>
              </w:rPr>
              <w:t>Frontend / Integration</w:t>
            </w:r>
          </w:p>
        </w:tc>
        <w:tc>
          <w:tcPr>
            <w:tcW w:type="dxa" w:w="2160"/>
            <w:vAlign w:val="center"/>
          </w:tcPr>
          <w:p>
            <w:r/>
            <w:r>
              <w:rPr>
                <w:b w:val="0"/>
                <w:sz w:val="17"/>
              </w:rPr>
              <w:t>Streamlit/React UI, visualization, export, demo workflow</w:t>
            </w:r>
          </w:p>
        </w:tc>
        <w:tc>
          <w:tcPr>
            <w:tcW w:type="dxa" w:w="2160"/>
            <w:vAlign w:val="center"/>
          </w:tcPr>
          <w:p>
            <w:r/>
            <w:r>
              <w:rPr>
                <w:b w:val="0"/>
                <w:sz w:val="17"/>
              </w:rPr>
              <w:t>1–5</w:t>
            </w:r>
          </w:p>
        </w:tc>
        <w:tc>
          <w:tcPr>
            <w:tcW w:type="dxa" w:w="2160"/>
            <w:vAlign w:val="center"/>
          </w:tcPr>
          <w:p>
            <w:r/>
            <w:r>
              <w:rPr>
                <w:b w:val="0"/>
                <w:sz w:val="17"/>
              </w:rPr>
              <w:t>Proctor-ready application</w:t>
            </w:r>
          </w:p>
        </w:tc>
      </w:tr>
      <w:tr>
        <w:tc>
          <w:tcPr>
            <w:tcW w:type="dxa" w:w="2160"/>
            <w:vAlign w:val="center"/>
          </w:tcPr>
          <w:p>
            <w:r/>
            <w:r>
              <w:rPr>
                <w:b w:val="0"/>
                <w:sz w:val="17"/>
              </w:rPr>
              <w:t>Research / Evaluation</w:t>
            </w:r>
          </w:p>
        </w:tc>
        <w:tc>
          <w:tcPr>
            <w:tcW w:type="dxa" w:w="2160"/>
            <w:vAlign w:val="center"/>
          </w:tcPr>
          <w:p>
            <w:r/>
            <w:r>
              <w:rPr>
                <w:b w:val="0"/>
                <w:sz w:val="17"/>
              </w:rPr>
              <w:t>Paper review, benchmark protocol, ground truth, failure analysis</w:t>
            </w:r>
          </w:p>
        </w:tc>
        <w:tc>
          <w:tcPr>
            <w:tcW w:type="dxa" w:w="2160"/>
            <w:vAlign w:val="center"/>
          </w:tcPr>
          <w:p>
            <w:r/>
            <w:r>
              <w:rPr>
                <w:b w:val="0"/>
                <w:sz w:val="17"/>
              </w:rPr>
              <w:t>2–5</w:t>
            </w:r>
          </w:p>
        </w:tc>
        <w:tc>
          <w:tcPr>
            <w:tcW w:type="dxa" w:w="2160"/>
            <w:vAlign w:val="center"/>
          </w:tcPr>
          <w:p>
            <w:r/>
            <w:r>
              <w:rPr>
                <w:b w:val="0"/>
                <w:sz w:val="17"/>
              </w:rPr>
              <w:t>Comparison reports + SIH narrative</w:t>
            </w:r>
          </w:p>
        </w:tc>
      </w:tr>
    </w:tbl>
    <w:p>
      <w:pPr>
        <w:pStyle w:val="Heading1"/>
      </w:pPr>
      <w:r>
        <w:t>9. Milestone Gates</w:t>
      </w:r>
    </w:p>
    <w:tbl>
      <w:tblPr>
        <w:tblStyle w:val="TableGrid"/>
        <w:tblW w:type="auto" w:w="0"/>
        <w:tblLook w:firstColumn="1" w:firstRow="1" w:lastColumn="0" w:lastRow="0" w:noHBand="0" w:noVBand="1" w:val="04A0"/>
      </w:tblPr>
      <w:tblGrid>
        <w:gridCol w:w="4320"/>
        <w:gridCol w:w="4320"/>
      </w:tblGrid>
      <w:tr>
        <w:tc>
          <w:tcPr>
            <w:tcW w:type="dxa" w:w="4320"/>
            <w:vAlign w:val="center"/>
            <w:shd w:fill="D9EAF7"/>
          </w:tcPr>
          <w:p>
            <w:r/>
            <w:r>
              <w:rPr>
                <w:b/>
                <w:sz w:val="18"/>
              </w:rPr>
              <w:t>Gate</w:t>
            </w:r>
          </w:p>
        </w:tc>
        <w:tc>
          <w:tcPr>
            <w:tcW w:type="dxa" w:w="4320"/>
            <w:vAlign w:val="center"/>
            <w:shd w:fill="D9EAF7"/>
          </w:tcPr>
          <w:p>
            <w:r/>
            <w:r>
              <w:rPr>
                <w:b/>
                <w:sz w:val="18"/>
              </w:rPr>
              <w:t>Definition of done</w:t>
            </w:r>
          </w:p>
        </w:tc>
      </w:tr>
      <w:tr>
        <w:tc>
          <w:tcPr>
            <w:tcW w:type="dxa" w:w="4320"/>
            <w:vAlign w:val="center"/>
          </w:tcPr>
          <w:p>
            <w:r/>
            <w:r>
              <w:rPr>
                <w:b/>
                <w:sz w:val="17"/>
              </w:rPr>
              <w:t>Gate A — MVP Demo</w:t>
            </w:r>
          </w:p>
        </w:tc>
        <w:tc>
          <w:tcPr>
            <w:tcW w:type="dxa" w:w="4320"/>
            <w:vAlign w:val="center"/>
          </w:tcPr>
          <w:p>
            <w:r/>
            <w:r>
              <w:rPr>
                <w:b w:val="0"/>
                <w:sz w:val="17"/>
              </w:rPr>
              <w:t>One real lunar pair → matches → RANSAC inliers → registered overlay → metrics.</w:t>
            </w:r>
          </w:p>
        </w:tc>
      </w:tr>
      <w:tr>
        <w:tc>
          <w:tcPr>
            <w:tcW w:type="dxa" w:w="4320"/>
            <w:vAlign w:val="center"/>
          </w:tcPr>
          <w:p>
            <w:r/>
            <w:r>
              <w:rPr>
                <w:b/>
                <w:sz w:val="17"/>
              </w:rPr>
              <w:t>Gate B — Robust Optical</w:t>
            </w:r>
          </w:p>
        </w:tc>
        <w:tc>
          <w:tcPr>
            <w:tcW w:type="dxa" w:w="4320"/>
            <w:vAlign w:val="center"/>
          </w:tcPr>
          <w:p>
            <w:r/>
            <w:r>
              <w:rPr>
                <w:b w:val="0"/>
                <w:sz w:val="17"/>
              </w:rPr>
              <w:t>Multiple difficult optical pairs; benchmarked classical methods and failure detection.</w:t>
            </w:r>
          </w:p>
        </w:tc>
      </w:tr>
      <w:tr>
        <w:tc>
          <w:tcPr>
            <w:tcW w:type="dxa" w:w="4320"/>
            <w:vAlign w:val="center"/>
          </w:tcPr>
          <w:p>
            <w:r/>
            <w:r>
              <w:rPr>
                <w:b/>
                <w:sz w:val="17"/>
              </w:rPr>
              <w:t>Gate C — Multimodal</w:t>
            </w:r>
          </w:p>
        </w:tc>
        <w:tc>
          <w:tcPr>
            <w:tcW w:type="dxa" w:w="4320"/>
            <w:vAlign w:val="center"/>
          </w:tcPr>
          <w:p>
            <w:r/>
            <w:r>
              <w:rPr>
                <w:b w:val="0"/>
                <w:sz w:val="17"/>
              </w:rPr>
              <w:t>RIFT2 + learned matcher baseline; measurable gains on radiometric/illumination changes.</w:t>
            </w:r>
          </w:p>
        </w:tc>
      </w:tr>
      <w:tr>
        <w:tc>
          <w:tcPr>
            <w:tcW w:type="dxa" w:w="4320"/>
            <w:vAlign w:val="center"/>
          </w:tcPr>
          <w:p>
            <w:r/>
            <w:r>
              <w:rPr>
                <w:b/>
                <w:sz w:val="17"/>
              </w:rPr>
              <w:t>Gate D — IIRS</w:t>
            </w:r>
          </w:p>
        </w:tc>
        <w:tc>
          <w:tcPr>
            <w:tcW w:type="dxa" w:w="4320"/>
            <w:vAlign w:val="center"/>
          </w:tcPr>
          <w:p>
            <w:r/>
            <w:r>
              <w:rPr>
                <w:b w:val="0"/>
                <w:sz w:val="17"/>
              </w:rPr>
              <w:t>IIRS ingestion and cross-sensor correspondence on at least one meaningful scene.</w:t>
            </w:r>
          </w:p>
        </w:tc>
      </w:tr>
      <w:tr>
        <w:tc>
          <w:tcPr>
            <w:tcW w:type="dxa" w:w="4320"/>
            <w:vAlign w:val="center"/>
          </w:tcPr>
          <w:p>
            <w:r/>
            <w:r>
              <w:rPr>
                <w:b/>
                <w:sz w:val="17"/>
              </w:rPr>
              <w:t>Gate E — SIH Grade</w:t>
            </w:r>
          </w:p>
        </w:tc>
        <w:tc>
          <w:tcPr>
            <w:tcW w:type="dxa" w:w="4320"/>
            <w:vAlign w:val="center"/>
          </w:tcPr>
          <w:p>
            <w:r/>
            <w:r>
              <w:rPr>
                <w:b w:val="0"/>
                <w:sz w:val="17"/>
              </w:rPr>
              <w:t>Sub-pixel refinement + spatially distributed correspondences + reproducible evaluation + final packaging.</w:t>
            </w:r>
          </w:p>
        </w:tc>
      </w:tr>
    </w:tbl>
    <w:p>
      <w:pPr>
        <w:pStyle w:val="Heading1"/>
      </w:pPr>
      <w:r>
        <w:t>10. Critical Engineering Principles</w:t>
      </w:r>
    </w:p>
    <w:p>
      <w:pPr>
        <w:pStyle w:val="ListBullet"/>
      </w:pPr>
      <w:r>
        <w:t>Build the correspondence engine first; the UI is only the shell around it.</w:t>
      </w:r>
    </w:p>
    <w:p>
      <w:pPr>
        <w:pStyle w:val="ListBullet"/>
      </w:pPr>
      <w:r>
        <w:t>Treat the SIH-provided dataset and evaluation protocol as authoritative whenever they conflict with public examples.</w:t>
      </w:r>
    </w:p>
    <w:p>
      <w:pPr>
        <w:pStyle w:val="ListBullet"/>
      </w:pPr>
      <w:r>
        <w:t>Keep a classical baseline even after adding deep learning. It provides a fallback, a sanity check and a benchmark.</w:t>
      </w:r>
    </w:p>
    <w:p>
      <w:pPr>
        <w:pStyle w:val="ListBullet"/>
      </w:pPr>
      <w:r>
        <w:t>Separate coarse registration from fine/sub-pixel refinement. Do not ask one component to solve the entire dynamic range.</w:t>
      </w:r>
    </w:p>
    <w:p>
      <w:pPr>
        <w:pStyle w:val="ListBullet"/>
      </w:pPr>
      <w:r>
        <w:t>Record every transformation, coordinate convention and image scale. Many registration failures are coordinate-system bugs rather than model failures.</w:t>
      </w:r>
    </w:p>
    <w:p>
      <w:pPr>
        <w:pStyle w:val="ListBullet"/>
      </w:pPr>
      <w:r>
        <w:t>Benchmark failure cases explicitly: polar shadows, low texture, strong scale change, cross-sensor radiometry and incomplete overlap.</w:t>
      </w:r>
    </w:p>
    <w:p>
      <w:r>
        <w:br w:type="page"/>
      </w:r>
    </w:p>
    <w:p>
      <w:pPr>
        <w:pStyle w:val="Heading1"/>
      </w:pPr>
      <w:r>
        <w:t>11. Core Reference Links</w:t>
      </w:r>
    </w:p>
    <w:p>
      <w:pPr>
        <w:pStyle w:val="ListBullet"/>
      </w:pPr>
      <w:r>
        <w:rPr>
          <w:b/>
        </w:rPr>
        <w:t xml:space="preserve">SIH 2026 official problem statements: </w:t>
      </w:r>
      <w:hyperlink r:id="rId9">
        <w:r>
          <w:rPr>
            <w:color w:val="0563C1"/>
            <w:u w:val="single"/>
          </w:rPr>
          <w:t>https://sih.gov.in/sih2026PS</w:t>
        </w:r>
      </w:hyperlink>
    </w:p>
    <w:p>
      <w:pPr>
        <w:pStyle w:val="ListBullet"/>
      </w:pPr>
      <w:r>
        <w:rPr>
          <w:b/>
        </w:rPr>
        <w:t xml:space="preserve">ISRO Chandrayaan-2 Science / Payloads: </w:t>
      </w:r>
      <w:hyperlink r:id="rId10">
        <w:r>
          <w:rPr>
            <w:color w:val="0563C1"/>
            <w:u w:val="single"/>
          </w:rPr>
          <w:t>https://www.isro.gov.in/ISRO_EN/Chandrayaan2_science.html</w:t>
        </w:r>
      </w:hyperlink>
    </w:p>
    <w:p>
      <w:pPr>
        <w:pStyle w:val="ListBullet"/>
      </w:pPr>
      <w:r>
        <w:rPr>
          <w:b/>
        </w:rPr>
        <w:t xml:space="preserve">ISRO Chandrayaan-2 Initial Data Release: </w:t>
      </w:r>
      <w:hyperlink r:id="rId11">
        <w:r>
          <w:rPr>
            <w:color w:val="0563C1"/>
            <w:u w:val="single"/>
          </w:rPr>
          <w:t>https://www.isro.gov.in/CHANDRAAYAN.html</w:t>
        </w:r>
      </w:hyperlink>
    </w:p>
    <w:p>
      <w:pPr>
        <w:pStyle w:val="ListBullet"/>
      </w:pPr>
      <w:r>
        <w:rPr>
          <w:b/>
        </w:rPr>
        <w:t xml:space="preserve">ISSDC PRADAN: </w:t>
      </w:r>
      <w:hyperlink r:id="rId12">
        <w:r>
          <w:rPr>
            <w:color w:val="0563C1"/>
            <w:u w:val="single"/>
          </w:rPr>
          <w:t>https://pradan.issdc.gov.in/</w:t>
        </w:r>
      </w:hyperlink>
    </w:p>
    <w:p>
      <w:pPr>
        <w:pStyle w:val="ListBullet"/>
      </w:pPr>
      <w:r>
        <w:rPr>
          <w:b/>
        </w:rPr>
        <w:t xml:space="preserve">NASA PDS LROC NAC/WAC collection: </w:t>
      </w:r>
      <w:hyperlink r:id="rId13">
        <w:r>
          <w:rPr>
            <w:color w:val="0563C1"/>
            <w:u w:val="single"/>
          </w:rPr>
          <w:t>https://pds.nasa.gov/ds-view/pds/viewCollection.jsp?identifier=urn%3Anasa%3Apds%3Alro-l-lroc-2-edr%3Alrolrc_0005_data</w:t>
        </w:r>
      </w:hyperlink>
    </w:p>
    <w:p>
      <w:pPr>
        <w:pStyle w:val="ListBullet"/>
      </w:pPr>
      <w:r>
        <w:rPr>
          <w:b/>
        </w:rPr>
        <w:t xml:space="preserve">SuperGlue paper: </w:t>
      </w:r>
      <w:hyperlink r:id="rId23">
        <w:r>
          <w:rPr>
            <w:color w:val="0563C1"/>
            <w:u w:val="single"/>
          </w:rPr>
          <w:t>https://openaccess.thecvf.com/content_CVPR_2020/papers/Sarlin_SuperGlue_Learning_Feature_Matching_With_Graph_Neural_Networks_CVPR_2020_paper.pdf</w:t>
        </w:r>
      </w:hyperlink>
    </w:p>
    <w:p>
      <w:pPr>
        <w:pStyle w:val="ListBullet"/>
      </w:pPr>
      <w:r>
        <w:rPr>
          <w:b/>
        </w:rPr>
        <w:t xml:space="preserve">SuperGlue code: </w:t>
      </w:r>
      <w:hyperlink r:id="rId24">
        <w:r>
          <w:rPr>
            <w:color w:val="0563C1"/>
            <w:u w:val="single"/>
          </w:rPr>
          <w:t>https://github.com/magicleap/SuperGluePretrainedNetwork</w:t>
        </w:r>
      </w:hyperlink>
    </w:p>
    <w:p>
      <w:pPr>
        <w:pStyle w:val="ListBullet"/>
      </w:pPr>
      <w:r>
        <w:rPr>
          <w:b/>
        </w:rPr>
        <w:t xml:space="preserve">LoFTR paper: </w:t>
      </w:r>
      <w:hyperlink r:id="rId25">
        <w:r>
          <w:rPr>
            <w:color w:val="0563C1"/>
            <w:u w:val="single"/>
          </w:rPr>
          <w:t>https://openaccess.thecvf.com/content/CVPR2021/papers/Sun_LoFTR_Detector-Free_Local_Feature_Matching_With_Transformers_CVPR_2021_paper.pdf</w:t>
        </w:r>
      </w:hyperlink>
    </w:p>
    <w:p>
      <w:pPr>
        <w:pStyle w:val="ListBullet"/>
      </w:pPr>
      <w:r>
        <w:rPr>
          <w:b/>
        </w:rPr>
        <w:t xml:space="preserve">LoFTR project: </w:t>
      </w:r>
      <w:hyperlink r:id="rId26">
        <w:r>
          <w:rPr>
            <w:color w:val="0563C1"/>
            <w:u w:val="single"/>
          </w:rPr>
          <w:t>https://zju3dv.github.io/loftr/</w:t>
        </w:r>
      </w:hyperlink>
    </w:p>
    <w:p>
      <w:pPr>
        <w:pStyle w:val="ListBullet"/>
      </w:pPr>
      <w:r>
        <w:rPr>
          <w:b/>
        </w:rPr>
        <w:t xml:space="preserve">RIFT2 paper: </w:t>
      </w:r>
      <w:hyperlink r:id="rId21">
        <w:r>
          <w:rPr>
            <w:color w:val="0563C1"/>
            <w:u w:val="single"/>
          </w:rPr>
          <w:t>https://arxiv.org/abs/2303.00319</w:t>
        </w:r>
      </w:hyperlink>
    </w:p>
    <w:p>
      <w:pPr>
        <w:pStyle w:val="ListBullet"/>
      </w:pPr>
      <w:r>
        <w:rPr>
          <w:b/>
        </w:rPr>
        <w:t xml:space="preserve">RIFT2 code: </w:t>
      </w:r>
      <w:hyperlink r:id="rId22">
        <w:r>
          <w:rPr>
            <w:color w:val="0563C1"/>
            <w:u w:val="single"/>
          </w:rPr>
          <w:t>https://github.com/LJY-RS/RIFT2-multimodal-matching-rotation</w:t>
        </w:r>
      </w:hyperlink>
    </w:p>
    <w:p>
      <w:pPr>
        <w:pStyle w:val="ListBullet"/>
      </w:pPr>
      <w:r>
        <w:rPr>
          <w:b/>
        </w:rPr>
        <w:t xml:space="preserve">Chandrayaan-2 comparative matching study: </w:t>
      </w:r>
      <w:hyperlink r:id="rId17">
        <w:r>
          <w:rPr>
            <w:color w:val="0563C1"/>
            <w:u w:val="single"/>
          </w:rPr>
          <w:t>https://arxiv.org/abs/2509.04775</w:t>
        </w:r>
      </w:hyperlink>
    </w:p>
    <w:p>
      <w:pPr>
        <w:pStyle w:val="ListBullet"/>
      </w:pPr>
      <w:r>
        <w:rPr>
          <w:b/>
        </w:rPr>
        <w:t xml:space="preserve">Image Registration of High Resolution Chandrayaan-2 Data: </w:t>
      </w:r>
      <w:hyperlink r:id="rId16">
        <w:r>
          <w:rPr>
            <w:color w:val="0563C1"/>
            <w:u w:val="single"/>
          </w:rPr>
          <w:t>https://doi.org/10.1109/InGARSS61818.2024.10984368</w:t>
        </w:r>
      </w:hyperlink>
    </w:p>
    <w:p>
      <w:pPr>
        <w:pStyle w:val="ListBullet"/>
      </w:pPr>
      <w:r>
        <w:rPr>
          <w:b/>
        </w:rPr>
        <w:t xml:space="preserve">SIFT paper: </w:t>
      </w:r>
      <w:hyperlink r:id="rId14">
        <w:r>
          <w:rPr>
            <w:color w:val="0563C1"/>
            <w:u w:val="single"/>
          </w:rPr>
          <w:t>https://www.cs.ubc.ca/~lowe/papers/ijcv04.pdf</w:t>
        </w:r>
      </w:hyperlink>
    </w:p>
    <w:p>
      <w:pPr>
        <w:pStyle w:val="ListBullet"/>
      </w:pPr>
      <w:r>
        <w:rPr>
          <w:b/>
        </w:rPr>
        <w:t xml:space="preserve">OpenCV homography tutorial: </w:t>
      </w:r>
      <w:hyperlink r:id="rId15">
        <w:r>
          <w:rPr>
            <w:color w:val="0563C1"/>
            <w:u w:val="single"/>
          </w:rPr>
          <w:t>https://docs.opencv.org/4.x/d1/de0/tutorial_py_feature_homography.html</w:t>
        </w:r>
      </w:hyperlink>
    </w:p>
    <w:p>
      <w:pPr>
        <w:pStyle w:val="ListBullet"/>
      </w:pPr>
      <w:r>
        <w:rPr>
          <w:b/>
        </w:rPr>
        <w:t xml:space="preserve">OpenCV calib3d docs: </w:t>
      </w:r>
      <w:hyperlink r:id="rId28">
        <w:r>
          <w:rPr>
            <w:color w:val="0563C1"/>
            <w:u w:val="single"/>
          </w:rPr>
          <w:t>https://docs.opencv.org/4.x/d9/d0c/group__calib3d.html</w:t>
        </w:r>
      </w:hyperlink>
    </w:p>
    <w:p>
      <w:pPr>
        <w:pStyle w:val="Heading1"/>
      </w:pPr>
      <w:r>
        <w:t>12. Source Notes</w:t>
      </w:r>
    </w:p>
    <w:p>
      <w:r>
        <w:t>This roadmap is based on the SIH26166 problem framing, ISRO's official Chandrayaan-2 instrument descriptions, ISRO/ISSDC data-archive material, NASA's public LROC archive documentation, and recent research comparing feature-matching methods on Chandrayaan-2 lunar data. Public sources are useful for engineering preparation, but the SIH-provided dataset and any organizer-supplied evaluation instructions should supersede assumptions made here.</w:t>
      </w:r>
    </w:p>
    <w:sectPr w:rsidR="00FC693F" w:rsidRPr="0006063C" w:rsidSect="00034616">
      <w:footerReference w:type="default" r:id="rId2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SIH26166 — Chandrayaan-2 Image Correspondence | Project Roadmap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5B9BD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ih.gov.in/sih2026PS" TargetMode="External"/><Relationship Id="rId10" Type="http://schemas.openxmlformats.org/officeDocument/2006/relationships/hyperlink" Target="https://www.isro.gov.in/ISRO_EN/Chandrayaan2_science.html" TargetMode="External"/><Relationship Id="rId11" Type="http://schemas.openxmlformats.org/officeDocument/2006/relationships/hyperlink" Target="https://www.isro.gov.in/CHANDRAAYAN.html" TargetMode="External"/><Relationship Id="rId12" Type="http://schemas.openxmlformats.org/officeDocument/2006/relationships/hyperlink" Target="https://pradan.issdc.gov.in/" TargetMode="External"/><Relationship Id="rId13" Type="http://schemas.openxmlformats.org/officeDocument/2006/relationships/hyperlink" Target="https://pds.nasa.gov/ds-view/pds/viewCollection.jsp?identifier=urn%3Anasa%3Apds%3Alro-l-lroc-2-edr%3Alrolrc_0005_data" TargetMode="External"/><Relationship Id="rId14" Type="http://schemas.openxmlformats.org/officeDocument/2006/relationships/hyperlink" Target="https://www.cs.ubc.ca/~lowe/papers/ijcv04.pdf" TargetMode="External"/><Relationship Id="rId15" Type="http://schemas.openxmlformats.org/officeDocument/2006/relationships/hyperlink" Target="https://docs.opencv.org/4.x/d1/de0/tutorial_py_feature_homography.html" TargetMode="External"/><Relationship Id="rId16" Type="http://schemas.openxmlformats.org/officeDocument/2006/relationships/hyperlink" Target="https://doi.org/10.1109/InGARSS61818.2024.10984368" TargetMode="External"/><Relationship Id="rId17" Type="http://schemas.openxmlformats.org/officeDocument/2006/relationships/hyperlink" Target="https://arxiv.org/abs/2509.04775" TargetMode="External"/><Relationship Id="rId18" Type="http://schemas.openxmlformats.org/officeDocument/2006/relationships/hyperlink" Target="https://www.ipol.im/pub/art/2009/my-asift/" TargetMode="External"/><Relationship Id="rId19" Type="http://schemas.openxmlformats.org/officeDocument/2006/relationships/hyperlink" Target="https://www.bmva-archive.org.uk/bmvc/2013/Papers/paper0014/index.html" TargetMode="External"/><Relationship Id="rId20" Type="http://schemas.openxmlformats.org/officeDocument/2006/relationships/hyperlink" Target="https://doi.org/10.1109/TIP.2019.2915893" TargetMode="External"/><Relationship Id="rId21" Type="http://schemas.openxmlformats.org/officeDocument/2006/relationships/hyperlink" Target="https://arxiv.org/abs/2303.00319" TargetMode="External"/><Relationship Id="rId22" Type="http://schemas.openxmlformats.org/officeDocument/2006/relationships/hyperlink" Target="https://github.com/LJY-RS/RIFT2-multimodal-matching-rotation" TargetMode="External"/><Relationship Id="rId23" Type="http://schemas.openxmlformats.org/officeDocument/2006/relationships/hyperlink" Target="https://openaccess.thecvf.com/content_CVPR_2020/papers/Sarlin_SuperGlue_Learning_Feature_Matching_With_Graph_Neural_Networks_CVPR_2020_paper.pdf" TargetMode="External"/><Relationship Id="rId24" Type="http://schemas.openxmlformats.org/officeDocument/2006/relationships/hyperlink" Target="https://github.com/magicleap/SuperGluePretrainedNetwork" TargetMode="External"/><Relationship Id="rId25" Type="http://schemas.openxmlformats.org/officeDocument/2006/relationships/hyperlink" Target="https://openaccess.thecvf.com/content/CVPR2021/papers/Sun_LoFTR_Detector-Free_Local_Feature_Matching_With_Transformers_CVPR_2021_paper.pdf" TargetMode="External"/><Relationship Id="rId26" Type="http://schemas.openxmlformats.org/officeDocument/2006/relationships/hyperlink" Target="https://zju3dv.github.io/loftr/" TargetMode="External"/><Relationship Id="rId27" Type="http://schemas.openxmlformats.org/officeDocument/2006/relationships/hyperlink" Target="https://arxiv.org/abs/2403.04765" TargetMode="External"/><Relationship Id="rId28" Type="http://schemas.openxmlformats.org/officeDocument/2006/relationships/hyperlink" Target="https://docs.opencv.org/4.x/d9/d0c/group__calib3d.html" TargetMode="External"/><Relationship Id="rId2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