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de Cobertura de Testing</w:t>
      </w:r>
    </w:p>
    <w:p>
      <w:pPr>
        <w:spacing w:after="120"/>
      </w:pPr>
      <w:r>
        <w:rPr>
          <w:i/>
          <w:iCs/>
          <w:color w:val="595959"/>
        </w:rPr>
        <w:t xml:space="preserve">Ejemplo – Tienda Online (React) · DSY1104 Desarrollo Fullstack II · Evaluación Parcial N°2</w:t>
      </w:r>
    </w:p>
    <w:p>
      <w:pPr>
        <w:pStyle w:val="Heading2"/>
        <w:spacing w:after="120" w:before="300"/>
      </w:pPr>
      <w: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Sonido Vivo — Tienda de Instrumentos y Audio Profesional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Victor Martinez (NezerkC) — DSY1104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Vitest v5.0.3, @vitest/coverage-v8, Testing Library, JSDOM, jest-axe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https://github.com/NezerkC/Prueba-Parcial-1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Octubre 2026</w:t>
            </w:r>
          </w:p>
        </w:tc>
      </w:tr>
    </w:tbl>
    <w:p>
      <w:pPr>
        <w:pStyle w:val="Heading2"/>
        <w:spacing w:after="120" w:before="300"/>
      </w:pPr>
      <w:r>
        <w:t xml:space="preserve">2. Herramientas y configuración</w:t>
      </w:r>
    </w:p>
    <w:p>
      <w:pPr>
        <w:spacing w:after="120"/>
      </w:pPr>
      <w:r>
        <w:t xml:space="preserve">La cobertura se genera con karma-coverage, integrado a Karma + Jasmine.</w:t>
      </w:r>
    </w:p>
    <w:p>
      <w:pPr>
        <w:spacing w:after="120"/>
      </w:pPr>
      <w:r>
        <w:t xml:space="preserve">Instalación: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 karma-coverage --save-dev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Configuración en karma.conf.js: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reporters: ['progress', 'coverage'],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coverageReporter: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type: 'html',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dir: 'coverage/'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Al ejecutar las pruebas se genera un informe HTML en la carpeta coverage/, que marca en verde el código cubierto y en rojo el no cubierto.</w:t>
      </w:r>
    </w:p>
    <w:p>
      <w:pPr>
        <w:pStyle w:val="Heading2"/>
        <w:spacing w:after="120" w:before="300"/>
      </w:pPr>
      <w:r>
        <w:t xml:space="preserve">3. Alcance</w:t>
      </w:r>
    </w:p>
    <w:p>
      <w:pPr>
        <w:spacing w:after="120"/>
      </w:pPr>
      <w:r>
        <w:t xml:space="preserve">Componentes considerados en el testing y justificación de lo que se incluye o se excluye.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¿Se prueba?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Muestra instrumento, precio CLP, badge stock/oferta y agregar al carrito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CartSummary / Cart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Calcula Subtotal, 19% IVA, Total en CLP y persistencia en localStorage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DespachoForm / Validaciones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Valida campos de entrega, comunas por region y dominios autorizados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CatalogoPage / SearchBar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Filtra instrumentos por categoria y busqueda instantanea por nombre/SKU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Navbar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Verifica renderizado de enlaces de navegacion y badge reactivo del carrito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Contenido institucional y footer de zonas de despacho</w:t>
            </w:r>
          </w:p>
        </w:tc>
      </w:tr>
    </w:tbl>
    <w:p>
      <w:pPr>
        <w:pStyle w:val="Heading2"/>
        <w:spacing w:after="120" w:before="300"/>
      </w:pPr>
      <w:r>
        <w:t xml:space="preserve">4. Casos de prueba (mínimo 10)</w:t>
      </w:r>
    </w:p>
    <w:p>
      <w:pPr>
        <w:spacing w:after="120"/>
      </w:pPr>
      <w:r>
        <w:t xml:space="preserve">Se incluyen casos normales, de borde y de error.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226"/>
        <w:gridCol w:w="1400"/>
        <w:gridCol w:w="12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</w:tcPr>
          <w:p>
            <w:r>
              <w:t>T01</w:t>
            </w:r>
          </w:p>
        </w:tc>
        <w:tc>
          <w:tcPr>
            <w:tcW w:type="dxa" w:w="1500"/>
          </w:tcPr>
          <w:p>
            <w:r>
              <w:t>Navbar</w:t>
            </w:r>
          </w:p>
        </w:tc>
        <w:tc>
          <w:tcPr>
            <w:tcW w:type="dxa" w:w="4226"/>
          </w:tcPr>
          <w:p>
            <w:r>
              <w:t>Renderiza la marca Sonido Vivo y enlaces principales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T02</w:t>
            </w:r>
          </w:p>
        </w:tc>
        <w:tc>
          <w:tcPr>
            <w:tcW w:type="dxa" w:w="1500"/>
          </w:tcPr>
          <w:p>
            <w:r>
              <w:t>Navbar</w:t>
            </w:r>
          </w:p>
        </w:tc>
        <w:tc>
          <w:tcPr>
            <w:tcW w:type="dxa" w:w="4226"/>
          </w:tcPr>
          <w:p>
            <w:r>
              <w:t>Refleja dinamicamente el contador de productos del carrito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T03</w:t>
            </w:r>
          </w:p>
        </w:tc>
        <w:tc>
          <w:tcPr>
            <w:tcW w:type="dxa" w:w="1500"/>
          </w:tcPr>
          <w:p>
            <w:r>
              <w:t>ProductCard</w:t>
            </w:r>
          </w:p>
        </w:tc>
        <w:tc>
          <w:tcPr>
            <w:tcW w:type="dxa" w:w="4226"/>
          </w:tcPr>
          <w:p>
            <w:r>
              <w:t>Renderiza nombre, precio CLP y disponibilidad de stock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T04</w:t>
            </w:r>
          </w:p>
        </w:tc>
        <w:tc>
          <w:tcPr>
            <w:tcW w:type="dxa" w:w="1500"/>
          </w:tcPr>
          <w:p>
            <w:r>
              <w:t>ProductCard</w:t>
            </w:r>
          </w:p>
        </w:tc>
        <w:tc>
          <w:tcPr>
            <w:tcW w:type="dxa" w:w="4226"/>
          </w:tcPr>
          <w:p>
            <w:r>
              <w:t>El clic en Agregar al Carrito invoca el callback con el producto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T05</w:t>
            </w:r>
          </w:p>
        </w:tc>
        <w:tc>
          <w:tcPr>
            <w:tcW w:type="dxa" w:w="1500"/>
          </w:tcPr>
          <w:p>
            <w:r>
              <w:t>ProductCard</w:t>
            </w:r>
          </w:p>
        </w:tc>
        <w:tc>
          <w:tcPr>
            <w:tcW w:type="dxa" w:w="4226"/>
          </w:tcPr>
          <w:p>
            <w:r>
              <w:t>Deshabilita el boton si el stock del instrumento es 0</w:t>
            </w:r>
          </w:p>
        </w:tc>
        <w:tc>
          <w:tcPr>
            <w:tcW w:type="dxa" w:w="1400"/>
          </w:tcPr>
          <w:p>
            <w:r>
              <w:t>Borde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T06</w:t>
            </w:r>
          </w:p>
        </w:tc>
        <w:tc>
          <w:tcPr>
            <w:tcW w:type="dxa" w:w="1500"/>
          </w:tcPr>
          <w:p>
            <w:r>
              <w:t>CartSummary</w:t>
            </w:r>
          </w:p>
        </w:tc>
        <w:tc>
          <w:tcPr>
            <w:tcW w:type="dxa" w:w="4226"/>
          </w:tcPr>
          <w:p>
            <w:r>
              <w:t>Calcula Subtotal, 19% IVA y Total correctamente con multiples items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T07</w:t>
            </w:r>
          </w:p>
        </w:tc>
        <w:tc>
          <w:tcPr>
            <w:tcW w:type="dxa" w:w="1500"/>
          </w:tcPr>
          <w:p>
            <w:r>
              <w:t>CartSummary</w:t>
            </w:r>
          </w:p>
        </w:tc>
        <w:tc>
          <w:tcPr>
            <w:tcW w:type="dxa" w:w="4226"/>
          </w:tcPr>
          <w:p>
            <w:r>
              <w:t>Con carrito vacio despliega $0 y mensaje correspondiente sin errores NaN</w:t>
            </w:r>
          </w:p>
        </w:tc>
        <w:tc>
          <w:tcPr>
            <w:tcW w:type="dxa" w:w="1400"/>
          </w:tcPr>
          <w:p>
            <w:r>
              <w:t>Borde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T08</w:t>
            </w:r>
          </w:p>
        </w:tc>
        <w:tc>
          <w:tcPr>
            <w:tcW w:type="dxa" w:w="1500"/>
          </w:tcPr>
          <w:p>
            <w:r>
              <w:t>DespachoForm</w:t>
            </w:r>
          </w:p>
        </w:tc>
        <w:tc>
          <w:tcPr>
            <w:tcW w:type="dxa" w:w="4226"/>
          </w:tcPr>
          <w:p>
            <w:r>
              <w:t>Carga dinamicamente las comunas segun la region chilena seleccionada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T09</w:t>
            </w:r>
          </w:p>
        </w:tc>
        <w:tc>
          <w:tcPr>
            <w:tcW w:type="dxa" w:w="1500"/>
          </w:tcPr>
          <w:p>
            <w:r>
              <w:t>DespachoForm</w:t>
            </w:r>
          </w:p>
        </w:tc>
        <w:tc>
          <w:tcPr>
            <w:tcW w:type="dxa" w:w="4226"/>
          </w:tcPr>
          <w:p>
            <w:r>
              <w:t>Bloquea el envio si faltan datos obligatorios (calle, numero)</w:t>
            </w:r>
          </w:p>
        </w:tc>
        <w:tc>
          <w:tcPr>
            <w:tcW w:type="dxa" w:w="1400"/>
          </w:tcPr>
          <w:p>
            <w:r>
              <w:t>Error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T10</w:t>
            </w:r>
          </w:p>
        </w:tc>
        <w:tc>
          <w:tcPr>
            <w:tcW w:type="dxa" w:w="1500"/>
          </w:tcPr>
          <w:p>
            <w:r>
              <w:t>ValidationService</w:t>
            </w:r>
          </w:p>
        </w:tc>
        <w:tc>
          <w:tcPr>
            <w:tcW w:type="dxa" w:w="4226"/>
          </w:tcPr>
          <w:p>
            <w:r>
              <w:t>Valida correos institucionales autorizados (@duoc.cl, @gmail.com)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T11</w:t>
            </w:r>
          </w:p>
        </w:tc>
        <w:tc>
          <w:tcPr>
            <w:tcW w:type="dxa" w:w="1500"/>
          </w:tcPr>
          <w:p>
            <w:r>
              <w:t>ValidationService</w:t>
            </w:r>
          </w:p>
        </w:tc>
        <w:tc>
          <w:tcPr>
            <w:tcW w:type="dxa" w:w="4226"/>
          </w:tcPr>
          <w:p>
            <w:r>
              <w:t>Rechaza correos con dominios no permitidos (@hotmail, etc.)</w:t>
            </w:r>
          </w:p>
        </w:tc>
        <w:tc>
          <w:tcPr>
            <w:tcW w:type="dxa" w:w="1400"/>
          </w:tcPr>
          <w:p>
            <w:r>
              <w:t>Error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  <w:tr>
        <w:tc>
          <w:tcPr>
            <w:tcW w:type="dxa" w:w="700"/>
          </w:tcPr>
          <w:p>
            <w:r>
              <w:t>T12</w:t>
            </w:r>
          </w:p>
        </w:tc>
        <w:tc>
          <w:tcPr>
            <w:tcW w:type="dxa" w:w="1500"/>
          </w:tcPr>
          <w:p>
            <w:r>
              <w:t>ValidationService</w:t>
            </w:r>
          </w:p>
        </w:tc>
        <w:tc>
          <w:tcPr>
            <w:tcW w:type="dxa" w:w="4226"/>
          </w:tcPr>
          <w:p>
            <w:r>
              <w:t>Valida formato numerico de telefono de 9 digitos</w:t>
            </w:r>
          </w:p>
        </w:tc>
        <w:tc>
          <w:tcPr>
            <w:tcW w:type="dxa" w:w="1400"/>
          </w:tcPr>
          <w:p>
            <w:r>
              <w:t>Normal</w:t>
            </w:r>
          </w:p>
        </w:tc>
        <w:tc>
          <w:tcPr>
            <w:tcW w:type="dxa" w:w="1200"/>
          </w:tcPr>
          <w:p>
            <w:r>
              <w:t>OK</w:t>
            </w:r>
          </w:p>
        </w:tc>
      </w:tr>
    </w:tbl>
    <w:p>
      <w:pPr>
        <w:pStyle w:val="Heading2"/>
        <w:spacing w:after="120" w:before="300"/>
      </w:pPr>
      <w:r>
        <w:t xml:space="preserve">5. Resultados de cobertura</w:t>
      </w:r>
    </w:p>
    <w:p>
      <w:pPr>
        <w:spacing w:after="120"/>
      </w:pPr>
      <w:r>
        <w:t xml:space="preserve">Resumen del informe de karma-coverage (adjuntar captura del informe real). Valores ilustrativos: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Stmts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Branch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Funcs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Lines</w:t>
            </w:r>
          </w:p>
        </w:tc>
      </w:tr>
      <w:tr>
        <w:tc>
          <w:tcPr>
            <w:tcW w:type="dxa" w:w="2626"/>
          </w:tcPr>
          <w:p>
            <w:r>
              <w:t>src/services/ (api.js, ServicioAPI.js)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</w:tr>
      <w:tr>
        <w:tc>
          <w:tcPr>
            <w:tcW w:type="dxa" w:w="2626"/>
          </w:tcPr>
          <w:p>
            <w:r>
              <w:t>src/utils/ (finanzas, stock, validaciones)</w:t>
            </w:r>
          </w:p>
        </w:tc>
        <w:tc>
          <w:tcPr>
            <w:tcW w:type="dxa" w:w="1600"/>
          </w:tcPr>
          <w:p>
            <w:r>
              <w:t>94.7%</w:t>
            </w:r>
          </w:p>
        </w:tc>
        <w:tc>
          <w:tcPr>
            <w:tcW w:type="dxa" w:w="1600"/>
          </w:tcPr>
          <w:p>
            <w:r>
              <w:t>87.5%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  <w:tc>
          <w:tcPr>
            <w:tcW w:type="dxa" w:w="1600"/>
          </w:tcPr>
          <w:p>
            <w:r>
              <w:t>97.8%</w:t>
            </w:r>
          </w:p>
        </w:tc>
      </w:tr>
      <w:tr>
        <w:tc>
          <w:tcPr>
            <w:tcW w:type="dxa" w:w="2626"/>
          </w:tcPr>
          <w:p>
            <w:r>
              <w:t>src/pages/Login.jsx &amp; Registro.jsx</w:t>
            </w:r>
          </w:p>
        </w:tc>
        <w:tc>
          <w:tcPr>
            <w:tcW w:type="dxa" w:w="1600"/>
          </w:tcPr>
          <w:p>
            <w:r>
              <w:t>89.1%</w:t>
            </w:r>
          </w:p>
        </w:tc>
        <w:tc>
          <w:tcPr>
            <w:tcW w:type="dxa" w:w="1600"/>
          </w:tcPr>
          <w:p>
            <w:r>
              <w:t>88.1%</w:t>
            </w:r>
          </w:p>
        </w:tc>
        <w:tc>
          <w:tcPr>
            <w:tcW w:type="dxa" w:w="1600"/>
          </w:tcPr>
          <w:p>
            <w:r>
              <w:t>83.8%</w:t>
            </w:r>
          </w:p>
        </w:tc>
        <w:tc>
          <w:tcPr>
            <w:tcW w:type="dxa" w:w="1600"/>
          </w:tcPr>
          <w:p>
            <w:r>
              <w:t>92.5%</w:t>
            </w:r>
          </w:p>
        </w:tc>
      </w:tr>
      <w:tr>
        <w:tc>
          <w:tcPr>
            <w:tcW w:type="dxa" w:w="2626"/>
          </w:tcPr>
          <w:p>
            <w:r>
              <w:t>src/context/AuthContext.jsx</w:t>
            </w:r>
          </w:p>
        </w:tc>
        <w:tc>
          <w:tcPr>
            <w:tcW w:type="dxa" w:w="1600"/>
          </w:tcPr>
          <w:p>
            <w:r>
              <w:t>88.5%</w:t>
            </w:r>
          </w:p>
        </w:tc>
        <w:tc>
          <w:tcPr>
            <w:tcW w:type="dxa" w:w="1600"/>
          </w:tcPr>
          <w:p>
            <w:r>
              <w:t>75.0%</w:t>
            </w:r>
          </w:p>
        </w:tc>
        <w:tc>
          <w:tcPr>
            <w:tcW w:type="dxa" w:w="1600"/>
          </w:tcPr>
          <w:p>
            <w:r>
              <w:t>100.0%</w:t>
            </w:r>
          </w:p>
        </w:tc>
        <w:tc>
          <w:tcPr>
            <w:tcW w:type="dxa" w:w="1600"/>
          </w:tcPr>
          <w:p>
            <w:r>
              <w:t>88.2%</w:t>
            </w:r>
          </w:p>
        </w:tc>
      </w:tr>
      <w:tr>
        <w:tc>
          <w:tcPr>
            <w:tcW w:type="dxa" w:w="2626"/>
          </w:tcPr>
          <w:p>
            <w:r>
              <w:t>src/context/CartContext.jsx</w:t>
            </w:r>
          </w:p>
        </w:tc>
        <w:tc>
          <w:tcPr>
            <w:tcW w:type="dxa" w:w="1600"/>
          </w:tcPr>
          <w:p>
            <w:r>
              <w:t>68.6%</w:t>
            </w:r>
          </w:p>
        </w:tc>
        <w:tc>
          <w:tcPr>
            <w:tcW w:type="dxa" w:w="1600"/>
          </w:tcPr>
          <w:p>
            <w:r>
              <w:t>56.5%</w:t>
            </w:r>
          </w:p>
        </w:tc>
        <w:tc>
          <w:tcPr>
            <w:tcW w:type="dxa" w:w="1600"/>
          </w:tcPr>
          <w:p>
            <w:r>
              <w:t>55.5%</w:t>
            </w:r>
          </w:p>
        </w:tc>
        <w:tc>
          <w:tcPr>
            <w:tcW w:type="dxa" w:w="1600"/>
          </w:tcPr>
          <w:p>
            <w:r>
              <w:t>71.7%</w:t>
            </w:r>
          </w:p>
        </w:tc>
      </w:tr>
      <w:tr>
        <w:tc>
          <w:tcPr>
            <w:tcW w:type="dxa" w:w="2626"/>
          </w:tcPr>
          <w:p>
            <w:r>
              <w:t>src/components/ProductCard.jsx</w:t>
            </w:r>
          </w:p>
        </w:tc>
        <w:tc>
          <w:tcPr>
            <w:tcW w:type="dxa" w:w="1600"/>
          </w:tcPr>
          <w:p>
            <w:r>
              <w:t>71.4%</w:t>
            </w:r>
          </w:p>
        </w:tc>
        <w:tc>
          <w:tcPr>
            <w:tcW w:type="dxa" w:w="1600"/>
          </w:tcPr>
          <w:p>
            <w:r>
              <w:t>50.0%</w:t>
            </w:r>
          </w:p>
        </w:tc>
        <w:tc>
          <w:tcPr>
            <w:tcW w:type="dxa" w:w="1600"/>
          </w:tcPr>
          <w:p>
            <w:r>
              <w:t>66.6%</w:t>
            </w:r>
          </w:p>
        </w:tc>
        <w:tc>
          <w:tcPr>
            <w:tcW w:type="dxa" w:w="1600"/>
          </w:tcPr>
          <w:p>
            <w:r>
              <w:t>76.9%</w:t>
            </w:r>
          </w:p>
        </w:tc>
      </w:tr>
      <w:tr>
        <w:tc>
          <w:tcPr>
            <w:tcW w:type="dxa" w:w="2626"/>
          </w:tcPr>
          <w:p>
            <w:r>
              <w:t>TOTAL GLOBAL CONSOLIDADO</w:t>
            </w:r>
          </w:p>
        </w:tc>
        <w:tc>
          <w:tcPr>
            <w:tcW w:type="dxa" w:w="1600"/>
          </w:tcPr>
          <w:p>
            <w:r>
              <w:t>82.79%</w:t>
            </w:r>
          </w:p>
        </w:tc>
        <w:tc>
          <w:tcPr>
            <w:tcW w:type="dxa" w:w="1600"/>
          </w:tcPr>
          <w:p>
            <w:r>
              <w:t>72.52%</w:t>
            </w:r>
          </w:p>
        </w:tc>
        <w:tc>
          <w:tcPr>
            <w:tcW w:type="dxa" w:w="1600"/>
          </w:tcPr>
          <w:p>
            <w:r>
              <w:t>80.17%</w:t>
            </w:r>
          </w:p>
        </w:tc>
        <w:tc>
          <w:tcPr>
            <w:tcW w:type="dxa" w:w="1600"/>
          </w:tcPr>
          <w:p>
            <w:r>
              <w:t>86.03%</w:t>
            </w:r>
          </w:p>
        </w:tc>
      </w:tr>
    </w:tbl>
    <w:p>
      <w:pPr>
        <w:pStyle w:val="Heading2"/>
        <w:spacing w:after="120" w:before="300"/>
      </w:pPr>
      <w:r>
        <w:t xml:space="preserve">6. Interpretación de resultados</w:t>
      </w:r>
    </w:p>
    <w:p>
      <w:pPr>
        <w:spacing w:after="100"/>
      </w:pPr>
      <w:r>
        <w:rPr>
          <w:b/>
          <w:bCs/>
        </w:rPr>
        <w:t xml:space="preserve">% Lines (86%): </w:t>
      </w:r>
      <w:r>
        <w:t xml:space="preserve">el 86% de las líneas se ejecuta durante las pruebas. Acción: revisar el 14% restante.</w:t>
      </w:r>
    </w:p>
    <w:p>
      <w:pPr>
        <w:spacing w:after="100"/>
      </w:pPr>
      <w:r>
        <w:rPr>
          <w:b/>
          <w:bCs/>
        </w:rPr>
        <w:t xml:space="preserve">% Stmts (85%): </w:t>
      </w:r>
      <w:r>
        <w:t xml:space="preserve">la mayoría de las sentencias se ejecuta. Acción: identificar las sentencias no cubiertas y agregar pruebas para esos casos.</w:t>
      </w:r>
    </w:p>
    <w:p>
      <w:pPr>
        <w:spacing w:after="100"/>
      </w:pPr>
      <w:r>
        <w:rPr>
          <w:b/>
          <w:bCs/>
        </w:rPr>
        <w:t xml:space="preserve">% Branch (75%): </w:t>
      </w:r>
      <w:r>
        <w:t xml:space="preserve">es la métrica más baja; hay ramas condicionales (if, ternarios, switch) que no se ejecutan. Acción: agregar pruebas que recorran todas las rutas posibles.</w:t>
      </w:r>
    </w:p>
    <w:p>
      <w:pPr>
        <w:spacing w:after="100"/>
      </w:pPr>
      <w:r>
        <w:rPr>
          <w:b/>
          <w:bCs/>
        </w:rPr>
        <w:t xml:space="preserve">% Funcs (90%): </w:t>
      </w:r>
      <w:r>
        <w:t xml:space="preserve">casi todas las funciones se prueban. Acción: verificar las funciones no cubiertas y agregar sus pruebas.</w:t>
      </w:r>
    </w:p>
    <w:p>
      <w:pPr>
        <w:spacing w:after="120"/>
      </w:pPr>
      <w:r>
        <w:t xml:space="preserve">Un porcentaje alto no garantiza que todos los escenarios estén probados; por eso se complementa con la revisión del código no cubierto.</w:t>
      </w:r>
    </w:p>
    <w:p>
      <w:pPr>
        <w:pStyle w:val="Heading2"/>
        <w:spacing w:after="120" w:before="300"/>
      </w:pPr>
      <w:r>
        <w:t xml:space="preserve">7. Código no cubierto identificado</w:t>
      </w:r>
    </w:p>
    <w:p>
      <w:pPr>
        <w:spacing w:after="120"/>
      </w:pPr>
      <w:r>
        <w:t xml:space="preserve">Líneas marcadas en rojo en el informe HTML y acción propuesta: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no cubierto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</w:tcPr>
          <w:p>
            <w:r>
              <w:t>CartSummary.jsx</w:t>
            </w:r>
          </w:p>
        </w:tc>
        <w:tc>
          <w:tcPr>
            <w:tcW w:type="dxa" w:w="2600"/>
          </w:tcPr>
          <w:p>
            <w:r>
              <w:t>Bloque catch de cuota excedida en localStorage</w:t>
            </w:r>
          </w:p>
        </w:tc>
        <w:tc>
          <w:tcPr>
            <w:tcW w:type="dxa" w:w="2400"/>
          </w:tcPr>
          <w:p>
            <w:r>
              <w:t>Excepcion inusual de navegador</w:t>
            </w:r>
          </w:p>
        </w:tc>
        <w:tc>
          <w:tcPr>
            <w:tcW w:type="dxa" w:w="2226"/>
          </w:tcPr>
          <w:p>
            <w:r>
              <w:t>Mock de storage con quota exceeded</w:t>
            </w:r>
          </w:p>
        </w:tc>
      </w:tr>
      <w:tr>
        <w:tc>
          <w:tcPr>
            <w:tcW w:type="dxa" w:w="1800"/>
          </w:tcPr>
          <w:p>
            <w:r>
              <w:t>DespachoForm.jsx</w:t>
            </w:r>
          </w:p>
        </w:tc>
        <w:tc>
          <w:tcPr>
            <w:tcW w:type="dxa" w:w="2600"/>
          </w:tcPr>
          <w:p>
            <w:r>
              <w:t>Selector de region con valor nulo / reset</w:t>
            </w:r>
          </w:p>
        </w:tc>
        <w:tc>
          <w:tcPr>
            <w:tcW w:type="dxa" w:w="2400"/>
          </w:tcPr>
          <w:p>
            <w:r>
              <w:t>Caso defensivo de interfaz</w:t>
            </w:r>
          </w:p>
        </w:tc>
        <w:tc>
          <w:tcPr>
            <w:tcW w:type="dxa" w:w="2226"/>
          </w:tcPr>
          <w:p>
            <w:r>
              <w:t>Agregar test de reseteo de selector</w:t>
            </w:r>
          </w:p>
        </w:tc>
      </w:tr>
      <w:tr>
        <w:tc>
          <w:tcPr>
            <w:tcW w:type="dxa" w:w="1800"/>
          </w:tcPr>
          <w:p>
            <w:r>
              <w:t>ValidationService.js</w:t>
            </w:r>
          </w:p>
        </w:tc>
        <w:tc>
          <w:tcPr>
            <w:tcW w:type="dxa" w:w="2600"/>
          </w:tcPr>
          <w:p>
            <w:r>
              <w:t>Validacion de RUT con caracteres especiales no alfanumericos</w:t>
            </w:r>
          </w:p>
        </w:tc>
        <w:tc>
          <w:tcPr>
            <w:tcW w:type="dxa" w:w="2400"/>
          </w:tcPr>
          <w:p>
            <w:r>
              <w:t>Caso extremo de entrada</w:t>
            </w:r>
          </w:p>
        </w:tc>
        <w:tc>
          <w:tcPr>
            <w:tcW w:type="dxa" w:w="2226"/>
          </w:tcPr>
          <w:p>
            <w:r>
              <w:t>Agregar test con simbolos @#$% en campo RUT</w:t>
            </w:r>
          </w:p>
        </w:tc>
      </w:tr>
    </w:tbl>
    <w:p>
      <w:pPr>
        <w:pStyle w:val="Heading2"/>
        <w:spacing w:after="120" w:before="300"/>
      </w:pPr>
      <w:r>
        <w:t xml:space="preserve">8. Mocks y dependencias externas</w:t>
      </w:r>
    </w:p>
    <w:p>
      <w:pPr>
        <w:pStyle w:val="ListParagraph"/>
        <w:numPr>
          <w:ilvl w:val="0"/>
          <w:numId w:val="2"/>
        </w:numPr>
      </w:pPr>
      <w:r>
        <w:t xml:space="preserve">jasmine.createSpy() para las funciones que llegan por props, como onAdd.</w:t>
      </w:r>
    </w:p>
    <w:p>
      <w:pPr>
        <w:pStyle w:val="ListParagraph"/>
        <w:numPr>
          <w:ilvl w:val="0"/>
          <w:numId w:val="2"/>
        </w:numPr>
      </w:pPr>
      <w:r>
        <w:t xml:space="preserve">Servicio de productos simulado para no depender de una API real.</w:t>
      </w:r>
    </w:p>
    <w:p>
      <w:pPr>
        <w:pStyle w:val="ListParagraph"/>
        <w:numPr>
          <w:ilvl w:val="0"/>
          <w:numId w:val="2"/>
        </w:numPr>
      </w:pPr>
      <w:r>
        <w:t xml:space="preserve">localStorage simulado para el carrito persistente.</w:t>
      </w:r>
    </w:p>
    <w:p>
      <w:pPr>
        <w:pStyle w:val="Heading2"/>
        <w:spacing w:after="120" w:before="300"/>
      </w:pPr>
      <w:r>
        <w:t xml:space="preserve">9. Conclusiones</w:t>
      </w:r>
    </w:p>
    <w:p>
      <w:pPr>
        <w:pStyle w:val="ListParagraph"/>
        <w:numPr>
          <w:ilvl w:val="0"/>
          <w:numId w:val="2"/>
        </w:numPr>
      </w:pPr>
      <w:r>
        <w:t xml:space="preserve">Los componentes con lógica crítica (carrito y formularios) superan el 80% de cobertura de líneas.</w:t>
      </w:r>
    </w:p>
    <w:p>
      <w:pPr>
        <w:pStyle w:val="ListParagraph"/>
        <w:numPr>
          <w:ilvl w:val="0"/>
          <w:numId w:val="2"/>
        </w:numPr>
      </w:pPr>
      <w:r>
        <w:t xml:space="preserve">La cobertura de ramas (75%) es el principal punto de mejora, sobre todo en los casos de error.</w:t>
      </w:r>
    </w:p>
    <w:p>
      <w:pPr>
        <w:pStyle w:val="ListParagraph"/>
        <w:numPr>
          <w:ilvl w:val="0"/>
          <w:numId w:val="2"/>
        </w:numPr>
      </w:pPr>
      <w:r>
        <w:t xml:space="preserve">Las acciones del punto 7 permitirían cubrir las rutas de error y de borde que hoy faltan.</w:t>
      </w:r>
    </w:p>
    <w:p>
      <w:pPr>
        <w:pStyle w:val="ListParagraph"/>
        <w:numPr>
          <w:ilvl w:val="0"/>
          <w:numId w:val="2"/>
        </w:numPr>
      </w:pPr>
      <w:r>
        <w:t xml:space="preserve">Footer quedó fuera del alcance porque no tiene lógica que probar.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2026-10-10T11:29:10.219Z</dcterms:created>
  <dcterms:modified xsi:type="dcterms:W3CDTF">2026-10-10T11:29:10.222Z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