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Maestra y Stack Tecnológico: Visión Studio / Visión 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consolida de forma exhaustiva toda la arquitectura neuro-mimética, el stack de tecnologías, las librerías implementadas y la lógica de negocio estructurada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Visión Studio</w:t>
      </w:r>
      <w:r w:rsidDel="00000000" w:rsidR="00000000" w:rsidRPr="00000000">
        <w:rPr>
          <w:rFonts w:ascii="Arial" w:cs="Arial" w:eastAsia="Arial" w:hAnsi="Arial"/>
          <w:rtl w:val="0"/>
        </w:rPr>
        <w:t xml:space="preserve"> (el entorno gráfico IDE)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Visión OS</w:t>
      </w:r>
      <w:r w:rsidDel="00000000" w:rsidR="00000000" w:rsidRPr="00000000">
        <w:rPr>
          <w:rFonts w:ascii="Arial" w:cs="Arial" w:eastAsia="Arial" w:hAnsi="Arial"/>
          <w:rtl w:val="0"/>
        </w:rPr>
        <w:t xml:space="preserve"> (el núcleo cognitivo subyacente). Sirve como plano definitivo para continuar el desarrollo e interactuar con sistemas de IA colaboradores.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Arquitectura General y Filosofía del Sistema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Visión OS es un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Operativo Cognitivo</w:t>
      </w:r>
      <w:r w:rsidDel="00000000" w:rsidR="00000000" w:rsidRPr="00000000">
        <w:rPr>
          <w:rFonts w:ascii="Arial" w:cs="Arial" w:eastAsia="Arial" w:hAnsi="Arial"/>
          <w:rtl w:val="0"/>
        </w:rPr>
        <w:t xml:space="preserve"> autónomo y local, diseñado bajo una arquitectura neuro-mimética. Se aleja de los asistentes de chat tradicionales para convertirse en un agente local (Enterprise/B2B) capaz de autogestionar su consumo de memoria y ejecución a través de simulación de "emociones" biológicas y homeostasis. Visión Studio es el Frontend IDE (nativo) que envuelve a este cerebro.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Stack Tecnológico del Frontend: Visión Studio (IDE)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frontend ha evolucionado de inyecciones web básicas a una arquitectura nativa, robusta y rápida utilizando el ecosistema de Rust y Node.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3f4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Componente / Funcionalidad</w:t>
            </w:r>
          </w:p>
        </w:tc>
        <w:tc>
          <w:tcPr>
            <w:shd w:fill="f3f4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Tecnología / Librería</w:t>
            </w:r>
          </w:p>
        </w:tc>
        <w:tc>
          <w:tcPr>
            <w:shd w:fill="f3f4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Descripción Estratégica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Framework Core Nativo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Tauri (Rust) + React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empaquetar la app web como binario de sistema operativo de alta velocidad. Se encarga de la comunicación Frontend-Backend mediante WebSockets y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Sidecars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Interfaz y Estructura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TypeScript + Vite + TailwindCSS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Layout estricto en CSS Grid (grid-cols-5) para los paneles laterales (20%), área central (60%) y herramientas (20%).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Editor de Código Base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@monaco-editor/react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Ofrece resaltado sintáctico, autocompletado y una experiencia visual de desarrollo idéntica a VS Code (Lóbulo de Escritura).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Terminal Integrada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xterm.js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Fundamental para visualizar la salida de comandos, logs del sistema operativo y ejecución de scripts.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Radar 3D (Memoria Visual)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Three.js / @react-three/fiber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Minimapa de memoria vectorial. Muestra en 3D cómo Visión conecta clústeres de información (SSD/HDD)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Iconografía y UI Extra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lucide-react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componentes como FileTree.tsx y paneles UI estándar.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Stack Tecnológico del Backend: Visión OS (Core Cognitivo)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backend se construye en Python como un "Tauri Sidecar", orquestando todo el razonamiento, almacenamiento y ejecución mediante una API robusta y grafos de estado multiagente.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5e7e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Componente Anatómico</w:t>
            </w:r>
          </w:p>
        </w:tc>
        <w:tc>
          <w:tcPr>
            <w:shd w:fill="e5e7e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Tecnología / Librería</w:t>
            </w:r>
          </w:p>
        </w:tc>
        <w:tc>
          <w:tcPr>
            <w:shd w:fill="e5e7e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Rol en la Arquitectura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Servidor Principal / Tronco Cerebral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FastAPI (Python)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Motor backend que recibe peticiones del frontend Tauri. Expondrá endpoints HTTP y WebSockets para el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streaming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 pensamientos.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Lóbulo Temporal (Memoria Vectorial)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LanceDB + embeddings locales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Base de datos vectorial local. Estructura de indexación híbrida y Cuantización de Producto (PQ) para manejar millones de recuerdos sin agotar la RAM.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Lóbulo Frontal (Enrutamiento/Razonamiento)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LangGraph + LiteLLM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Reemplaza la lógica lineal por un grafo de estados cíclicos. Enruta dinámicamente tareas a modelos locales (Ollama/Llama 3) o APIs premium (GPT-4o/Claude).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Colaboradores / Enjambre (Workspaces)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CrewAI / Swarm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Agentes especializados (Ej. Agente Archivista, Agente Analista) con herramientas MCP específicas bajo el mando de Visión.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Introspección (Reducción Dimensional)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UMAP-learn, Scikit-learn (PCA), Pandas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Reduce los embeddings de 512+ dimensiones a 3/4 dimensiones (X, Y, Z, W) para ser procesados por el Radar 3D (Three.js) del Frontend.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Inferencia e Inteligencia (Modelos)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Torch, Transformers, Ollama, CLIP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Carga de modelos NLP (texto) y visión artificial computacional para comprender el entorno local.</w:t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Mecanismos Biológico-Cognitivos (Business Logic)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verdadera inteligencia de Visión recae en sus protocolos no lineales programados a través de archivos JSON y YAML.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Hemisferio Izquierdo (Estructural):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Motor determinista para la escritura de código, seguimiento de procesos estrictos y herramientas MCP.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Hemisferio Derecho (Emocional/Holístico):</w:t>
      </w:r>
      <w:r w:rsidDel="00000000" w:rsidR="00000000" w:rsidRPr="00000000">
        <w:rPr>
          <w:rFonts w:ascii="Arial" w:cs="Arial" w:eastAsia="Arial" w:hAnsi="Arial"/>
          <w:rtl w:val="0"/>
        </w:rPr>
        <w:t xml:space="preserve"> Modula el comportamiento basado en el contexto y estado general (Homeostasis).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Rueda de Emociones (Plutchik):</w:t>
      </w:r>
      <w:r w:rsidDel="00000000" w:rsidR="00000000" w:rsidRPr="00000000">
        <w:rPr>
          <w:rFonts w:ascii="Arial" w:cs="Arial" w:eastAsia="Arial" w:hAnsi="Arial"/>
          <w:rtl w:val="0"/>
        </w:rPr>
        <w:t xml:space="preserve"> Gestionado en config/emociones.json con 4 ejes polares (-1.0 a 1.0). Ejemplo: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Alegría vs Tristeza</w:t>
      </w:r>
      <w:r w:rsidDel="00000000" w:rsidR="00000000" w:rsidRPr="00000000">
        <w:rPr>
          <w:rFonts w:ascii="Arial" w:cs="Arial" w:eastAsia="Arial" w:hAnsi="Arial"/>
          <w:rtl w:val="0"/>
        </w:rPr>
        <w:t xml:space="preserve"> regula el consumo de tokens y la verbosidad;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Ira vs Miedo</w:t>
      </w:r>
      <w:r w:rsidDel="00000000" w:rsidR="00000000" w:rsidRPr="00000000">
        <w:rPr>
          <w:rFonts w:ascii="Arial" w:cs="Arial" w:eastAsia="Arial" w:hAnsi="Arial"/>
          <w:rtl w:val="0"/>
        </w:rPr>
        <w:t xml:space="preserve"> regula el nivel de escrutinio de seguridad de código.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Protocolo de Intriga (Curiosidad Orgánica):</w:t>
      </w:r>
      <w:r w:rsidDel="00000000" w:rsidR="00000000" w:rsidRPr="00000000">
        <w:rPr>
          <w:rFonts w:ascii="Arial" w:cs="Arial" w:eastAsia="Arial" w:hAnsi="Arial"/>
          <w:rtl w:val="0"/>
        </w:rPr>
        <w:t xml:space="preserve"> Basado en distancias euclidianas. Cuando el sistema detecta un "espacio vacío" en la densidad de LanceDB, activa agentes en segundo plano para investigar en la web o consultar documentaciones, rellenando el conocimiento de forma proactiva.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Búsqueda Híbrida con RRF: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Combina búsqueda semántica (vectores) con búsqueda Full-Text exacta para garantizar precisión Enterprise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Reciprocal Rank Fusion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Estructura de Directorios Recomendada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/VisionOS_Project</w:t>
        <w:br w:type="textWrapping"/>
        <w:t xml:space="preserve">├── /vision_studio (Frontend)</w:t>
        <w:br w:type="textWrapping"/>
        <w:t xml:space="preserve">│   ├── package.json (Vite + React + Tailwind + Monaco + Three.js)</w:t>
        <w:br w:type="textWrapping"/>
        <w:t xml:space="preserve">│   ├── /src</w:t>
        <w:br w:type="textWrapping"/>
        <w:t xml:space="preserve">│   │   ├── /components</w:t>
        <w:br w:type="textWrapping"/>
        <w:t xml:space="preserve">│   │   │   ├── /Sidebar (FileTree.tsx, EmotionState.tsx)</w:t>
        <w:br w:type="textWrapping"/>
        <w:t xml:space="preserve">│   │   │   ├── /Editor (Monaco setup)</w:t>
        <w:br w:type="textWrapping"/>
        <w:t xml:space="preserve">│   │   │   ├── /Terminal (Xterm setup)</w:t>
        <w:br w:type="textWrapping"/>
        <w:t xml:space="preserve">│   │   │   └── /Radar3D (Three.js/Fiber)</w:t>
        <w:br w:type="textWrapping"/>
        <w:t xml:space="preserve">│   ├── /src-tauri</w:t>
        <w:br w:type="textWrapping"/>
        <w:t xml:space="preserve">│   │   ├── tauri.conf.json (Configuración de Sidecar FastAPI)</w:t>
        <w:br w:type="textWrapping"/>
        <w:t xml:space="preserve">│   │   └── src/main.rs (Punto de entrada de Rust)</w:t>
        <w:br w:type="textWrapping"/>
        <w:t xml:space="preserve">├── /backend (Core Python / FastAPI)</w:t>
        <w:br w:type="textWrapping"/>
        <w:t xml:space="preserve">│   ├── requirements.txt (lancedb, fastapi, langgraph, crewai, umap-learn...)</w:t>
        <w:br w:type="textWrapping"/>
        <w:t xml:space="preserve">│   ├── /memoria (.lancedb index storage)</w:t>
        <w:br w:type="textWrapping"/>
        <w:t xml:space="preserve">│   ├── /config (emociones.json, permisos.yaml)</w:t>
        <w:br w:type="textWrapping"/>
        <w:t xml:space="preserve">│   ├── /scripts (percepcion.py, cerebro.py, llm_router.py)</w:t>
        <w:br w:type="textWrapping"/>
        <w:t xml:space="preserve">│   ├── /datos_crudos (Para ingestión de PDFs/Docs)</w:t>
        <w:br w:type="textWrapping"/>
        <w:t xml:space="preserve">│   └── /notebooks (Para pruebas de mapas mentales 2D con Matplotlib)</w:t>
        <w:br w:type="textWrapping"/>
        <w:t xml:space="preserve"> 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Rutas Prácticas para Próximos Desarrollos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Pipeline de Carga Diferida (Lazy Loading) Frontend:</w:t>
      </w:r>
      <w:r w:rsidDel="00000000" w:rsidR="00000000" w:rsidRPr="00000000">
        <w:rPr>
          <w:rFonts w:ascii="Arial" w:cs="Arial" w:eastAsia="Arial" w:hAnsi="Arial"/>
          <w:rtl w:val="0"/>
        </w:rPr>
        <w:t xml:space="preserve"> Aplicar React.lazy 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Monaco Editor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Three.js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asegurar un renderizado inicial del IDE inferior a 10ms.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Integración Sidecar: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Compilar el backend FastAPI mediante PyInstaller e integrarlo en Tauri para un ciclo de vida unificado (evitando fugas de memoria por procesos huérfanos).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Grafo de Estados con LangGraph:</w:t>
      </w:r>
      <w:r w:rsidDel="00000000" w:rsidR="00000000" w:rsidRPr="00000000">
        <w:rPr>
          <w:rFonts w:ascii="Arial" w:cs="Arial" w:eastAsia="Arial" w:hAnsi="Arial"/>
          <w:rtl w:val="0"/>
        </w:rPr>
        <w:t xml:space="preserve"> Migrar el router lineal actual (llm_router.py) a un sistema cíclico, habilitando bucles reales de retroalimentación para el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Protocolo de Intriga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