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Timeline and Legal Overview</w:t>
      </w:r>
    </w:p>
    <w:p>
      <w:pPr>
        <w:pStyle w:val="IntenseQuote"/>
      </w:pPr>
      <w:r>
        <w:t>Progressive Insurance Claim #25-822866566</w:t>
      </w:r>
    </w:p>
    <w:p>
      <w:r>
        <w:t>Claimant: Charles Travis Herd</w:t>
      </w:r>
    </w:p>
    <w:p>
      <w:r>
        <w:t>Insurer: Progressive Insurance Company</w:t>
      </w:r>
    </w:p>
    <w:p>
      <w:r>
        <w:t>Jurisdiction: Tennessee</w:t>
      </w:r>
    </w:p>
    <w:p>
      <w:r>
        <w:t>Policy #: 930700834</w:t>
      </w:r>
    </w:p>
    <w:p>
      <w:r>
        <w:t>Vehicle: 2020 Honda CR-V (VIN: 2HKRW1H23LH404578)</w:t>
      </w:r>
    </w:p>
    <w:p>
      <w:pPr>
        <w:pStyle w:val="Heading2"/>
      </w:pPr>
      <w:r>
        <w:t>Timeline of Key Events</w:t>
      </w:r>
    </w:p>
    <w:p>
      <w:pPr>
        <w:pStyle w:val="ListBullet"/>
      </w:pPr>
      <w:r>
        <w:t>- June 2023 – April 2025: Progressive collected premiums without interruption, despite later claiming Budget sold the car in 2024.</w:t>
      </w:r>
    </w:p>
    <w:p>
      <w:pPr>
        <w:pStyle w:val="ListBullet"/>
      </w:pPr>
      <w:r>
        <w:t>- April 20, 2025: Single-vehicle incident occurs.</w:t>
      </w:r>
    </w:p>
    <w:p>
      <w:pPr>
        <w:pStyle w:val="ListBullet"/>
      </w:pPr>
      <w:r>
        <w:t>- April 22, 2025: Claim reported. Vehicle location confirmed within days. Progressive begins repair/rental process.</w:t>
      </w:r>
    </w:p>
    <w:p>
      <w:pPr>
        <w:pStyle w:val="ListBullet"/>
      </w:pPr>
      <w:r>
        <w:t>- May 6, 2025: Vehicle declared total loss by Kim Brooks via text.</w:t>
      </w:r>
    </w:p>
    <w:p>
      <w:pPr>
        <w:pStyle w:val="ListBullet"/>
      </w:pPr>
      <w:r>
        <w:t>- May 6, 2025 (phone): Kim tells Mr. Herd Progressive doesn’t accept surety bonds. Bond effort is halted.</w:t>
      </w:r>
    </w:p>
    <w:p>
      <w:pPr>
        <w:pStyle w:val="ListBullet"/>
      </w:pPr>
      <w:r>
        <w:t>- May 15–27, 2025: Supervisor Matt Perkins contradicts Kim. Instructs Mr. Herd to obtain bond.</w:t>
      </w:r>
    </w:p>
    <w:p>
      <w:pPr>
        <w:pStyle w:val="ListBullet"/>
      </w:pPr>
      <w:r>
        <w:t>- May 19, 2025: Mr. Herd releases vehicle to Progressive for Copart transfer.</w:t>
      </w:r>
    </w:p>
    <w:p>
      <w:pPr>
        <w:pStyle w:val="ListBullet"/>
      </w:pPr>
      <w:r>
        <w:t>- May 20, 2025: Progressive confirms possession of the vehicle.</w:t>
      </w:r>
    </w:p>
    <w:p>
      <w:pPr>
        <w:pStyle w:val="ListBullet"/>
      </w:pPr>
      <w:r>
        <w:t>- May 20, 2025: Perkins claims Budget reported vehicle missing via 'database search' (later admitted to be just a call).</w:t>
      </w:r>
    </w:p>
    <w:p>
      <w:pPr>
        <w:pStyle w:val="ListBullet"/>
      </w:pPr>
      <w:r>
        <w:t>- May 22, 2025: Rental cut off mid-claim. Out-of-pocket expenses incurred.</w:t>
      </w:r>
    </w:p>
    <w:p>
      <w:pPr>
        <w:pStyle w:val="ListBullet"/>
      </w:pPr>
      <w:r>
        <w:t>- May 27–June 3, 2025: Progressive demands bond despite total loss, possession, and voided title by law.</w:t>
      </w:r>
    </w:p>
    <w:p>
      <w:pPr>
        <w:pStyle w:val="ListBullet"/>
      </w:pPr>
      <w:r>
        <w:t>- June 4, 2025: Bond contradiction formally challenged again.</w:t>
      </w:r>
    </w:p>
    <w:p>
      <w:pPr>
        <w:pStyle w:val="ListBullet"/>
      </w:pPr>
      <w:r>
        <w:t>- June–July 2025: Progressive admits they have no written policy on bonded titles.</w:t>
      </w:r>
    </w:p>
    <w:p>
      <w:pPr>
        <w:pStyle w:val="ListBullet"/>
      </w:pPr>
      <w:r>
        <w:t>- June 23, 2025: Progressive sends inaccurate information to the State of Tennessee.</w:t>
      </w:r>
    </w:p>
    <w:p>
      <w:pPr>
        <w:pStyle w:val="ListBullet"/>
      </w:pPr>
      <w:r>
        <w:t>- June–July 2025: State response dismisses complaint without action.</w:t>
      </w:r>
    </w:p>
    <w:p>
      <w:pPr>
        <w:pStyle w:val="Heading2"/>
      </w:pPr>
      <w:r>
        <w:t>Key Contradictions and Failures</w:t>
      </w:r>
    </w:p>
    <w:p>
      <w:pPr>
        <w:pStyle w:val="ListBullet"/>
      </w:pPr>
      <w:r>
        <w:t>- Surety Bond Policy: Kim says they’re not accepted; Matt later demands one; Progressive admits no policy exists.</w:t>
      </w:r>
    </w:p>
    <w:p>
      <w:pPr>
        <w:pStyle w:val="ListBullet"/>
      </w:pPr>
      <w:r>
        <w:t>- Total Loss Status: Declared, then denied; documentation later proves they lied.</w:t>
      </w:r>
    </w:p>
    <w:p>
      <w:pPr>
        <w:pStyle w:val="ListBullet"/>
      </w:pPr>
      <w:r>
        <w:t>- Stolen Vehicle Claim: No VIN or police report—just a call. Vehicle was properly insured and cleared.</w:t>
      </w:r>
    </w:p>
    <w:p>
      <w:pPr>
        <w:pStyle w:val="ListBullet"/>
      </w:pPr>
      <w:r>
        <w:t>- Rental Car: Cut off early, $400+ paid by Mr. Herd during open claim.</w:t>
      </w:r>
    </w:p>
    <w:p>
      <w:pPr>
        <w:pStyle w:val="ListBullet"/>
      </w:pPr>
      <w:r>
        <w:t>- Misrepresentation to State: Sent false info, accused claimant of citing fictitious statutes.</w:t>
      </w:r>
    </w:p>
    <w:p>
      <w:pPr>
        <w:pStyle w:val="ListBullet"/>
      </w:pPr>
      <w:r>
        <w:t>- Personal Disregard: Ignored daughter’s deployment and claimant’s serious medical conditions.</w:t>
      </w:r>
    </w:p>
    <w:p>
      <w:pPr>
        <w:pStyle w:val="Heading2"/>
      </w:pPr>
      <w:r>
        <w:t>Legal Statutes Referenced</w:t>
      </w:r>
    </w:p>
    <w:p>
      <w:pPr>
        <w:pStyle w:val="ListBullet"/>
      </w:pPr>
      <w:r>
        <w:t>- T.C.A. § 55-3-212: Title voided upon total loss; insurer must handle salvage.</w:t>
      </w:r>
    </w:p>
    <w:p>
      <w:pPr>
        <w:pStyle w:val="ListBullet"/>
      </w:pPr>
      <w:r>
        <w:t>- T.C.A. § 56-8-104: Unfair claims practices include misrepresentation and delay.</w:t>
      </w:r>
    </w:p>
    <w:p>
      <w:pPr>
        <w:pStyle w:val="ListBullet"/>
      </w:pPr>
      <w:r>
        <w:t>- T.C.A. § 56-8-105: Insurers must process claims promptly and fairly.</w:t>
      </w:r>
    </w:p>
    <w:p>
      <w:pPr>
        <w:pStyle w:val="ListBullet"/>
      </w:pPr>
      <w:r>
        <w:t>- T.C.A. § 56-7-105: Delayed claim payments over 60 days can incur a 25% penalty plus legal fees.</w:t>
      </w:r>
    </w:p>
    <w:p>
      <w:pPr>
        <w:pStyle w:val="Heading2"/>
      </w:pPr>
      <w:r>
        <w:t>Resolution Sought</w:t>
      </w:r>
    </w:p>
    <w:p>
      <w:r>
        <w:t>The claimant is not seeking confrontation. Only closure. No apologies or letters required. Just a full and fair resolution.</w:t>
      </w:r>
    </w:p>
    <w:p>
      <w:r>
        <w:br/>
        <w:t>Prepared by: Charles Travis Herd</w:t>
      </w:r>
    </w:p>
    <w:p>
      <w:r>
        <w:t>Date: August 04, 2025</w:t>
      </w:r>
    </w:p>
    <w:p>
      <w:r>
        <w:t>Purpose: Attorney Briefing – Formal documentation of claim and misconduct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