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jc w:val="start"/>
        <w:rPr/>
      </w:pPr>
      <w:r>
        <w:rPr>
          <w:rStyle w:val="Strong"/>
          <w:rFonts w:ascii="Google Sans;sans-serif" w:hAnsi="Google Sans;sans-serif"/>
          <w:b/>
          <w:strike w:val="false"/>
          <w:dstrike w:val="false"/>
          <w:sz w:val="30"/>
          <w:u w:val="none"/>
          <w:effect w:val="none"/>
        </w:rPr>
        <w:t>MediSecure Telehealth Inc.</w:t>
      </w:r>
    </w:p>
    <w:p>
      <w:pPr>
        <w:pStyle w:val="Normal"/>
        <w:bidi w:val="0"/>
        <w:spacing w:before="0" w:after="0"/>
        <w:ind w:hanging="0" w:start="0" w:end="0"/>
        <w:jc w:val="start"/>
        <w:rPr/>
      </w:pPr>
      <w:r>
        <w:rPr>
          <w:rStyle w:val="Strong"/>
          <w:rFonts w:ascii="Google Sans;sans-serif" w:hAnsi="Google Sans;sans-serif"/>
          <w:b/>
          <w:strike w:val="false"/>
          <w:dstrike w:val="false"/>
          <w:sz w:val="24"/>
          <w:u w:val="none"/>
          <w:effect w:val="none"/>
        </w:rPr>
        <w:t>Document ID:</w:t>
      </w:r>
      <w:r>
        <w:rPr>
          <w:rFonts w:ascii="Google Sans;sans-serif" w:hAnsi="Google Sans;sans-serif"/>
          <w:b w:val="false"/>
          <w:strike w:val="false"/>
          <w:dstrike w:val="false"/>
          <w:sz w:val="24"/>
          <w:u w:val="none"/>
          <w:effect w:val="none"/>
        </w:rPr>
        <w:t xml:space="preserve"> SEC-POL-026</w:t>
        <w:br/>
      </w:r>
      <w:r>
        <w:rPr>
          <w:rStyle w:val="Strong"/>
          <w:rFonts w:ascii="Google Sans;sans-serif" w:hAnsi="Google Sans;sans-serif"/>
          <w:b/>
          <w:strike w:val="false"/>
          <w:dstrike w:val="false"/>
          <w:sz w:val="24"/>
          <w:u w:val="none"/>
          <w:effect w:val="none"/>
        </w:rPr>
        <w:t>Version:</w:t>
      </w:r>
      <w:r>
        <w:rPr>
          <w:rFonts w:ascii="Google Sans;sans-serif" w:hAnsi="Google Sans;sans-serif"/>
          <w:b w:val="false"/>
          <w:strike w:val="false"/>
          <w:dstrike w:val="false"/>
          <w:sz w:val="24"/>
          <w:u w:val="none"/>
          <w:effect w:val="none"/>
        </w:rPr>
        <w:t xml:space="preserve"> 1.0</w:t>
        <w:br/>
      </w:r>
      <w:r>
        <w:rPr>
          <w:rStyle w:val="Strong"/>
          <w:rFonts w:ascii="Google Sans;sans-serif" w:hAnsi="Google Sans;sans-serif"/>
          <w:b/>
          <w:strike w:val="false"/>
          <w:dstrike w:val="false"/>
          <w:sz w:val="24"/>
          <w:u w:val="none"/>
          <w:effect w:val="none"/>
        </w:rPr>
        <w:t>Classification:</w:t>
      </w:r>
      <w:r>
        <w:rPr>
          <w:rFonts w:ascii="Google Sans;sans-serif" w:hAnsi="Google Sans;sans-serif"/>
          <w:b w:val="false"/>
          <w:strike w:val="false"/>
          <w:dstrike w:val="false"/>
          <w:sz w:val="24"/>
          <w:u w:val="none"/>
          <w:effect w:val="none"/>
        </w:rPr>
        <w:t xml:space="preserve"> Internal Use Only</w:t>
        <w:br/>
      </w:r>
      <w:r>
        <w:rPr>
          <w:rStyle w:val="Strong"/>
          <w:rFonts w:ascii="Google Sans;sans-serif" w:hAnsi="Google Sans;sans-serif"/>
          <w:b/>
          <w:strike w:val="false"/>
          <w:dstrike w:val="false"/>
          <w:sz w:val="24"/>
          <w:u w:val="none"/>
          <w:effect w:val="none"/>
        </w:rPr>
        <w:t>Aligned Frameworks:</w:t>
      </w:r>
      <w:r>
        <w:rPr>
          <w:rFonts w:ascii="Google Sans;sans-serif" w:hAnsi="Google Sans;sans-serif"/>
          <w:b w:val="false"/>
          <w:strike w:val="false"/>
          <w:dstrike w:val="false"/>
          <w:sz w:val="24"/>
          <w:u w:val="none"/>
          <w:effect w:val="none"/>
        </w:rPr>
        <w:t xml:space="preserve"> ISO/IEC 27001:2022 (Controls A.8.8, A.8.13, A.8.22, A.8.32) | ITIL v4 (Release, Change &amp; Disaster Recovery Management)</w:t>
      </w:r>
    </w:p>
    <w:p>
      <w:pPr>
        <w:pStyle w:val="HorizontalLine"/>
        <w:bidi w:val="0"/>
        <w:jc w:val="start"/>
        <w:rPr/>
      </w:pPr>
      <w:r>
        <w:rPr/>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1. PURPOSE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This policy establishes mandatory operational frameworks, architecture controls, and change-management protocols to protect MediSecure's enterprise networks, patient databases, and intellectual property from the execution, propagation, and business impact of malicious software (malware/ransomware).</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2. SCOPE</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This policy applies to all production servers, database clusters, network environments, and technical staff members responsible for maintaining MediSecure’s infrastructure.</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3. POLICY STATEMENTS</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3.1 Technical Vulnerability &amp; Patch Management (ISO 27001 A.8.8 &amp; ITIL Release Management)</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Continuous Vulnerability Assessment:</w:t>
      </w:r>
      <w:r>
        <w:rPr>
          <w:rFonts w:ascii="Google Sans;sans-serif" w:hAnsi="Google Sans;sans-serif"/>
          <w:b w:val="false"/>
          <w:strike w:val="false"/>
          <w:dstrike w:val="false"/>
          <w:sz w:val="24"/>
          <w:u w:val="none"/>
          <w:effect w:val="none"/>
        </w:rPr>
        <w:t xml:space="preserve"> IT Operations must conduct weekly automated vulnerability scanning across all production environments.</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Mandatory Patching SLAs:</w:t>
      </w:r>
      <w:r>
        <w:rPr>
          <w:rFonts w:ascii="Google Sans;sans-serif" w:hAnsi="Google Sans;sans-serif"/>
          <w:b w:val="false"/>
          <w:strike w:val="false"/>
          <w:dstrike w:val="false"/>
          <w:sz w:val="24"/>
          <w:u w:val="none"/>
          <w:effect w:val="none"/>
        </w:rPr>
        <w:t xml:space="preserve"> Upon the discovery or release of a critical vendor patch (e.g., Microsoft, AWS Security Advisories), the patch must be deployed through the CI/CD pipeline for automated stability testing.</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Enforced Timeline:</w:t>
      </w:r>
      <w:r>
        <w:rPr>
          <w:rFonts w:ascii="Google Sans;sans-serif" w:hAnsi="Google Sans;sans-serif"/>
          <w:b w:val="false"/>
          <w:strike w:val="false"/>
          <w:dstrike w:val="false"/>
          <w:sz w:val="24"/>
          <w:u w:val="none"/>
          <w:effect w:val="none"/>
        </w:rPr>
        <w:t xml:space="preserve"> Tested critical patches must be pushed to production environments within </w:t>
      </w:r>
      <w:r>
        <w:rPr>
          <w:rStyle w:val="Strong"/>
          <w:rFonts w:ascii="Google Sans;sans-serif" w:hAnsi="Google Sans;sans-serif"/>
          <w:b/>
          <w:strike w:val="false"/>
          <w:dstrike w:val="false"/>
          <w:sz w:val="24"/>
          <w:u w:val="none"/>
          <w:effect w:val="none"/>
        </w:rPr>
        <w:t>72 hours</w:t>
      </w:r>
      <w:r>
        <w:rPr>
          <w:rFonts w:ascii="Google Sans;sans-serif" w:hAnsi="Google Sans;sans-serif"/>
          <w:b w:val="false"/>
          <w:strike w:val="false"/>
          <w:dstrike w:val="false"/>
          <w:sz w:val="24"/>
          <w:u w:val="none"/>
          <w:effect w:val="none"/>
        </w:rPr>
        <w:t xml:space="preserve"> of public release. Operational or development downtime fears shall not delay critical patch deployment.</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3.2 Disaster Recovery &amp; Backup Architecture (ISO 27001 A.8.13 &amp; A.8.22)</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Network Isolation (Air-Gapping):</w:t>
      </w:r>
      <w:r>
        <w:rPr>
          <w:rFonts w:ascii="Google Sans;sans-serif" w:hAnsi="Google Sans;sans-serif"/>
          <w:b w:val="false"/>
          <w:strike w:val="false"/>
          <w:dstrike w:val="false"/>
          <w:sz w:val="24"/>
          <w:u w:val="none"/>
          <w:effect w:val="none"/>
        </w:rPr>
        <w:t xml:space="preserve"> All enterprise backup repositories must reside on an entirely separate network subnet, completely isolated by internal firewalls from the primary production environment.</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Non-Persistent Connectivity:</w:t>
      </w:r>
      <w:r>
        <w:rPr>
          <w:rFonts w:ascii="Google Sans;sans-serif" w:hAnsi="Google Sans;sans-serif"/>
          <w:b w:val="false"/>
          <w:strike w:val="false"/>
          <w:dstrike w:val="false"/>
          <w:sz w:val="24"/>
          <w:u w:val="none"/>
          <w:effect w:val="none"/>
        </w:rPr>
        <w:t xml:space="preserve"> Backup storage volumes must not remain persistently mapped or connected to active production servers. Backup connections must trigger programmatically (e.g., every 5 hours), transfer data, and terminate access immediately upon completion.</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Restoration Validation:</w:t>
      </w:r>
      <w:r>
        <w:rPr>
          <w:rFonts w:ascii="Google Sans;sans-serif" w:hAnsi="Google Sans;sans-serif"/>
          <w:b w:val="false"/>
          <w:strike w:val="false"/>
          <w:dstrike w:val="false"/>
          <w:sz w:val="24"/>
          <w:u w:val="none"/>
          <w:effect w:val="none"/>
        </w:rPr>
        <w:t xml:space="preserve"> IT Operations must conduct mandatory </w:t>
      </w:r>
      <w:r>
        <w:rPr>
          <w:rStyle w:val="Strong"/>
          <w:rFonts w:ascii="Google Sans;sans-serif" w:hAnsi="Google Sans;sans-serif"/>
          <w:b/>
          <w:strike w:val="false"/>
          <w:dstrike w:val="false"/>
          <w:sz w:val="24"/>
          <w:u w:val="none"/>
          <w:effect w:val="none"/>
        </w:rPr>
        <w:t>Bi-Annual Backup Restoration Drills</w:t>
      </w:r>
      <w:r>
        <w:rPr>
          <w:rFonts w:ascii="Google Sans;sans-serif" w:hAnsi="Google Sans;sans-serif"/>
          <w:b w:val="false"/>
          <w:strike w:val="false"/>
          <w:dstrike w:val="false"/>
          <w:sz w:val="24"/>
          <w:u w:val="none"/>
          <w:effect w:val="none"/>
        </w:rPr>
        <w:t xml:space="preserve"> to mathematically prove data integrity and guarantee the organization can meet its recovery time objectives.</w:t>
      </w:r>
    </w:p>
    <w:p>
      <w:pPr>
        <w:pStyle w:val="BodyText"/>
        <w:bidi w:val="0"/>
        <w:ind w:hanging="0" w:start="0" w:end="0"/>
        <w:jc w:val="start"/>
        <w:rPr/>
      </w:pPr>
      <w:r>
        <w:rPr>
          <w:rStyle w:val="Strong"/>
          <w:rFonts w:ascii="Google Sans;sans-serif" w:hAnsi="Google Sans;sans-serif"/>
          <w:b/>
          <w:strike w:val="false"/>
          <w:dstrike w:val="false"/>
          <w:sz w:val="24"/>
          <w:u w:val="none"/>
          <w:effect w:val="none"/>
        </w:rPr>
        <w:t>3.3 Strict Infrastructure Change Control (ISO 27001 A.8.32 &amp; ITIL Change Enablement)</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Zero-Tolerance Manual Adjustments:</w:t>
      </w:r>
      <w:r>
        <w:rPr>
          <w:rFonts w:ascii="Google Sans;sans-serif" w:hAnsi="Google Sans;sans-serif"/>
          <w:b w:val="false"/>
          <w:strike w:val="false"/>
          <w:dstrike w:val="false"/>
          <w:sz w:val="24"/>
          <w:u w:val="none"/>
          <w:effect w:val="none"/>
        </w:rPr>
        <w:t xml:space="preserve"> No network, firewall, or server configuration modifications may be performed ad-hoc or without audit trails.</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Perimeter Restrictions:</w:t>
      </w:r>
      <w:r>
        <w:rPr>
          <w:rFonts w:ascii="Google Sans;sans-serif" w:hAnsi="Google Sans;sans-serif"/>
          <w:b w:val="false"/>
          <w:strike w:val="false"/>
          <w:dstrike w:val="false"/>
          <w:sz w:val="24"/>
          <w:u w:val="none"/>
          <w:effect w:val="none"/>
        </w:rPr>
        <w:t xml:space="preserve"> Opening network communication vectors to the public internet (including but not limited to Port 3389 - RDP) is strictly classified as a "Normal Change."</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Prior Authorization &amp; Tracking:</w:t>
      </w:r>
      <w:r>
        <w:rPr>
          <w:rFonts w:ascii="Google Sans;sans-serif" w:hAnsi="Google Sans;sans-serif"/>
          <w:b w:val="false"/>
          <w:strike w:val="false"/>
          <w:dstrike w:val="false"/>
          <w:sz w:val="24"/>
          <w:u w:val="none"/>
          <w:effect w:val="none"/>
        </w:rPr>
        <w:t xml:space="preserve"> Such changes require a formal risk assessment, written authorization from the Security Team, active logging of the administrator’s identity/timestamp, and continuous surveillance by the SOC.</w:t>
      </w:r>
    </w:p>
    <w:p>
      <w:pPr>
        <w:pStyle w:val="HorizontalLine"/>
        <w:bidi w:val="0"/>
        <w:jc w:val="start"/>
        <w:rPr/>
      </w:pPr>
      <w:r>
        <w:rPr/>
      </w:r>
    </w:p>
    <w:p>
      <w:pPr>
        <w:pStyle w:val="BodyText"/>
        <w:bidi w:val="0"/>
        <w:ind w:hanging="0" w:start="0" w:end="0"/>
        <w:jc w:val="start"/>
        <w:rPr/>
      </w:pPr>
      <w:r>
        <w:rPr>
          <w:rStyle w:val="Strong"/>
          <w:rFonts w:ascii="Google Sans;sans-serif" w:hAnsi="Google Sans;sans-serif"/>
          <w:b/>
          <w:strike w:val="false"/>
          <w:dstrike w:val="false"/>
          <w:sz w:val="30"/>
          <w:u w:val="none"/>
          <w:effect w:val="none"/>
        </w:rPr>
        <w:t>4. EMERGENCY ESCALATION &amp; CRISIS COMMUNICATION (ITIL Practice)</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Immediate Escalation:</w:t>
      </w:r>
      <w:r>
        <w:rPr>
          <w:rFonts w:ascii="Google Sans;sans-serif" w:hAnsi="Google Sans;sans-serif"/>
          <w:b w:val="false"/>
          <w:strike w:val="false"/>
          <w:dstrike w:val="false"/>
          <w:sz w:val="24"/>
          <w:u w:val="none"/>
          <w:effect w:val="none"/>
        </w:rPr>
        <w:t xml:space="preserve"> Upon high-confidence SIEM/EDR detection of a malware outbreak, mass file encryption, or active shadow copy deletion, the SOC must initiate the </w:t>
      </w:r>
      <w:r>
        <w:rPr>
          <w:rStyle w:val="Strong"/>
          <w:rFonts w:ascii="Google Sans;sans-serif" w:hAnsi="Google Sans;sans-serif"/>
          <w:b/>
          <w:strike w:val="false"/>
          <w:dstrike w:val="false"/>
          <w:sz w:val="24"/>
          <w:u w:val="none"/>
          <w:effect w:val="none"/>
        </w:rPr>
        <w:t>ITIL Major Incident Protocol</w:t>
      </w:r>
      <w:r>
        <w:rPr>
          <w:rFonts w:ascii="Google Sans;sans-serif" w:hAnsi="Google Sans;sans-serif"/>
          <w:b w:val="false"/>
          <w:strike w:val="false"/>
          <w:dstrike w:val="false"/>
          <w:sz w:val="24"/>
          <w:u w:val="none"/>
          <w:effect w:val="none"/>
        </w:rPr>
        <w:t>.</w:t>
      </w:r>
    </w:p>
    <w:p>
      <w:pPr>
        <w:pStyle w:val="BodyText"/>
        <w:numPr>
          <w:ilvl w:val="0"/>
          <w:numId w:val="5"/>
        </w:numPr>
        <w:pBdr/>
        <w:tabs>
          <w:tab w:val="clear" w:pos="709"/>
          <w:tab w:val="left" w:pos="0" w:leader="none"/>
        </w:tabs>
        <w:bidi w:val="0"/>
        <w:spacing w:before="0" w:after="0"/>
        <w:ind w:hanging="283" w:start="0" w:end="0"/>
        <w:jc w:val="start"/>
        <w:rPr/>
      </w:pPr>
      <w:r>
        <w:rPr>
          <w:rStyle w:val="Strong"/>
          <w:rFonts w:ascii="Google Sans;sans-serif" w:hAnsi="Google Sans;sans-serif"/>
          <w:b/>
          <w:strike w:val="false"/>
          <w:dstrike w:val="false"/>
          <w:sz w:val="24"/>
          <w:u w:val="none"/>
          <w:effect w:val="none"/>
        </w:rPr>
        <w:t>Automated Out-of-Band Notification:</w:t>
      </w:r>
      <w:r>
        <w:rPr>
          <w:rFonts w:ascii="Google Sans;sans-serif" w:hAnsi="Google Sans;sans-serif"/>
          <w:b w:val="false"/>
          <w:strike w:val="false"/>
          <w:dstrike w:val="false"/>
          <w:sz w:val="24"/>
          <w:u w:val="none"/>
          <w:effect w:val="none"/>
        </w:rPr>
        <w:t xml:space="preserve"> The incident management platform must leverage automated, out-of-band communication systems to immediately page the SOC Lead, Chief Information Security Officer (CISO), Chief Executive Officer (CEO), and Legal Counsel simultaneously, regardless of the hour, to minimize strategic communication delay.</w:t>
      </w:r>
    </w:p>
    <w:p>
      <w:pPr>
        <w:pStyle w:val="BodyText"/>
        <w:bidi w:val="0"/>
        <w:spacing w:before="0" w:after="0"/>
        <w:ind w:hanging="0" w:start="0" w:end="0"/>
        <w:jc w:val="start"/>
        <w:rPr/>
      </w:pPr>
      <w:r>
        <w:rPr>
          <w:rStyle w:val="Strong"/>
          <w:rFonts w:ascii="Google Sans;sans-serif" w:hAnsi="Google Sans;sans-serif"/>
          <w:b/>
          <w:strike w:val="false"/>
          <w:dstrike w:val="false"/>
          <w:sz w:val="30"/>
          <w:u w:val="none"/>
          <w:effect w:val="none"/>
        </w:rPr>
        <w:t>5. COMPLIANCE &amp; ENFORCEMENT</w:t>
      </w:r>
    </w:p>
    <w:p>
      <w:pPr>
        <w:pStyle w:val="BodyText"/>
        <w:bidi w:val="0"/>
        <w:spacing w:before="180" w:after="240"/>
        <w:ind w:hanging="0" w:start="0" w:end="0"/>
        <w:jc w:val="start"/>
        <w:rPr>
          <w:rFonts w:ascii="Google Sans;sans-serif" w:hAnsi="Google Sans;sans-serif"/>
          <w:b w:val="false"/>
          <w:strike w:val="false"/>
          <w:dstrike w:val="false"/>
          <w:sz w:val="24"/>
          <w:u w:val="none"/>
          <w:effect w:val="none"/>
        </w:rPr>
      </w:pPr>
      <w:r>
        <w:rPr>
          <w:rFonts w:ascii="Google Sans;sans-serif" w:hAnsi="Google Sans;sans-serif"/>
          <w:b w:val="false"/>
          <w:strike w:val="false"/>
          <w:dstrike w:val="false"/>
          <w:sz w:val="24"/>
          <w:u w:val="none"/>
          <w:effect w:val="none"/>
        </w:rPr>
        <w:t>Failure to log infrastructure modifications, deliberate circumvention of change-management protocols, or unapproved deferral of critical security patches will result in immediate escalation to Internal Audit and human resources for disciplinary actions, up to termination of employment.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LibreOffice_project/0229ac93fcf0d7cbc6376066c6f35021cef002dc</Application>
  <AppVersion>15.0000</AppVersion>
  <Pages>2</Pages>
  <Words>483</Words>
  <Characters>3228</Characters>
  <CharactersWithSpaces>3676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2026-09-16T13:45:19Z</dcterms:created>
  <dc:creator/>
  <dc:description/>
  <dc:language>en-US</dc:language>
  <cp:lastModifiedBy/>
  <dcterms:modified xsi:type="dcterms:W3CDTF">2026-09-16T13:47:33Z</dcterms:modified>
  <cp:revision>1</cp:revision>
  <dc:subject/>
  <dc:title/>
</cp:coreProperties>
</file>