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  <w:t>MediSecure Telehealth Inc.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Document ID: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GOV-COBIT-MASTER</w:t>
        <w:br/>
      </w: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Version: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1.0</w:t>
        <w:br/>
      </w: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Classification: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Strategic Board Level</w:t>
        <w:br/>
      </w: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Framework Focus: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Complete COBIT 2019 Enterprise Alignment Matrix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  <w:t>The Enterprise Governance &amp; Strategy Matrix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1903"/>
        <w:gridCol w:w="2350"/>
        <w:gridCol w:w="2526"/>
        <w:gridCol w:w="2859"/>
      </w:tblGrid>
      <w:tr>
        <w:trPr/>
        <w:tc>
          <w:tcPr>
            <w:tcW w:w="1903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Heading"/>
              <w:bidi w:val="0"/>
              <w:spacing w:before="0" w:after="0"/>
              <w:ind w:hanging="0" w:start="0" w:end="0"/>
              <w:rPr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COBIT 2019 Core Domain</w:t>
            </w:r>
          </w:p>
        </w:tc>
        <w:tc>
          <w:tcPr>
            <w:tcW w:w="2350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Heading"/>
              <w:bidi w:val="0"/>
              <w:spacing w:before="0" w:after="0"/>
              <w:ind w:hanging="0" w:start="0" w:end="0"/>
              <w:rPr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Enterprise Objective</w:t>
            </w:r>
          </w:p>
        </w:tc>
        <w:tc>
          <w:tcPr>
            <w:tcW w:w="2526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Heading"/>
              <w:bidi w:val="0"/>
              <w:spacing w:before="0" w:after="0"/>
              <w:ind w:hanging="0" w:start="0" w:end="0"/>
              <w:rPr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Technical Policy Link (CDPP Reference)</w:t>
            </w:r>
          </w:p>
        </w:tc>
        <w:tc>
          <w:tcPr>
            <w:tcW w:w="2859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Heading"/>
              <w:bidi w:val="0"/>
              <w:spacing w:before="0" w:after="0"/>
              <w:ind w:hanging="0" w:start="0" w:end="0"/>
              <w:rPr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Business Outcome / ROI</w:t>
            </w:r>
          </w:p>
        </w:tc>
      </w:tr>
      <w:tr>
        <w:trPr/>
        <w:tc>
          <w:tcPr>
            <w:tcW w:w="1903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EDM03: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Ensured Risk Optimization</w:t>
            </w:r>
          </w:p>
        </w:tc>
        <w:tc>
          <w:tcPr>
            <w:tcW w:w="2350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Evaluate corporate risk appetite and ensure vulnerabilities are mitigated before financial loss occurs.</w:t>
            </w:r>
          </w:p>
        </w:tc>
        <w:tc>
          <w:tcPr>
            <w:tcW w:w="2526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Malware Policy Sec 3.1: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Forces automated vulnerability testing and strict 72-hour patching timelines through a CI/CD staging pipeline.</w:t>
            </w:r>
          </w:p>
        </w:tc>
        <w:tc>
          <w:tcPr>
            <w:tcW w:w="2859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Eliminates human friction regarding downtime, reducing the likelihood of a </w:t>
            </w: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$200,000+ ransomware operational stoppage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to an acceptable risk level.</w:t>
            </w:r>
          </w:p>
        </w:tc>
      </w:tr>
      <w:tr>
        <w:trPr/>
        <w:tc>
          <w:tcPr>
            <w:tcW w:w="1903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APO12: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Managed Risk</w:t>
            </w:r>
          </w:p>
        </w:tc>
        <w:tc>
          <w:tcPr>
            <w:tcW w:w="2350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Continually integrate information security risk management with enterprise-wide risk management profiles.</w:t>
            </w:r>
          </w:p>
        </w:tc>
        <w:tc>
          <w:tcPr>
            <w:tcW w:w="2526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Malware Policy Sec 3.3: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Mandates security authorization and tracking before opening critical network communication ports.</w:t>
            </w:r>
          </w:p>
        </w:tc>
        <w:tc>
          <w:tcPr>
            <w:tcW w:w="2859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Prevents unauthorized internet exposure (e.g., exposing Port 3389 - RDP) that could lead to mass internal network exploitation.</w:t>
            </w:r>
          </w:p>
        </w:tc>
      </w:tr>
      <w:tr>
        <w:trPr/>
        <w:tc>
          <w:tcPr>
            <w:tcW w:w="1903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APO13: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Managed Security</w:t>
            </w:r>
          </w:p>
        </w:tc>
        <w:tc>
          <w:tcPr>
            <w:tcW w:w="2350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Define, operate, and monitor an information security management system that aligns with business risks.</w:t>
            </w:r>
          </w:p>
        </w:tc>
        <w:tc>
          <w:tcPr>
            <w:tcW w:w="2526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Phishing Policy Sec 3.1 &amp; 3.2: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Enforces incoming validation for SPF/DKIM/DMARC and deploys automated Secure Email Gateways.</w:t>
            </w:r>
          </w:p>
        </w:tc>
        <w:tc>
          <w:tcPr>
            <w:tcW w:w="2859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Drastically reduces the corporate email attack surface by </w:t>
            </w: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automatically dropping spoofed or malicious emails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before they reach employee inboxes.</w:t>
            </w:r>
          </w:p>
        </w:tc>
      </w:tr>
      <w:tr>
        <w:trPr/>
        <w:tc>
          <w:tcPr>
            <w:tcW w:w="1903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APO14: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Managed Data</w:t>
            </w:r>
          </w:p>
        </w:tc>
        <w:tc>
          <w:tcPr>
            <w:tcW w:w="2350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Ensure effective management of data assets throughout their lifecycle, preventing unauthorized disclosure.</w:t>
            </w:r>
          </w:p>
        </w:tc>
        <w:tc>
          <w:tcPr>
            <w:tcW w:w="2526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Malware Policy Sec 3.4 &amp; Phishing Policy Sec 3.2: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Implements Content-Aware DLP and SSL/TLS Decryption targeting outbound files.</w:t>
            </w:r>
          </w:p>
        </w:tc>
        <w:tc>
          <w:tcPr>
            <w:tcW w:w="2859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Closes the "custom web server" loophole by scanning the </w:t>
            </w:r>
            <w:r>
              <w:rPr>
                <w:rStyle w:val="Emphasis"/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content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of the data leaving the network, </w:t>
            </w: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preventing multi-million dollar regulatory fines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from data leakage.</w:t>
            </w:r>
          </w:p>
        </w:tc>
      </w:tr>
      <w:tr>
        <w:trPr/>
        <w:tc>
          <w:tcPr>
            <w:tcW w:w="1903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BAI08: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Managed Knowledge</w:t>
            </w:r>
          </w:p>
        </w:tc>
        <w:tc>
          <w:tcPr>
            <w:tcW w:w="2350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Cultivate a risk-aware corporate culture and verify human operational capability through targeted awareness.</w:t>
            </w:r>
          </w:p>
        </w:tc>
        <w:tc>
          <w:tcPr>
            <w:tcW w:w="2526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Phishing Policy Sec 5: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Mandates quarterly automated phishing simulation tests and mandatory HR-tracked security re-education.</w:t>
            </w:r>
          </w:p>
        </w:tc>
        <w:tc>
          <w:tcPr>
            <w:tcW w:w="2859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Transforms employees from a security liability into an active human firewall, </w:t>
            </w: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significantly lowering successful email compromise rates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over time.</w:t>
            </w:r>
          </w:p>
        </w:tc>
      </w:tr>
      <w:tr>
        <w:trPr/>
        <w:tc>
          <w:tcPr>
            <w:tcW w:w="1903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BAI10: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Managed Configuration</w:t>
            </w:r>
          </w:p>
        </w:tc>
        <w:tc>
          <w:tcPr>
            <w:tcW w:w="2350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Maintain accurate configuration repositories and control baseline alterations to ensure system integrity.</w:t>
            </w:r>
          </w:p>
        </w:tc>
        <w:tc>
          <w:tcPr>
            <w:tcW w:w="2526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Malware Policy Sec 3.3: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Automates the tracking of every administrative system change within the service management console.</w:t>
            </w:r>
          </w:p>
        </w:tc>
        <w:tc>
          <w:tcPr>
            <w:tcW w:w="2859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Google Sans;sans-serif" w:hAnsi="Google Sans;sans-serif" w:eastAsia="Google Sans;sans-serif" w:cs="Google Sans;sans-serif"/>
                <w:b w:val="false"/>
                <w:bCs w:val="false"/>
                <w:strike w:val="false"/>
                <w:dstrike w:val="false"/>
                <w:sz w:val="21"/>
                <w:szCs w:val="21"/>
                <w:u w:val="none"/>
                <w:effect w:val="none"/>
              </w:rPr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Eliminates rogue IT configurations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, ensures total system accountability for infrastructure engineers, and simplifies external compliance audits.</w:t>
            </w:r>
          </w:p>
        </w:tc>
      </w:tr>
      <w:tr>
        <w:trPr/>
        <w:tc>
          <w:tcPr>
            <w:tcW w:w="1903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DSS04: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Managed Continuity</w:t>
            </w:r>
          </w:p>
        </w:tc>
        <w:tc>
          <w:tcPr>
            <w:tcW w:w="2350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Maintain business operational resilience and establish effective corporate disaster recovery procedures.</w:t>
            </w:r>
          </w:p>
        </w:tc>
        <w:tc>
          <w:tcPr>
            <w:tcW w:w="2526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Malware Policy Sec 3.2 &amp; Sec 4: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Mandates air-gapped, non-persistent backup subnets and bi-annual recovery restoration drills.</w:t>
            </w:r>
          </w:p>
        </w:tc>
        <w:tc>
          <w:tcPr>
            <w:tcW w:w="2859" w:type="dxa"/>
            <w:tcBorders>
              <w:bottom w:val="single" w:sz="2" w:space="0" w:color="363840"/>
            </w:tcBorders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Guarantees that backups cannot be encrypted by ransomware, </w:t>
            </w: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minimizing Recovery Time Objectives (RTO)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during a catastrophic network emergency.</w:t>
            </w:r>
          </w:p>
        </w:tc>
      </w:tr>
      <w:tr>
        <w:trPr/>
        <w:tc>
          <w:tcPr>
            <w:tcW w:w="1903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MEA01: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Managed Performance &amp; Conformance</w:t>
            </w:r>
          </w:p>
        </w:tc>
        <w:tc>
          <w:tcPr>
            <w:tcW w:w="2350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Systematically monitor corporate networks to verify compliance with internal policies and external standards.</w:t>
            </w:r>
          </w:p>
        </w:tc>
        <w:tc>
          <w:tcPr>
            <w:tcW w:w="2526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Phishing Policy Sec 3.3 &amp; Malware Policy Sec 4: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Aggregates centralized logs to a SIEM and configures high-severity anomaly alerts.</w:t>
            </w:r>
          </w:p>
        </w:tc>
        <w:tc>
          <w:tcPr>
            <w:tcW w:w="2859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Ensures total enterprise visibility and </w:t>
            </w: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provides the definitive mathematical audit trail</w:t>
            </w:r>
            <w:r>
              <w:rPr>
                <w:rFonts w:ascii="Google Sans;sans-serif" w:hAnsi="Google Sans;sans-serif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required to legally prove compliance during third-party ISO 27001 audits.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LibreOffice_project/0229ac93fcf0d7cbc6376066c6f35021cef002dc</Application>
  <AppVersion>15.0000</AppVersion>
  <Pages>2</Pages>
  <Words>458</Words>
  <Characters>3130</Characters>
  <CharactersWithSpaces>3549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2026-09-16T14:00:20Z</dcterms:created>
  <dc:creator/>
  <dc:description/>
  <dc:language>en-US</dc:language>
  <cp:lastModifiedBy/>
  <dcterms:modified xsi:type="dcterms:W3CDTF">2026-09-16T14:01:34Z</dcterms:modified>
  <cp:revision>1</cp:revision>
  <dc:subject/>
  <dc:title/>
</cp:coreProperties>
</file>