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0" w:after="0"/>
        <w:ind w:hanging="0" w:start="0" w:end="0"/>
        <w:jc w:val="start"/>
        <w:rPr/>
      </w:pPr>
      <w:r>
        <w:rPr>
          <w:rStyle w:val="Strong"/>
          <w:rFonts w:ascii="Google Sans;sans-serif" w:hAnsi="Google Sans;sans-serif"/>
          <w:b/>
          <w:strike w:val="false"/>
          <w:dstrike w:val="false"/>
          <w:sz w:val="30"/>
          <w:u w:val="none"/>
          <w:effect w:val="none"/>
        </w:rPr>
        <w:t>MediSecure Telehealth Inc.</w:t>
      </w:r>
    </w:p>
    <w:p>
      <w:pPr>
        <w:pStyle w:val="Normal"/>
        <w:bidi w:val="0"/>
        <w:spacing w:before="0" w:after="0"/>
        <w:ind w:hanging="0" w:start="0" w:end="0"/>
        <w:jc w:val="start"/>
        <w:rPr/>
      </w:pPr>
      <w:r>
        <w:rPr>
          <w:rStyle w:val="Strong"/>
          <w:rFonts w:ascii="Google Sans;sans-serif" w:hAnsi="Google Sans;sans-serif"/>
          <w:b/>
          <w:strike w:val="false"/>
          <w:dstrike w:val="false"/>
          <w:sz w:val="24"/>
          <w:u w:val="none"/>
          <w:effect w:val="none"/>
        </w:rPr>
        <w:t>Document ID:</w:t>
      </w:r>
      <w:r>
        <w:rPr>
          <w:rFonts w:ascii="Google Sans;sans-serif" w:hAnsi="Google Sans;sans-serif"/>
          <w:b w:val="false"/>
          <w:strike w:val="false"/>
          <w:dstrike w:val="false"/>
          <w:sz w:val="24"/>
          <w:u w:val="none"/>
          <w:effect w:val="none"/>
        </w:rPr>
        <w:t xml:space="preserve"> SEC-POL-024</w:t>
        <w:br/>
      </w:r>
      <w:r>
        <w:rPr>
          <w:rStyle w:val="Strong"/>
          <w:rFonts w:ascii="Google Sans;sans-serif" w:hAnsi="Google Sans;sans-serif"/>
          <w:b/>
          <w:strike w:val="false"/>
          <w:dstrike w:val="false"/>
          <w:sz w:val="24"/>
          <w:u w:val="none"/>
          <w:effect w:val="none"/>
        </w:rPr>
        <w:t>Version:</w:t>
      </w:r>
      <w:r>
        <w:rPr>
          <w:rFonts w:ascii="Google Sans;sans-serif" w:hAnsi="Google Sans;sans-serif"/>
          <w:b w:val="false"/>
          <w:strike w:val="false"/>
          <w:dstrike w:val="false"/>
          <w:sz w:val="24"/>
          <w:u w:val="none"/>
          <w:effect w:val="none"/>
        </w:rPr>
        <w:t xml:space="preserve"> 1.0</w:t>
        <w:br/>
      </w:r>
      <w:r>
        <w:rPr>
          <w:rStyle w:val="Strong"/>
          <w:rFonts w:ascii="Google Sans;sans-serif" w:hAnsi="Google Sans;sans-serif"/>
          <w:b/>
          <w:strike w:val="false"/>
          <w:dstrike w:val="false"/>
          <w:sz w:val="24"/>
          <w:u w:val="none"/>
          <w:effect w:val="none"/>
        </w:rPr>
        <w:t>Classification:</w:t>
      </w:r>
      <w:r>
        <w:rPr>
          <w:rFonts w:ascii="Google Sans;sans-serif" w:hAnsi="Google Sans;sans-serif"/>
          <w:b w:val="false"/>
          <w:strike w:val="false"/>
          <w:dstrike w:val="false"/>
          <w:sz w:val="24"/>
          <w:u w:val="none"/>
          <w:effect w:val="none"/>
        </w:rPr>
        <w:t xml:space="preserve"> Internal Use Only</w:t>
        <w:br/>
      </w:r>
      <w:r>
        <w:rPr>
          <w:rStyle w:val="Strong"/>
          <w:rFonts w:ascii="Google Sans;sans-serif" w:hAnsi="Google Sans;sans-serif"/>
          <w:b/>
          <w:strike w:val="false"/>
          <w:dstrike w:val="false"/>
          <w:sz w:val="24"/>
          <w:u w:val="none"/>
          <w:effect w:val="none"/>
        </w:rPr>
        <w:t>Aligned Frameworks:</w:t>
      </w:r>
      <w:r>
        <w:rPr>
          <w:rFonts w:ascii="Google Sans;sans-serif" w:hAnsi="Google Sans;sans-serif"/>
          <w:b w:val="false"/>
          <w:strike w:val="false"/>
          <w:dstrike w:val="false"/>
          <w:sz w:val="24"/>
          <w:u w:val="none"/>
          <w:effect w:val="none"/>
        </w:rPr>
        <w:t xml:space="preserve"> ISO/IEC 27001:2022 (Controls A.5.15, A.7.10, A.8.12, A.8.20) | ITIL v4 (Change &amp; Event Management)</w:t>
      </w:r>
    </w:p>
    <w:p>
      <w:pPr>
        <w:pStyle w:val="HorizontalLine"/>
        <w:bidi w:val="0"/>
        <w:jc w:val="start"/>
        <w:rPr/>
      </w:pPr>
      <w:r>
        <w:rPr/>
      </w:r>
    </w:p>
    <w:p>
      <w:pPr>
        <w:pStyle w:val="BodyText"/>
        <w:bidi w:val="0"/>
        <w:spacing w:before="0" w:after="0"/>
        <w:ind w:hanging="0" w:start="0" w:end="0"/>
        <w:jc w:val="start"/>
        <w:rPr/>
      </w:pPr>
      <w:r>
        <w:rPr>
          <w:rStyle w:val="Strong"/>
          <w:rFonts w:ascii="Google Sans;sans-serif" w:hAnsi="Google Sans;sans-serif"/>
          <w:b/>
          <w:strike w:val="false"/>
          <w:dstrike w:val="false"/>
          <w:sz w:val="30"/>
          <w:u w:val="none"/>
          <w:effect w:val="none"/>
        </w:rPr>
        <w:t>1. PURPOSE</w:t>
      </w:r>
    </w:p>
    <w:p>
      <w:pPr>
        <w:pStyle w:val="BodyText"/>
        <w:bidi w:val="0"/>
        <w:spacing w:before="180" w:after="240"/>
        <w:ind w:hanging="0" w:start="0" w:end="0"/>
        <w:jc w:val="start"/>
        <w:rPr>
          <w:rFonts w:ascii="Google Sans;sans-serif" w:hAnsi="Google Sans;sans-serif"/>
          <w:b w:val="false"/>
          <w:strike w:val="false"/>
          <w:dstrike w:val="false"/>
          <w:sz w:val="24"/>
          <w:u w:val="none"/>
          <w:effect w:val="none"/>
        </w:rPr>
      </w:pPr>
      <w:r>
        <w:rPr>
          <w:rFonts w:ascii="Google Sans;sans-serif" w:hAnsi="Google Sans;sans-serif"/>
          <w:b w:val="false"/>
          <w:strike w:val="false"/>
          <w:dstrike w:val="false"/>
          <w:sz w:val="24"/>
          <w:u w:val="none"/>
          <w:effect w:val="none"/>
        </w:rPr>
        <w:t>This policy defines the mandatory technical restrictions and monitoring requirements to protect MediSecure’s proprietary source code, intellectual property (IP), and sensitive patient data from unauthorized modification, exfiltration, or theft by internal or external actors.</w:t>
      </w:r>
    </w:p>
    <w:p>
      <w:pPr>
        <w:pStyle w:val="BodyText"/>
        <w:bidi w:val="0"/>
        <w:spacing w:before="0" w:after="0"/>
        <w:ind w:hanging="0" w:start="0" w:end="0"/>
        <w:jc w:val="start"/>
        <w:rPr/>
      </w:pPr>
      <w:r>
        <w:rPr>
          <w:rStyle w:val="Strong"/>
          <w:rFonts w:ascii="Google Sans;sans-serif" w:hAnsi="Google Sans;sans-serif"/>
          <w:b/>
          <w:strike w:val="false"/>
          <w:dstrike w:val="false"/>
          <w:sz w:val="30"/>
          <w:u w:val="none"/>
          <w:effect w:val="none"/>
        </w:rPr>
        <w:t>2. SCOPE</w:t>
      </w:r>
    </w:p>
    <w:p>
      <w:pPr>
        <w:pStyle w:val="BodyText"/>
        <w:bidi w:val="0"/>
        <w:spacing w:before="180" w:after="240"/>
        <w:ind w:hanging="0" w:start="0" w:end="0"/>
        <w:jc w:val="start"/>
        <w:rPr>
          <w:rFonts w:ascii="Google Sans;sans-serif" w:hAnsi="Google Sans;sans-serif"/>
          <w:b w:val="false"/>
          <w:strike w:val="false"/>
          <w:dstrike w:val="false"/>
          <w:sz w:val="24"/>
          <w:u w:val="none"/>
          <w:effect w:val="none"/>
        </w:rPr>
      </w:pPr>
      <w:r>
        <w:rPr>
          <w:rFonts w:ascii="Google Sans;sans-serif" w:hAnsi="Google Sans;sans-serif"/>
          <w:b w:val="false"/>
          <w:strike w:val="false"/>
          <w:dstrike w:val="false"/>
          <w:sz w:val="24"/>
          <w:u w:val="none"/>
          <w:effect w:val="none"/>
        </w:rPr>
        <w:t>This policy applies to all employees, contractors, and third-party vendors utilizing MediSecure corporate endpoints, networks, and cloud infrastructure.</w:t>
      </w:r>
    </w:p>
    <w:p>
      <w:pPr>
        <w:pStyle w:val="BodyText"/>
        <w:bidi w:val="0"/>
        <w:spacing w:before="0" w:after="0"/>
        <w:ind w:hanging="0" w:start="0" w:end="0"/>
        <w:jc w:val="start"/>
        <w:rPr/>
      </w:pPr>
      <w:r>
        <w:rPr>
          <w:rStyle w:val="Strong"/>
          <w:rFonts w:ascii="Google Sans;sans-serif" w:hAnsi="Google Sans;sans-serif"/>
          <w:b/>
          <w:strike w:val="false"/>
          <w:dstrike w:val="false"/>
          <w:sz w:val="30"/>
          <w:u w:val="none"/>
          <w:effect w:val="none"/>
        </w:rPr>
        <w:t>3. POLICY STATEMENTS</w:t>
      </w:r>
    </w:p>
    <w:p>
      <w:pPr>
        <w:pStyle w:val="BodyText"/>
        <w:bidi w:val="0"/>
        <w:ind w:hanging="0" w:start="0" w:end="0"/>
        <w:jc w:val="start"/>
        <w:rPr/>
      </w:pPr>
      <w:r>
        <w:rPr>
          <w:rStyle w:val="Strong"/>
          <w:rFonts w:ascii="Google Sans;sans-serif" w:hAnsi="Google Sans;sans-serif"/>
          <w:b/>
          <w:strike w:val="false"/>
          <w:dstrike w:val="false"/>
          <w:sz w:val="24"/>
          <w:u w:val="none"/>
          <w:effect w:val="none"/>
        </w:rPr>
        <w:t>3.1 Device &amp; Endpoint Security (ISO 27001 A.7.10)</w:t>
      </w:r>
    </w:p>
    <w:p>
      <w:pPr>
        <w:pStyle w:val="BodyText"/>
        <w:numPr>
          <w:ilvl w:val="0"/>
          <w:numId w:val="2"/>
        </w:numPr>
        <w:pBdr/>
        <w:tabs>
          <w:tab w:val="clear" w:pos="709"/>
          <w:tab w:val="left" w:pos="0" w:leader="none"/>
        </w:tabs>
        <w:bidi w:val="0"/>
        <w:spacing w:before="0" w:after="0"/>
        <w:ind w:hanging="283" w:start="0" w:end="0"/>
        <w:jc w:val="start"/>
        <w:rPr/>
      </w:pPr>
      <w:r>
        <w:rPr>
          <w:rStyle w:val="Strong"/>
          <w:rFonts w:ascii="Google Sans;sans-serif" w:hAnsi="Google Sans;sans-serif"/>
          <w:b/>
          <w:strike w:val="false"/>
          <w:dstrike w:val="false"/>
          <w:sz w:val="24"/>
          <w:u w:val="none"/>
          <w:effect w:val="none"/>
        </w:rPr>
        <w:t>USB &amp; Storage Restriction:</w:t>
      </w:r>
      <w:r>
        <w:rPr>
          <w:rFonts w:ascii="Google Sans;sans-serif" w:hAnsi="Google Sans;sans-serif"/>
          <w:b w:val="false"/>
          <w:strike w:val="false"/>
          <w:dstrike w:val="false"/>
          <w:sz w:val="24"/>
          <w:u w:val="none"/>
          <w:effect w:val="none"/>
        </w:rPr>
        <w:t xml:space="preserve"> All corporate endpoints must run Data Loss Prevention (DLP) software that blocks the writing of data to unapproved external storage media (USBs, external hard drives, SD cards) by default.</w:t>
      </w:r>
    </w:p>
    <w:p>
      <w:pPr>
        <w:pStyle w:val="BodyText"/>
        <w:numPr>
          <w:ilvl w:val="0"/>
          <w:numId w:val="2"/>
        </w:numPr>
        <w:pBdr/>
        <w:tabs>
          <w:tab w:val="clear" w:pos="709"/>
          <w:tab w:val="left" w:pos="0" w:leader="none"/>
        </w:tabs>
        <w:bidi w:val="0"/>
        <w:spacing w:before="0" w:after="0"/>
        <w:ind w:hanging="283" w:start="0" w:end="0"/>
        <w:jc w:val="start"/>
        <w:rPr/>
      </w:pPr>
      <w:r>
        <w:rPr>
          <w:rStyle w:val="Strong"/>
          <w:rFonts w:ascii="Google Sans;sans-serif" w:hAnsi="Google Sans;sans-serif"/>
          <w:b/>
          <w:strike w:val="false"/>
          <w:dstrike w:val="false"/>
          <w:sz w:val="24"/>
          <w:u w:val="none"/>
          <w:effect w:val="none"/>
        </w:rPr>
        <w:t>Exceptions:</w:t>
      </w:r>
      <w:r>
        <w:rPr>
          <w:rFonts w:ascii="Google Sans;sans-serif" w:hAnsi="Google Sans;sans-serif"/>
          <w:b w:val="false"/>
          <w:strike w:val="false"/>
          <w:dstrike w:val="false"/>
          <w:sz w:val="24"/>
          <w:u w:val="none"/>
          <w:effect w:val="none"/>
        </w:rPr>
        <w:t xml:space="preserve"> Temporary access to write to removable media requires an approved </w:t>
      </w:r>
      <w:r>
        <w:rPr>
          <w:rStyle w:val="Strong"/>
          <w:rFonts w:ascii="Google Sans;sans-serif" w:hAnsi="Google Sans;sans-serif"/>
          <w:b/>
          <w:strike w:val="false"/>
          <w:dstrike w:val="false"/>
          <w:sz w:val="24"/>
          <w:u w:val="none"/>
          <w:effect w:val="none"/>
        </w:rPr>
        <w:t>ITIL Change Ticket</w:t>
      </w:r>
      <w:r>
        <w:rPr>
          <w:rFonts w:ascii="Google Sans;sans-serif" w:hAnsi="Google Sans;sans-serif"/>
          <w:b w:val="false"/>
          <w:strike w:val="false"/>
          <w:dstrike w:val="false"/>
          <w:sz w:val="24"/>
          <w:u w:val="none"/>
          <w:effect w:val="none"/>
        </w:rPr>
        <w:t xml:space="preserve"> and justification from a Department Head.</w:t>
      </w:r>
    </w:p>
    <w:p>
      <w:pPr>
        <w:pStyle w:val="BodyText"/>
        <w:bidi w:val="0"/>
        <w:ind w:hanging="0" w:start="0" w:end="0"/>
        <w:jc w:val="start"/>
        <w:rPr/>
      </w:pPr>
      <w:r>
        <w:rPr>
          <w:rStyle w:val="Strong"/>
          <w:rFonts w:ascii="Google Sans;sans-serif" w:hAnsi="Google Sans;sans-serif"/>
          <w:b/>
          <w:strike w:val="false"/>
          <w:dstrike w:val="false"/>
          <w:sz w:val="24"/>
          <w:u w:val="none"/>
          <w:effect w:val="none"/>
        </w:rPr>
        <w:t>3.2 Access Control &amp; Code Repositories (ISO 27001 A.5.15)</w:t>
      </w:r>
    </w:p>
    <w:p>
      <w:pPr>
        <w:pStyle w:val="BodyText"/>
        <w:numPr>
          <w:ilvl w:val="0"/>
          <w:numId w:val="3"/>
        </w:numPr>
        <w:pBdr/>
        <w:tabs>
          <w:tab w:val="clear" w:pos="709"/>
          <w:tab w:val="left" w:pos="0" w:leader="none"/>
        </w:tabs>
        <w:bidi w:val="0"/>
        <w:spacing w:before="0" w:after="0"/>
        <w:ind w:hanging="283" w:start="0" w:end="0"/>
        <w:jc w:val="start"/>
        <w:rPr/>
      </w:pPr>
      <w:r>
        <w:rPr>
          <w:rStyle w:val="Strong"/>
          <w:rFonts w:ascii="Google Sans;sans-serif" w:hAnsi="Google Sans;sans-serif"/>
          <w:b/>
          <w:strike w:val="false"/>
          <w:dstrike w:val="false"/>
          <w:sz w:val="24"/>
          <w:u w:val="none"/>
          <w:effect w:val="none"/>
        </w:rPr>
        <w:t>Principle of Least Privilege:</w:t>
      </w:r>
      <w:r>
        <w:rPr>
          <w:rFonts w:ascii="Google Sans;sans-serif" w:hAnsi="Google Sans;sans-serif"/>
          <w:b w:val="false"/>
          <w:strike w:val="false"/>
          <w:dstrike w:val="false"/>
          <w:sz w:val="24"/>
          <w:u w:val="none"/>
          <w:effect w:val="none"/>
        </w:rPr>
        <w:t xml:space="preserve"> Access to production source code repositories (e.g., GitHub Enterprise) must be restricted strictly to active project personnel.</w:t>
      </w:r>
    </w:p>
    <w:p>
      <w:pPr>
        <w:pStyle w:val="BodyText"/>
        <w:numPr>
          <w:ilvl w:val="0"/>
          <w:numId w:val="3"/>
        </w:numPr>
        <w:pBdr/>
        <w:tabs>
          <w:tab w:val="clear" w:pos="709"/>
          <w:tab w:val="left" w:pos="0" w:leader="none"/>
        </w:tabs>
        <w:bidi w:val="0"/>
        <w:spacing w:before="0" w:after="0"/>
        <w:ind w:hanging="283" w:start="0" w:end="0"/>
        <w:jc w:val="start"/>
        <w:rPr/>
      </w:pPr>
      <w:r>
        <w:rPr>
          <w:rStyle w:val="Strong"/>
          <w:rFonts w:ascii="Google Sans;sans-serif" w:hAnsi="Google Sans;sans-serif"/>
          <w:b/>
          <w:strike w:val="false"/>
          <w:dstrike w:val="false"/>
          <w:sz w:val="24"/>
          <w:u w:val="none"/>
          <w:effect w:val="none"/>
        </w:rPr>
        <w:t>Dual Authorization:</w:t>
      </w:r>
      <w:r>
        <w:rPr>
          <w:rFonts w:ascii="Google Sans;sans-serif" w:hAnsi="Google Sans;sans-serif"/>
          <w:b w:val="false"/>
          <w:strike w:val="false"/>
          <w:dstrike w:val="false"/>
          <w:sz w:val="24"/>
          <w:u w:val="none"/>
          <w:effect w:val="none"/>
        </w:rPr>
        <w:t xml:space="preserve"> Any action to clone, download, or export an entire repository must be routed through a peer-review and manager-approval pipeline.</w:t>
      </w:r>
    </w:p>
    <w:p>
      <w:pPr>
        <w:pStyle w:val="BodyText"/>
        <w:bidi w:val="0"/>
        <w:ind w:hanging="0" w:start="0" w:end="0"/>
        <w:jc w:val="start"/>
        <w:rPr/>
      </w:pPr>
      <w:r>
        <w:rPr>
          <w:rStyle w:val="Strong"/>
          <w:rFonts w:ascii="Google Sans;sans-serif" w:hAnsi="Google Sans;sans-serif"/>
          <w:b/>
          <w:strike w:val="false"/>
          <w:dstrike w:val="false"/>
          <w:sz w:val="24"/>
          <w:u w:val="none"/>
          <w:effect w:val="none"/>
        </w:rPr>
        <w:t>3.3 Network Egress &amp; Web Filtering (ISO 27001 A.8.20 &amp; A.8.23)</w:t>
      </w:r>
    </w:p>
    <w:p>
      <w:pPr>
        <w:pStyle w:val="BodyText"/>
        <w:numPr>
          <w:ilvl w:val="0"/>
          <w:numId w:val="4"/>
        </w:numPr>
        <w:pBdr/>
        <w:tabs>
          <w:tab w:val="clear" w:pos="709"/>
          <w:tab w:val="left" w:pos="0" w:leader="none"/>
        </w:tabs>
        <w:bidi w:val="0"/>
        <w:spacing w:before="0" w:after="0"/>
        <w:ind w:hanging="283" w:start="0" w:end="0"/>
        <w:jc w:val="start"/>
        <w:rPr/>
      </w:pPr>
      <w:r>
        <w:rPr>
          <w:rStyle w:val="Strong"/>
          <w:rFonts w:ascii="Google Sans;sans-serif" w:hAnsi="Google Sans;sans-serif"/>
          <w:b/>
          <w:strike w:val="false"/>
          <w:dstrike w:val="false"/>
          <w:sz w:val="24"/>
          <w:u w:val="none"/>
          <w:effect w:val="none"/>
        </w:rPr>
        <w:t>SSL/TLS Decryption:</w:t>
      </w:r>
      <w:r>
        <w:rPr>
          <w:rFonts w:ascii="Google Sans;sans-serif" w:hAnsi="Google Sans;sans-serif"/>
          <w:b w:val="false"/>
          <w:strike w:val="false"/>
          <w:dstrike w:val="false"/>
          <w:sz w:val="24"/>
          <w:u w:val="none"/>
          <w:effect w:val="none"/>
        </w:rPr>
        <w:t xml:space="preserve"> To inspect outbound data, all corporate network traffic bypassing the firewall must undergo secure decryption and deep packet inspection.</w:t>
      </w:r>
    </w:p>
    <w:p>
      <w:pPr>
        <w:pStyle w:val="BodyText"/>
        <w:numPr>
          <w:ilvl w:val="0"/>
          <w:numId w:val="4"/>
        </w:numPr>
        <w:pBdr/>
        <w:tabs>
          <w:tab w:val="clear" w:pos="709"/>
          <w:tab w:val="left" w:pos="0" w:leader="none"/>
        </w:tabs>
        <w:bidi w:val="0"/>
        <w:spacing w:before="0" w:after="0"/>
        <w:ind w:hanging="283" w:start="0" w:end="0"/>
        <w:jc w:val="start"/>
        <w:rPr/>
      </w:pPr>
      <w:r>
        <w:rPr>
          <w:rStyle w:val="Strong"/>
          <w:rFonts w:ascii="Google Sans;sans-serif" w:hAnsi="Google Sans;sans-serif"/>
          <w:b/>
          <w:strike w:val="false"/>
          <w:dstrike w:val="false"/>
          <w:sz w:val="24"/>
          <w:u w:val="none"/>
          <w:effect w:val="none"/>
        </w:rPr>
        <w:t>Uncategorized Domain Blocking:</w:t>
      </w:r>
      <w:r>
        <w:rPr>
          <w:rFonts w:ascii="Google Sans;sans-serif" w:hAnsi="Google Sans;sans-serif"/>
          <w:b w:val="false"/>
          <w:strike w:val="false"/>
          <w:dstrike w:val="false"/>
          <w:sz w:val="24"/>
          <w:u w:val="none"/>
          <w:effect w:val="none"/>
        </w:rPr>
        <w:t xml:space="preserve"> Access to newly created domains (less than 30 days old) or "Uncategorized/Unknown" websites via corporate devices is blocked automatically.</w:t>
      </w:r>
    </w:p>
    <w:p>
      <w:pPr>
        <w:pStyle w:val="BodyText"/>
        <w:bidi w:val="0"/>
        <w:ind w:hanging="0" w:start="0" w:end="0"/>
        <w:jc w:val="start"/>
        <w:rPr/>
      </w:pPr>
      <w:r>
        <w:rPr>
          <w:rStyle w:val="Strong"/>
          <w:rFonts w:ascii="Google Sans;sans-serif" w:hAnsi="Google Sans;sans-serif"/>
          <w:b/>
          <w:strike w:val="false"/>
          <w:dstrike w:val="false"/>
          <w:sz w:val="24"/>
          <w:u w:val="none"/>
          <w:effect w:val="none"/>
        </w:rPr>
        <w:t>3.4 Content-Aware Data Loss Prevention (ISO 27001 A.8.12)</w:t>
      </w:r>
    </w:p>
    <w:p>
      <w:pPr>
        <w:pStyle w:val="BodyText"/>
        <w:numPr>
          <w:ilvl w:val="0"/>
          <w:numId w:val="5"/>
        </w:numPr>
        <w:pBdr/>
        <w:tabs>
          <w:tab w:val="clear" w:pos="709"/>
          <w:tab w:val="left" w:pos="0" w:leader="none"/>
        </w:tabs>
        <w:bidi w:val="0"/>
        <w:spacing w:before="0" w:after="0"/>
        <w:ind w:hanging="283" w:start="0" w:end="0"/>
        <w:jc w:val="start"/>
        <w:rPr/>
      </w:pPr>
      <w:r>
        <w:rPr>
          <w:rStyle w:val="Strong"/>
          <w:rFonts w:ascii="Google Sans;sans-serif" w:hAnsi="Google Sans;sans-serif"/>
          <w:b/>
          <w:strike w:val="false"/>
          <w:dstrike w:val="false"/>
          <w:sz w:val="24"/>
          <w:u w:val="none"/>
          <w:effect w:val="none"/>
        </w:rPr>
        <w:t>Exfiltration Blocking:</w:t>
      </w:r>
      <w:r>
        <w:rPr>
          <w:rFonts w:ascii="Google Sans;sans-serif" w:hAnsi="Google Sans;sans-serif"/>
          <w:b w:val="false"/>
          <w:strike w:val="false"/>
          <w:dstrike w:val="false"/>
          <w:sz w:val="24"/>
          <w:u w:val="none"/>
          <w:effect w:val="none"/>
        </w:rPr>
        <w:t xml:space="preserve"> The corporate network must monitor and analyze all outbound HTTP/HTTPS payloads.</w:t>
      </w:r>
    </w:p>
    <w:p>
      <w:pPr>
        <w:pStyle w:val="BodyText"/>
        <w:numPr>
          <w:ilvl w:val="0"/>
          <w:numId w:val="5"/>
        </w:numPr>
        <w:pBdr/>
        <w:tabs>
          <w:tab w:val="clear" w:pos="709"/>
          <w:tab w:val="left" w:pos="0" w:leader="none"/>
        </w:tabs>
        <w:bidi w:val="0"/>
        <w:spacing w:before="0" w:after="0"/>
        <w:ind w:hanging="283" w:start="0" w:end="0"/>
        <w:jc w:val="start"/>
        <w:rPr/>
      </w:pPr>
      <w:r>
        <w:rPr>
          <w:rStyle w:val="Strong"/>
          <w:rFonts w:ascii="Google Sans;sans-serif" w:hAnsi="Google Sans;sans-serif"/>
          <w:b/>
          <w:strike w:val="false"/>
          <w:dstrike w:val="false"/>
          <w:sz w:val="24"/>
          <w:u w:val="none"/>
          <w:effect w:val="none"/>
        </w:rPr>
        <w:t>Data Whitelisting:</w:t>
      </w:r>
      <w:r>
        <w:rPr>
          <w:rFonts w:ascii="Google Sans;sans-serif" w:hAnsi="Google Sans;sans-serif"/>
          <w:b w:val="false"/>
          <w:strike w:val="false"/>
          <w:dstrike w:val="false"/>
          <w:sz w:val="24"/>
          <w:u w:val="none"/>
          <w:effect w:val="none"/>
        </w:rPr>
        <w:t xml:space="preserve"> File transfers are blocked by default </w:t>
      </w:r>
      <w:r>
        <w:rPr>
          <w:rStyle w:val="Strong"/>
          <w:rFonts w:ascii="Google Sans;sans-serif" w:hAnsi="Google Sans;sans-serif"/>
          <w:b/>
          <w:strike w:val="false"/>
          <w:dstrike w:val="false"/>
          <w:sz w:val="24"/>
          <w:u w:val="none"/>
          <w:effect w:val="none"/>
        </w:rPr>
        <w:t>unless</w:t>
      </w:r>
      <w:r>
        <w:rPr>
          <w:rFonts w:ascii="Google Sans;sans-serif" w:hAnsi="Google Sans;sans-serif"/>
          <w:b w:val="false"/>
          <w:strike w:val="false"/>
          <w:dstrike w:val="false"/>
          <w:sz w:val="24"/>
          <w:u w:val="none"/>
          <w:effect w:val="none"/>
        </w:rPr>
        <w:t xml:space="preserve"> the destination matches the company’s official corporate whitelist (e.g., corporate AWS buckets, approved corporate GitHub).</w:t>
      </w:r>
    </w:p>
    <w:p>
      <w:pPr>
        <w:pStyle w:val="BodyText"/>
        <w:numPr>
          <w:ilvl w:val="0"/>
          <w:numId w:val="5"/>
        </w:numPr>
        <w:pBdr/>
        <w:tabs>
          <w:tab w:val="clear" w:pos="709"/>
          <w:tab w:val="left" w:pos="0" w:leader="none"/>
        </w:tabs>
        <w:bidi w:val="0"/>
        <w:spacing w:before="0" w:after="0"/>
        <w:ind w:hanging="283" w:start="0" w:end="0"/>
        <w:jc w:val="start"/>
        <w:rPr/>
      </w:pPr>
      <w:r>
        <w:rPr>
          <w:rStyle w:val="Strong"/>
          <w:rFonts w:ascii="Google Sans;sans-serif" w:hAnsi="Google Sans;sans-serif"/>
          <w:b/>
          <w:strike w:val="false"/>
          <w:dstrike w:val="false"/>
          <w:sz w:val="24"/>
          <w:u w:val="none"/>
          <w:effect w:val="none"/>
        </w:rPr>
        <w:t>Code Signature Detection:</w:t>
      </w:r>
      <w:r>
        <w:rPr>
          <w:rFonts w:ascii="Google Sans;sans-serif" w:hAnsi="Google Sans;sans-serif"/>
          <w:b w:val="false"/>
          <w:strike w:val="false"/>
          <w:dstrike w:val="false"/>
          <w:sz w:val="24"/>
          <w:u w:val="none"/>
          <w:effect w:val="none"/>
        </w:rPr>
        <w:t xml:space="preserve"> Any attempt to upload text patterns resembling programming code, database schemas, or patient records to an unapproved external destination must be blocked automatically.</w:t>
      </w:r>
    </w:p>
    <w:p>
      <w:pPr>
        <w:pStyle w:val="HorizontalLine"/>
        <w:bidi w:val="0"/>
        <w:jc w:val="start"/>
        <w:rPr/>
      </w:pPr>
      <w:r>
        <w:rPr/>
      </w:r>
    </w:p>
    <w:p>
      <w:pPr>
        <w:pStyle w:val="BodyText"/>
        <w:bidi w:val="0"/>
        <w:spacing w:before="0" w:after="0"/>
        <w:ind w:hanging="0" w:start="0" w:end="0"/>
        <w:jc w:val="start"/>
        <w:rPr/>
      </w:pPr>
      <w:r>
        <w:rPr>
          <w:rStyle w:val="Strong"/>
          <w:rFonts w:ascii="Google Sans;sans-serif" w:hAnsi="Google Sans;sans-serif"/>
          <w:b/>
          <w:strike w:val="false"/>
          <w:dstrike w:val="false"/>
          <w:sz w:val="30"/>
          <w:u w:val="none"/>
          <w:effect w:val="none"/>
        </w:rPr>
        <w:t>4. MONITORING &amp; INCIDENT TRIGGER (ITIL Practice)</w:t>
      </w:r>
    </w:p>
    <w:p>
      <w:pPr>
        <w:pStyle w:val="BodyText"/>
        <w:bidi w:val="0"/>
        <w:ind w:hanging="0" w:start="0" w:end="0"/>
        <w:jc w:val="start"/>
        <w:rPr/>
      </w:pPr>
      <w:r>
        <w:rPr>
          <w:rFonts w:ascii="Google Sans;sans-serif" w:hAnsi="Google Sans;sans-serif"/>
          <w:b w:val="false"/>
          <w:strike w:val="false"/>
          <w:dstrike w:val="false"/>
          <w:sz w:val="24"/>
          <w:u w:val="none"/>
          <w:effect w:val="none"/>
        </w:rPr>
        <w:t xml:space="preserve">The Security Operations Center (SOC) must maintain active SIEM alert rules for anomalous data movement. The following events will trigger an immediate </w:t>
      </w:r>
      <w:r>
        <w:rPr>
          <w:rStyle w:val="Strong"/>
          <w:rFonts w:ascii="Google Sans;sans-serif" w:hAnsi="Google Sans;sans-serif"/>
          <w:b/>
          <w:strike w:val="false"/>
          <w:dstrike w:val="false"/>
          <w:sz w:val="24"/>
          <w:u w:val="none"/>
          <w:effect w:val="none"/>
        </w:rPr>
        <w:t>High-Severity Incident (ITIL)</w:t>
      </w:r>
      <w:r>
        <w:rPr>
          <w:rFonts w:ascii="Google Sans;sans-serif" w:hAnsi="Google Sans;sans-serif"/>
          <w:b w:val="false"/>
          <w:strike w:val="false"/>
          <w:dstrike w:val="false"/>
          <w:sz w:val="24"/>
          <w:u w:val="none"/>
          <w:effect w:val="none"/>
        </w:rPr>
        <w:t>:</w:t>
      </w:r>
    </w:p>
    <w:p>
      <w:pPr>
        <w:pStyle w:val="BodyText"/>
        <w:numPr>
          <w:ilvl w:val="0"/>
          <w:numId w:val="6"/>
        </w:numPr>
        <w:pBdr/>
        <w:tabs>
          <w:tab w:val="clear" w:pos="709"/>
          <w:tab w:val="left" w:pos="0" w:leader="none"/>
        </w:tabs>
        <w:bidi w:val="0"/>
        <w:spacing w:before="0" w:after="0"/>
        <w:ind w:hanging="283" w:start="0" w:end="0"/>
        <w:rPr/>
      </w:pPr>
      <w:r>
        <w:rPr>
          <w:rFonts w:ascii="Google Sans;sans-serif" w:hAnsi="Google Sans;sans-serif"/>
          <w:b w:val="false"/>
          <w:strike w:val="false"/>
          <w:dstrike w:val="false"/>
          <w:sz w:val="24"/>
          <w:u w:val="none"/>
          <w:effect w:val="none"/>
        </w:rPr>
        <w:t xml:space="preserve">Detection of command-line exfiltration tools (e.g., unauthorized use of </w:t>
      </w:r>
      <w:r>
        <w:rPr>
          <w:rStyle w:val="SourceText"/>
          <w:rFonts w:ascii="monospace" w:hAnsi="monospace"/>
          <w:b w:val="false"/>
          <w:strike w:val="false"/>
          <w:dstrike w:val="false"/>
          <w:sz w:val="21"/>
          <w:u w:val="none"/>
          <w:effect w:val="none"/>
          <w:bdr w:val="single" w:sz="2" w:space="1" w:color="2C2E35"/>
        </w:rPr>
        <w:t>curl</w:t>
      </w:r>
      <w:r>
        <w:rPr>
          <w:rFonts w:ascii="Google Sans;sans-serif" w:hAnsi="Google Sans;sans-serif"/>
          <w:b w:val="false"/>
          <w:strike w:val="false"/>
          <w:dstrike w:val="false"/>
          <w:sz w:val="24"/>
          <w:u w:val="none"/>
          <w:effect w:val="none"/>
        </w:rPr>
        <w:t xml:space="preserve">, </w:t>
      </w:r>
      <w:r>
        <w:rPr>
          <w:rStyle w:val="SourceText"/>
          <w:rFonts w:ascii="monospace" w:hAnsi="monospace"/>
          <w:b w:val="false"/>
          <w:strike w:val="false"/>
          <w:dstrike w:val="false"/>
          <w:sz w:val="21"/>
          <w:u w:val="none"/>
          <w:effect w:val="none"/>
          <w:bdr w:val="single" w:sz="2" w:space="1" w:color="2C2E35"/>
        </w:rPr>
        <w:t>wget</w:t>
      </w:r>
      <w:r>
        <w:rPr>
          <w:rFonts w:ascii="Google Sans;sans-serif" w:hAnsi="Google Sans;sans-serif"/>
          <w:b w:val="false"/>
          <w:strike w:val="false"/>
          <w:dstrike w:val="false"/>
          <w:sz w:val="24"/>
          <w:u w:val="none"/>
          <w:effect w:val="none"/>
        </w:rPr>
        <w:t xml:space="preserve">, </w:t>
      </w:r>
      <w:r>
        <w:rPr>
          <w:rStyle w:val="SourceText"/>
          <w:rFonts w:ascii="monospace" w:hAnsi="monospace"/>
          <w:b w:val="false"/>
          <w:strike w:val="false"/>
          <w:dstrike w:val="false"/>
          <w:sz w:val="21"/>
          <w:u w:val="none"/>
          <w:effect w:val="none"/>
          <w:bdr w:val="single" w:sz="2" w:space="1" w:color="2C2E35"/>
        </w:rPr>
        <w:t>scp</w:t>
      </w:r>
      <w:r>
        <w:rPr>
          <w:rFonts w:ascii="Google Sans;sans-serif" w:hAnsi="Google Sans;sans-serif"/>
          <w:b w:val="false"/>
          <w:strike w:val="false"/>
          <w:dstrike w:val="false"/>
          <w:sz w:val="24"/>
          <w:u w:val="none"/>
          <w:effect w:val="none"/>
        </w:rPr>
        <w:t>) targeting external IP addresses.</w:t>
      </w:r>
    </w:p>
    <w:p>
      <w:pPr>
        <w:pStyle w:val="BodyText"/>
        <w:numPr>
          <w:ilvl w:val="0"/>
          <w:numId w:val="6"/>
        </w:numPr>
        <w:pBdr/>
        <w:tabs>
          <w:tab w:val="clear" w:pos="709"/>
          <w:tab w:val="left" w:pos="0" w:leader="none"/>
        </w:tabs>
        <w:bidi w:val="0"/>
        <w:spacing w:before="0" w:after="0"/>
        <w:ind w:hanging="283" w:start="0" w:end="0"/>
        <w:jc w:val="start"/>
        <w:rPr>
          <w:rFonts w:ascii="Google Sans;sans-serif" w:hAnsi="Google Sans;sans-serif"/>
          <w:b w:val="false"/>
          <w:strike w:val="false"/>
          <w:dstrike w:val="false"/>
          <w:sz w:val="24"/>
          <w:u w:val="none"/>
          <w:effect w:val="none"/>
        </w:rPr>
      </w:pPr>
      <w:r>
        <w:rPr>
          <w:rFonts w:ascii="Google Sans;sans-serif" w:hAnsi="Google Sans;sans-serif"/>
          <w:b w:val="false"/>
          <w:strike w:val="false"/>
          <w:dstrike w:val="false"/>
          <w:sz w:val="24"/>
          <w:u w:val="none"/>
          <w:effect w:val="none"/>
        </w:rPr>
        <w:t>Any single endpoint uploading more than 50MB of data to an unwhitelisted external destination within a 1-hour window.</w:t>
      </w:r>
    </w:p>
    <w:p>
      <w:pPr>
        <w:pStyle w:val="BodyText"/>
        <w:numPr>
          <w:ilvl w:val="0"/>
          <w:numId w:val="6"/>
        </w:numPr>
        <w:pBdr/>
        <w:tabs>
          <w:tab w:val="clear" w:pos="709"/>
          <w:tab w:val="left" w:pos="0" w:leader="none"/>
        </w:tabs>
        <w:bidi w:val="0"/>
        <w:spacing w:before="0" w:after="0"/>
        <w:ind w:hanging="283" w:start="0" w:end="0"/>
        <w:jc w:val="start"/>
        <w:rPr>
          <w:rFonts w:ascii="Google Sans;sans-serif" w:hAnsi="Google Sans;sans-serif"/>
          <w:b w:val="false"/>
          <w:strike w:val="false"/>
          <w:dstrike w:val="false"/>
          <w:sz w:val="24"/>
          <w:u w:val="none"/>
          <w:effect w:val="none"/>
        </w:rPr>
      </w:pPr>
      <w:r>
        <w:rPr>
          <w:rFonts w:ascii="Google Sans;sans-serif" w:hAnsi="Google Sans;sans-serif"/>
          <w:b w:val="false"/>
          <w:strike w:val="false"/>
          <w:dstrike w:val="false"/>
          <w:sz w:val="24"/>
          <w:u w:val="none"/>
          <w:effect w:val="none"/>
        </w:rPr>
        <w:t>Sudden high-volume file modifications or downloads outside of standard local working hours.</w:t>
      </w:r>
    </w:p>
    <w:p>
      <w:pPr>
        <w:pStyle w:val="BodyText"/>
        <w:bidi w:val="0"/>
        <w:spacing w:before="0" w:after="0"/>
        <w:ind w:hanging="0" w:start="0" w:end="0"/>
        <w:jc w:val="start"/>
        <w:rPr/>
      </w:pPr>
      <w:r>
        <w:rPr>
          <w:rStyle w:val="Strong"/>
          <w:rFonts w:ascii="Google Sans;sans-serif" w:hAnsi="Google Sans;sans-serif"/>
          <w:b/>
          <w:strike w:val="false"/>
          <w:dstrike w:val="false"/>
          <w:sz w:val="30"/>
          <w:u w:val="none"/>
          <w:effect w:val="none"/>
        </w:rPr>
        <w:t>5. ENFORCEMENT &amp; COMPLIANCE</w:t>
      </w:r>
    </w:p>
    <w:p>
      <w:pPr>
        <w:pStyle w:val="BodyText"/>
        <w:bidi w:val="0"/>
        <w:spacing w:before="180" w:after="240"/>
        <w:ind w:hanging="0" w:start="0" w:end="0"/>
        <w:jc w:val="start"/>
        <w:rPr>
          <w:rFonts w:ascii="Google Sans;sans-serif" w:hAnsi="Google Sans;sans-serif"/>
          <w:b w:val="false"/>
          <w:strike w:val="false"/>
          <w:dstrike w:val="false"/>
          <w:sz w:val="24"/>
          <w:u w:val="none"/>
          <w:effect w:val="none"/>
        </w:rPr>
      </w:pPr>
      <w:r>
        <w:rPr>
          <w:rFonts w:ascii="Google Sans;sans-serif" w:hAnsi="Google Sans;sans-serif"/>
          <w:b w:val="false"/>
          <w:strike w:val="false"/>
          <w:dstrike w:val="false"/>
          <w:sz w:val="24"/>
          <w:u w:val="none"/>
          <w:effect w:val="none"/>
        </w:rPr>
        <w:t>Any employee found to have violated this policy, or to have intentionally bypassed these technical controls (e.g., attempting to disable DLP software), will face immediate disciplinary action up to and including termination of employment and legal prosecution.</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Google Sans">
    <w:altName w:val="sans-serif"/>
    <w:charset w:val="01" w:characterSet="utf-8"/>
    <w:family w:val="auto"/>
    <w:pitch w:val="default"/>
  </w:font>
  <w:font w:name="monospace">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0"/>
        </w:tabs>
        <w:ind w:start="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w:color w:val="auto"/>
      <w:kern w:val="2"/>
      <w:sz w:val="24"/>
      <w:szCs w:val="24"/>
      <w:lang w:val="en-US" w:eastAsia="zh-CN" w:bidi="hi-IN"/>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LibreOffice/26.2.4.2$Linux_X86_64 LibreOffice_project/0229ac93fcf0d7cbc6376066c6f35021cef002dc</Application>
  <AppVersion>15.0000</AppVersion>
  <Pages>2</Pages>
  <Words>455</Words>
  <Characters>2824</Characters>
  <CharactersWithSpaces>3240</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2026-09-13T12:08:57Z</dcterms:created>
  <dc:creator/>
  <dc:description/>
  <dc:language>en-US</dc:language>
  <cp:lastModifiedBy/>
  <dcterms:modified xsi:type="dcterms:W3CDTF">2026-09-13T12:10:10Z</dcterms:modified>
  <cp:revision>1</cp:revision>
  <dc:subject/>
  <dc:title/>
</cp:coreProperties>
</file>