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ind w:hanging="0" w:start="0" w:end="0"/>
        <w:jc w:val="start"/>
        <w:rPr/>
      </w:pPr>
      <w:r>
        <w:rPr>
          <w:rStyle w:val="Strong"/>
          <w:rFonts w:ascii="Google Sans;sans-serif" w:hAnsi="Google Sans;sans-serif"/>
          <w:b/>
          <w:strike w:val="false"/>
          <w:dstrike w:val="false"/>
          <w:sz w:val="30"/>
          <w:u w:val="none"/>
          <w:effect w:val="none"/>
        </w:rPr>
        <w:t>MediSecure Telehealth Inc.</w:t>
      </w:r>
    </w:p>
    <w:p>
      <w:pPr>
        <w:pStyle w:val="Normal"/>
        <w:bidi w:val="0"/>
        <w:spacing w:before="0" w:after="0"/>
        <w:ind w:hanging="0" w:start="0" w:end="0"/>
        <w:jc w:val="start"/>
        <w:rPr/>
      </w:pPr>
      <w:r>
        <w:rPr>
          <w:rStyle w:val="Strong"/>
          <w:rFonts w:ascii="Google Sans;sans-serif" w:hAnsi="Google Sans;sans-serif"/>
          <w:b/>
          <w:strike w:val="false"/>
          <w:dstrike w:val="false"/>
          <w:sz w:val="24"/>
          <w:u w:val="none"/>
          <w:effect w:val="none"/>
        </w:rPr>
        <w:t>Document ID:</w:t>
      </w:r>
      <w:r>
        <w:rPr>
          <w:rFonts w:ascii="Google Sans;sans-serif" w:hAnsi="Google Sans;sans-serif"/>
          <w:b w:val="false"/>
          <w:strike w:val="false"/>
          <w:dstrike w:val="false"/>
          <w:sz w:val="24"/>
          <w:u w:val="none"/>
          <w:effect w:val="none"/>
        </w:rPr>
        <w:t xml:space="preserve"> SEC-POL-025</w:t>
        <w:br/>
      </w:r>
      <w:r>
        <w:rPr>
          <w:rStyle w:val="Strong"/>
          <w:rFonts w:ascii="Google Sans;sans-serif" w:hAnsi="Google Sans;sans-serif"/>
          <w:b/>
          <w:strike w:val="false"/>
          <w:dstrike w:val="false"/>
          <w:sz w:val="24"/>
          <w:u w:val="none"/>
          <w:effect w:val="none"/>
        </w:rPr>
        <w:t>Version:</w:t>
      </w:r>
      <w:r>
        <w:rPr>
          <w:rFonts w:ascii="Google Sans;sans-serif" w:hAnsi="Google Sans;sans-serif"/>
          <w:b w:val="false"/>
          <w:strike w:val="false"/>
          <w:dstrike w:val="false"/>
          <w:sz w:val="24"/>
          <w:u w:val="none"/>
          <w:effect w:val="none"/>
        </w:rPr>
        <w:t xml:space="preserve"> 1.0</w:t>
        <w:br/>
      </w:r>
      <w:r>
        <w:rPr>
          <w:rStyle w:val="Strong"/>
          <w:rFonts w:ascii="Google Sans;sans-serif" w:hAnsi="Google Sans;sans-serif"/>
          <w:b/>
          <w:strike w:val="false"/>
          <w:dstrike w:val="false"/>
          <w:sz w:val="24"/>
          <w:u w:val="none"/>
          <w:effect w:val="none"/>
        </w:rPr>
        <w:t>Classification:</w:t>
      </w:r>
      <w:r>
        <w:rPr>
          <w:rFonts w:ascii="Google Sans;sans-serif" w:hAnsi="Google Sans;sans-serif"/>
          <w:b w:val="false"/>
          <w:strike w:val="false"/>
          <w:dstrike w:val="false"/>
          <w:sz w:val="24"/>
          <w:u w:val="none"/>
          <w:effect w:val="none"/>
        </w:rPr>
        <w:t xml:space="preserve"> Internal Use Only</w:t>
        <w:br/>
      </w:r>
      <w:r>
        <w:rPr>
          <w:rStyle w:val="Strong"/>
          <w:rFonts w:ascii="Google Sans;sans-serif" w:hAnsi="Google Sans;sans-serif"/>
          <w:b/>
          <w:strike w:val="false"/>
          <w:dstrike w:val="false"/>
          <w:sz w:val="24"/>
          <w:u w:val="none"/>
          <w:effect w:val="none"/>
        </w:rPr>
        <w:t>Aligned Frameworks:</w:t>
      </w:r>
      <w:r>
        <w:rPr>
          <w:rFonts w:ascii="Google Sans;sans-serif" w:hAnsi="Google Sans;sans-serif"/>
          <w:b w:val="false"/>
          <w:strike w:val="false"/>
          <w:dstrike w:val="false"/>
          <w:sz w:val="24"/>
          <w:u w:val="none"/>
          <w:effect w:val="none"/>
        </w:rPr>
        <w:t xml:space="preserve"> ISO/IEC 27001:2022 (Controls A.8.13, A.8.16, A.8.20, A.5.24) | ITIL v4 (Incident &amp; Major Incident Management)</w:t>
      </w:r>
    </w:p>
    <w:p>
      <w:pPr>
        <w:pStyle w:val="HorizontalLine"/>
        <w:bidi w:val="0"/>
        <w:jc w:val="start"/>
        <w:rPr/>
      </w:pPr>
      <w:r>
        <w:rPr/>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1. PURPOSE</w:t>
      </w:r>
    </w:p>
    <w:p>
      <w:pPr>
        <w:pStyle w:val="BodyText"/>
        <w:bidi w:val="0"/>
        <w:spacing w:before="180" w:after="240"/>
        <w:ind w:hanging="0" w:start="0" w:end="0"/>
        <w:jc w:val="star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This policy defines the structural requirements, incoming email verification filters, and incident response procedures designed to protect MediSecure from phishing attacks, malware deployment, and unauthorized data exfiltration originating via corporate email.</w:t>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2. SCOPE</w:t>
      </w:r>
    </w:p>
    <w:p>
      <w:pPr>
        <w:pStyle w:val="BodyText"/>
        <w:bidi w:val="0"/>
        <w:spacing w:before="180" w:after="240"/>
        <w:ind w:hanging="0" w:start="0" w:end="0"/>
        <w:jc w:val="star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This policy governs all corporate email accounts, email gateways, inbound/outbound mail traffic, and corporate endpoints utilized by MediSecure personnel.</w:t>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3. POLICY STATEMENTS</w:t>
      </w:r>
    </w:p>
    <w:p>
      <w:pPr>
        <w:pStyle w:val="BodyText"/>
        <w:bidi w:val="0"/>
        <w:ind w:hanging="0" w:start="0" w:end="0"/>
        <w:jc w:val="start"/>
        <w:rPr/>
      </w:pPr>
      <w:r>
        <w:rPr>
          <w:rStyle w:val="Strong"/>
          <w:rFonts w:ascii="Google Sans;sans-serif" w:hAnsi="Google Sans;sans-serif"/>
          <w:b/>
          <w:strike w:val="false"/>
          <w:dstrike w:val="false"/>
          <w:sz w:val="24"/>
          <w:u w:val="none"/>
          <w:effect w:val="none"/>
        </w:rPr>
        <w:t>3.1 Inbound Email Verification Standards (ISO 27001 A.8.20)</w:t>
      </w:r>
    </w:p>
    <w:p>
      <w:pPr>
        <w:pStyle w:val="BodyText"/>
        <w:numPr>
          <w:ilvl w:val="0"/>
          <w:numId w:val="2"/>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Domain Authentication:</w:t>
      </w:r>
      <w:r>
        <w:rPr>
          <w:rFonts w:ascii="Google Sans;sans-serif" w:hAnsi="Google Sans;sans-serif"/>
          <w:b w:val="false"/>
          <w:strike w:val="false"/>
          <w:dstrike w:val="false"/>
          <w:sz w:val="24"/>
          <w:u w:val="none"/>
          <w:effect w:val="none"/>
        </w:rPr>
        <w:t xml:space="preserve"> The IT architecture team must enforce strict incoming validation for </w:t>
      </w:r>
      <w:r>
        <w:rPr>
          <w:rStyle w:val="Strong"/>
          <w:rFonts w:ascii="Google Sans;sans-serif" w:hAnsi="Google Sans;sans-serif"/>
          <w:b/>
          <w:strike w:val="false"/>
          <w:dstrike w:val="false"/>
          <w:sz w:val="24"/>
          <w:u w:val="none"/>
          <w:effect w:val="none"/>
        </w:rPr>
        <w:t>SPF (Sender Policy Framework)</w:t>
      </w:r>
      <w:r>
        <w:rPr>
          <w:rFonts w:ascii="Google Sans;sans-serif" w:hAnsi="Google Sans;sans-serif"/>
          <w:b w:val="false"/>
          <w:strike w:val="false"/>
          <w:dstrike w:val="false"/>
          <w:sz w:val="24"/>
          <w:u w:val="none"/>
          <w:effect w:val="none"/>
        </w:rPr>
        <w:t xml:space="preserve">, </w:t>
      </w:r>
      <w:r>
        <w:rPr>
          <w:rStyle w:val="Strong"/>
          <w:rFonts w:ascii="Google Sans;sans-serif" w:hAnsi="Google Sans;sans-serif"/>
          <w:b/>
          <w:strike w:val="false"/>
          <w:dstrike w:val="false"/>
          <w:sz w:val="24"/>
          <w:u w:val="none"/>
          <w:effect w:val="none"/>
        </w:rPr>
        <w:t>DKIM (DomainKeys Identified Mail)</w:t>
      </w:r>
      <w:r>
        <w:rPr>
          <w:rFonts w:ascii="Google Sans;sans-serif" w:hAnsi="Google Sans;sans-serif"/>
          <w:b w:val="false"/>
          <w:strike w:val="false"/>
          <w:dstrike w:val="false"/>
          <w:sz w:val="24"/>
          <w:u w:val="none"/>
          <w:effect w:val="none"/>
        </w:rPr>
        <w:t xml:space="preserve">, and </w:t>
      </w:r>
      <w:r>
        <w:rPr>
          <w:rStyle w:val="Strong"/>
          <w:rFonts w:ascii="Google Sans;sans-serif" w:hAnsi="Google Sans;sans-serif"/>
          <w:b/>
          <w:strike w:val="false"/>
          <w:dstrike w:val="false"/>
          <w:sz w:val="24"/>
          <w:u w:val="none"/>
          <w:effect w:val="none"/>
        </w:rPr>
        <w:t>DMARC (Domain-based Message Authentication, Reporting, and Conformance)</w:t>
      </w:r>
      <w:r>
        <w:rPr>
          <w:rFonts w:ascii="Google Sans;sans-serif" w:hAnsi="Google Sans;sans-serif"/>
          <w:b w:val="false"/>
          <w:strike w:val="false"/>
          <w:dstrike w:val="false"/>
          <w:sz w:val="24"/>
          <w:u w:val="none"/>
          <w:effect w:val="none"/>
        </w:rPr>
        <w:t>.</w:t>
      </w:r>
    </w:p>
    <w:p>
      <w:pPr>
        <w:pStyle w:val="BodyText"/>
        <w:numPr>
          <w:ilvl w:val="0"/>
          <w:numId w:val="2"/>
        </w:numPr>
        <w:pBdr/>
        <w:tabs>
          <w:tab w:val="clear" w:pos="709"/>
          <w:tab w:val="left" w:pos="0" w:leader="none"/>
        </w:tabs>
        <w:bidi w:val="0"/>
        <w:spacing w:before="0" w:after="0"/>
        <w:ind w:hanging="283" w:start="0" w:end="0"/>
        <w:rPr/>
      </w:pPr>
      <w:r>
        <w:rPr>
          <w:rStyle w:val="Strong"/>
          <w:rFonts w:ascii="Google Sans;sans-serif" w:hAnsi="Google Sans;sans-serif"/>
          <w:b/>
          <w:strike w:val="false"/>
          <w:dstrike w:val="false"/>
          <w:sz w:val="24"/>
          <w:u w:val="none"/>
          <w:effect w:val="none"/>
        </w:rPr>
        <w:t>Spoofing Prevention:</w:t>
      </w:r>
      <w:r>
        <w:rPr>
          <w:rFonts w:ascii="Google Sans;sans-serif" w:hAnsi="Google Sans;sans-serif"/>
          <w:b w:val="false"/>
          <w:strike w:val="false"/>
          <w:dstrike w:val="false"/>
          <w:sz w:val="24"/>
          <w:u w:val="none"/>
          <w:effect w:val="none"/>
        </w:rPr>
        <w:t xml:space="preserve"> Any inbound email that fails DMARC alignment (impersonating a trusted partner or the </w:t>
      </w:r>
      <w:r>
        <w:rPr>
          <w:rStyle w:val="SourceText"/>
          <w:rFonts w:ascii="monospace" w:hAnsi="monospace"/>
          <w:b w:val="false"/>
          <w:strike w:val="false"/>
          <w:dstrike w:val="false"/>
          <w:sz w:val="21"/>
          <w:u w:val="none"/>
          <w:effect w:val="none"/>
          <w:bdr w:val="single" w:sz="2" w:space="1" w:color="2C2E35"/>
        </w:rPr>
        <w:t>@medisecure.com</w:t>
      </w:r>
      <w:r>
        <w:rPr>
          <w:rFonts w:ascii="Google Sans;sans-serif" w:hAnsi="Google Sans;sans-serif"/>
          <w:b w:val="false"/>
          <w:strike w:val="false"/>
          <w:dstrike w:val="false"/>
          <w:sz w:val="24"/>
          <w:u w:val="none"/>
          <w:effect w:val="none"/>
        </w:rPr>
        <w:t xml:space="preserve"> domain) must be quarantined automatically before hitting the user's inbox.</w:t>
      </w:r>
    </w:p>
    <w:p>
      <w:pPr>
        <w:pStyle w:val="BodyText"/>
        <w:bidi w:val="0"/>
        <w:ind w:hanging="0" w:start="0" w:end="0"/>
        <w:jc w:val="start"/>
        <w:rPr/>
      </w:pPr>
      <w:r>
        <w:rPr>
          <w:rStyle w:val="Strong"/>
          <w:rFonts w:ascii="Google Sans;sans-serif" w:hAnsi="Google Sans;sans-serif"/>
          <w:b/>
          <w:strike w:val="false"/>
          <w:dstrike w:val="false"/>
          <w:sz w:val="24"/>
          <w:u w:val="none"/>
          <w:effect w:val="none"/>
        </w:rPr>
        <w:t>3.2 Automated Threat Analysis &amp; Sandboxing (ISO 27001 A.8.13)</w:t>
      </w:r>
    </w:p>
    <w:p>
      <w:pPr>
        <w:pStyle w:val="BodyText"/>
        <w:numPr>
          <w:ilvl w:val="0"/>
          <w:numId w:val="3"/>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Secure Email Gateway (SEG):</w:t>
      </w:r>
      <w:r>
        <w:rPr>
          <w:rFonts w:ascii="Google Sans;sans-serif" w:hAnsi="Google Sans;sans-serif"/>
          <w:b w:val="false"/>
          <w:strike w:val="false"/>
          <w:dstrike w:val="false"/>
          <w:sz w:val="24"/>
          <w:u w:val="none"/>
          <w:effect w:val="none"/>
        </w:rPr>
        <w:t xml:space="preserve"> All inbound traffic must pass through an enterprise Secure Email Gateway performing real-time analysis of the sender's reputation and IP history.</w:t>
      </w:r>
    </w:p>
    <w:p>
      <w:pPr>
        <w:pStyle w:val="BodyText"/>
        <w:numPr>
          <w:ilvl w:val="0"/>
          <w:numId w:val="3"/>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Link &amp; Attachment Scanning:</w:t>
      </w:r>
      <w:r>
        <w:rPr>
          <w:rFonts w:ascii="Google Sans;sans-serif" w:hAnsi="Google Sans;sans-serif"/>
          <w:b w:val="false"/>
          <w:strike w:val="false"/>
          <w:dstrike w:val="false"/>
          <w:sz w:val="24"/>
          <w:u w:val="none"/>
          <w:effect w:val="none"/>
        </w:rPr>
        <w:t xml:space="preserve"> The SEG must enforce dynamic URL sandboxing (rewriting links to check them for malicious scripts at the time of the click) and extract/detonate all incoming email attachments in a virtual sandbox environment to detect zero-day malware.</w:t>
      </w:r>
    </w:p>
    <w:p>
      <w:pPr>
        <w:pStyle w:val="BodyText"/>
        <w:bidi w:val="0"/>
        <w:ind w:hanging="0" w:start="0" w:end="0"/>
        <w:jc w:val="start"/>
        <w:rPr/>
      </w:pPr>
      <w:r>
        <w:rPr>
          <w:rStyle w:val="Strong"/>
          <w:rFonts w:ascii="Google Sans;sans-serif" w:hAnsi="Google Sans;sans-serif"/>
          <w:b/>
          <w:strike w:val="false"/>
          <w:dstrike w:val="false"/>
          <w:sz w:val="24"/>
          <w:u w:val="none"/>
          <w:effect w:val="none"/>
        </w:rPr>
        <w:t>3.3 Centralized Logging &amp; Auditing (ISO 27001 A.8.16)</w:t>
      </w:r>
    </w:p>
    <w:p>
      <w:pPr>
        <w:pStyle w:val="BodyText"/>
        <w:numPr>
          <w:ilvl w:val="0"/>
          <w:numId w:val="4"/>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Log Aggregation:</w:t>
      </w:r>
      <w:r>
        <w:rPr>
          <w:rFonts w:ascii="Google Sans;sans-serif" w:hAnsi="Google Sans;sans-serif"/>
          <w:b w:val="false"/>
          <w:strike w:val="false"/>
          <w:dstrike w:val="false"/>
          <w:sz w:val="24"/>
          <w:u w:val="none"/>
          <w:effect w:val="none"/>
        </w:rPr>
        <w:t xml:space="preserve"> All email gateway traffic logs (senders, timestamps, message headers, attachment hashes) and corporate endpoint execution logs must be forwarded to the centralized SIEM system in real time.</w:t>
      </w:r>
    </w:p>
    <w:p>
      <w:pPr>
        <w:pStyle w:val="BodyText"/>
        <w:numPr>
          <w:ilvl w:val="0"/>
          <w:numId w:val="4"/>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Data Retention:</w:t>
      </w:r>
      <w:r>
        <w:rPr>
          <w:rFonts w:ascii="Google Sans;sans-serif" w:hAnsi="Google Sans;sans-serif"/>
          <w:b w:val="false"/>
          <w:strike w:val="false"/>
          <w:dstrike w:val="false"/>
          <w:sz w:val="24"/>
          <w:u w:val="none"/>
          <w:effect w:val="none"/>
        </w:rPr>
        <w:t xml:space="preserve"> Audit logs must be stored securely and remain accessible to security analysts for a minimum of 90 days to facilitate retroactive threat hunting and breach investigations.</w:t>
      </w:r>
    </w:p>
    <w:p>
      <w:pPr>
        <w:pStyle w:val="HorizontalLine"/>
        <w:bidi w:val="0"/>
        <w:jc w:val="start"/>
        <w:rPr/>
      </w:pPr>
      <w:r>
        <w:rPr/>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4. INCIDENT MANAGEMENT WORKFLOW (ITIL Practice &amp; ISO A.5.24)</w:t>
      </w:r>
    </w:p>
    <w:p>
      <w:pPr>
        <w:pStyle w:val="BodyText"/>
        <w:bidi w:val="0"/>
        <w:ind w:hanging="0" w:start="0" w:end="0"/>
        <w:jc w:val="start"/>
        <w:rPr/>
      </w:pPr>
      <w:r>
        <w:rPr>
          <w:rFonts w:ascii="Google Sans;sans-serif" w:hAnsi="Google Sans;sans-serif"/>
          <w:b w:val="false"/>
          <w:strike w:val="false"/>
          <w:dstrike w:val="false"/>
          <w:sz w:val="24"/>
          <w:u w:val="none"/>
          <w:effect w:val="none"/>
        </w:rPr>
        <w:t xml:space="preserve">When a potential phishing or data exfiltration event is detected, the SOC must execute the following structured </w:t>
      </w:r>
      <w:r>
        <w:rPr>
          <w:rStyle w:val="Strong"/>
          <w:rFonts w:ascii="Google Sans;sans-serif" w:hAnsi="Google Sans;sans-serif"/>
          <w:b/>
          <w:strike w:val="false"/>
          <w:dstrike w:val="false"/>
          <w:sz w:val="24"/>
          <w:u w:val="none"/>
          <w:effect w:val="none"/>
        </w:rPr>
        <w:t>ITIL Incident Playbook</w:t>
      </w:r>
      <w:r>
        <w:rPr>
          <w:rFonts w:ascii="Google Sans;sans-serif" w:hAnsi="Google Sans;sans-serif"/>
          <w:b w:val="false"/>
          <w:strike w:val="false"/>
          <w:dstrike w:val="false"/>
          <w:sz w:val="24"/>
          <w:u w:val="none"/>
          <w:effect w:val="none"/>
        </w:rPr>
        <w:t>:</w:t>
      </w:r>
    </w:p>
    <w:p>
      <w:pPr>
        <w:pStyle w:val="BodyText"/>
        <w:numPr>
          <w:ilvl w:val="0"/>
          <w:numId w:val="5"/>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Identification &amp; Scoping:</w:t>
      </w:r>
      <w:r>
        <w:rPr>
          <w:rFonts w:ascii="Google Sans;sans-serif" w:hAnsi="Google Sans;sans-serif"/>
          <w:b w:val="false"/>
          <w:strike w:val="false"/>
          <w:dstrike w:val="false"/>
          <w:sz w:val="24"/>
          <w:u w:val="none"/>
          <w:effect w:val="none"/>
        </w:rPr>
        <w:t xml:space="preserve"> The analyst must immediately identify the specific corporate email account targeted, the sender domain, the target device's host name, and its </w:t>
      </w:r>
      <w:r>
        <w:rPr>
          <w:rStyle w:val="Strong"/>
          <w:rFonts w:ascii="Google Sans;sans-serif" w:hAnsi="Google Sans;sans-serif"/>
          <w:b/>
          <w:strike w:val="false"/>
          <w:dstrike w:val="false"/>
          <w:sz w:val="24"/>
          <w:u w:val="none"/>
          <w:effect w:val="none"/>
        </w:rPr>
        <w:t>MAC/IP addresses</w:t>
      </w:r>
      <w:r>
        <w:rPr>
          <w:rFonts w:ascii="Google Sans;sans-serif" w:hAnsi="Google Sans;sans-serif"/>
          <w:b w:val="false"/>
          <w:strike w:val="false"/>
          <w:dstrike w:val="false"/>
          <w:sz w:val="24"/>
          <w:u w:val="none"/>
          <w:effect w:val="none"/>
        </w:rPr>
        <w:t>.</w:t>
      </w:r>
    </w:p>
    <w:p>
      <w:pPr>
        <w:pStyle w:val="BodyText"/>
        <w:numPr>
          <w:ilvl w:val="0"/>
          <w:numId w:val="5"/>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Goal Assessment:</w:t>
      </w:r>
      <w:r>
        <w:rPr>
          <w:rFonts w:ascii="Google Sans;sans-serif" w:hAnsi="Google Sans;sans-serif"/>
          <w:b w:val="false"/>
          <w:strike w:val="false"/>
          <w:dstrike w:val="false"/>
          <w:sz w:val="24"/>
          <w:u w:val="none"/>
          <w:effect w:val="none"/>
        </w:rPr>
        <w:t xml:space="preserve"> The analyst must quickly determine the attacker's primary objective by checking the payload properties (e.g., whether the link leads to a credential harvesting page, a data-stealing script, or malware designed for system exfiltration).</w:t>
      </w:r>
    </w:p>
    <w:p>
      <w:pPr>
        <w:pStyle w:val="BodyText"/>
        <w:numPr>
          <w:ilvl w:val="0"/>
          <w:numId w:val="5"/>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Containment Protocol:</w:t>
      </w:r>
      <w:r>
        <w:rPr>
          <w:rFonts w:ascii="Google Sans;sans-serif" w:hAnsi="Google Sans;sans-serif"/>
          <w:b w:val="false"/>
          <w:strike w:val="false"/>
          <w:dstrike w:val="false"/>
          <w:sz w:val="24"/>
          <w:u w:val="none"/>
          <w:effect w:val="none"/>
        </w:rPr>
        <w:t xml:space="preserve"> If a malicious file has executed or credentials have been input:</w:t>
      </w:r>
    </w:p>
    <w:p>
      <w:pPr>
        <w:pStyle w:val="BodyText"/>
        <w:numPr>
          <w:ilvl w:val="1"/>
          <w:numId w:val="5"/>
        </w:numPr>
        <w:pBdr/>
        <w:tabs>
          <w:tab w:val="clear" w:pos="709"/>
          <w:tab w:val="left" w:pos="0" w:leader="none"/>
        </w:tabs>
        <w:bidi w:val="0"/>
        <w:spacing w:before="0" w:after="0"/>
        <w:ind w:hanging="283" w:start="0" w:end="0"/>
        <w:jc w:val="star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Isolate the affected endpoint from the corporate network immediately using Endpoint Detection and Response (EDR) tools.</w:t>
      </w:r>
    </w:p>
    <w:p>
      <w:pPr>
        <w:pStyle w:val="BodyText"/>
        <w:numPr>
          <w:ilvl w:val="1"/>
          <w:numId w:val="5"/>
        </w:numPr>
        <w:pBdr/>
        <w:tabs>
          <w:tab w:val="clear" w:pos="709"/>
          <w:tab w:val="left" w:pos="0" w:leader="none"/>
        </w:tabs>
        <w:bidi w:val="0"/>
        <w:spacing w:before="0" w:after="0"/>
        <w:ind w:hanging="283" w:start="0" w:end="0"/>
        <w:jc w:val="star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Revoke all active session tokens for the compromised user account.</w:t>
      </w:r>
    </w:p>
    <w:p>
      <w:pPr>
        <w:pStyle w:val="BodyText"/>
        <w:numPr>
          <w:ilvl w:val="0"/>
          <w:numId w:val="5"/>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Escalation Trigger:</w:t>
      </w:r>
      <w:r>
        <w:rPr>
          <w:rFonts w:ascii="Google Sans;sans-serif" w:hAnsi="Google Sans;sans-serif"/>
          <w:b w:val="false"/>
          <w:strike w:val="false"/>
          <w:dstrike w:val="false"/>
          <w:sz w:val="24"/>
          <w:u w:val="none"/>
          <w:effect w:val="none"/>
        </w:rPr>
        <w:t xml:space="preserve"> If log analysis reveals that the phishing link has successfully spread horizontally to multiple internal corporate devices, the event must be escalated immediately to the </w:t>
      </w:r>
      <w:r>
        <w:rPr>
          <w:rStyle w:val="Strong"/>
          <w:rFonts w:ascii="Google Sans;sans-serif" w:hAnsi="Google Sans;sans-serif"/>
          <w:b/>
          <w:strike w:val="false"/>
          <w:dstrike w:val="false"/>
          <w:sz w:val="24"/>
          <w:u w:val="none"/>
          <w:effect w:val="none"/>
        </w:rPr>
        <w:t>ITIL Major Incident Procedure</w:t>
      </w:r>
      <w:r>
        <w:rPr>
          <w:rFonts w:ascii="Google Sans;sans-serif" w:hAnsi="Google Sans;sans-serif"/>
          <w:b w:val="false"/>
          <w:strike w:val="false"/>
          <w:dstrike w:val="false"/>
          <w:sz w:val="24"/>
          <w:u w:val="none"/>
          <w:effect w:val="none"/>
        </w:rPr>
        <w:t>, bringing in the Network, Infrastructure, and Executive Risk teams.</w:t>
      </w:r>
    </w:p>
    <w:p>
      <w:pPr>
        <w:pStyle w:val="HorizontalLine"/>
        <w:bidi w:val="0"/>
        <w:jc w:val="start"/>
        <w:rPr/>
      </w:pPr>
      <w:r>
        <w:rPr/>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5. ENFORCEMENT &amp; TRAINING</w:t>
      </w:r>
    </w:p>
    <w:p>
      <w:pPr>
        <w:pStyle w:val="BodyText"/>
        <w:bidi w:val="0"/>
        <w:spacing w:before="180" w:after="240"/>
        <w:ind w:hanging="0" w:start="0" w:end="0"/>
        <w:jc w:val="star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All employees must participate in quarterly automated phishing simulation tests. Repeated failures to report suspicious emails, or intentional attempts to bypass email gateway filters, will require mandatory security re-education and potential review by HR.</w:t>
      </w:r>
    </w:p>
    <w:p>
      <w:pPr>
        <w:pStyle w:val="HorizontalLine"/>
        <w:bidi w:val="0"/>
        <w:spacing w:before="0" w:after="283"/>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Google Sans">
    <w:altName w:val="sans-serif"/>
    <w:charset w:val="01" w:characterSet="utf-8"/>
    <w:family w:val="auto"/>
    <w:pitch w:val="default"/>
  </w:font>
  <w:font w:name="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LibreOffice_project/0229ac93fcf0d7cbc6376066c6f35021cef002dc</Application>
  <AppVersion>15.0000</AppVersion>
  <Pages>2</Pages>
  <Words>506</Words>
  <Characters>3132</Characters>
  <CharactersWithSpaces>3600</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2026-09-13T12:15:50Z</dcterms:created>
  <dc:creator/>
  <dc:description/>
  <dc:language>en-US</dc:language>
  <cp:lastModifiedBy/>
  <dcterms:modified xsi:type="dcterms:W3CDTF">2026-09-13T12:16:18Z</dcterms:modified>
  <cp:revision>1</cp:revision>
  <dc:subject/>
  <dc:title/>
</cp:coreProperties>
</file>