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w:body>
    <w:p>
      <w:pPr>
        <w:spacing w:before="480" w:after="480" w:line="288" w:lineRule="auto"/>
        <w:ind w:left="0"/>
      </w:pPr>
      <w:r>
        <w:rPr>
          <w:rFonts w:eastAsia="等线" w:ascii="Arial" w:cs="Arial" w:hAnsi="Arial"/>
          <w:b w:val="true"/>
          <w:sz w:val="52"/>
        </w:rPr>
        <w:t>资管数据库工具</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看板</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 xml:space="preserve">1.1 总体情况： </w:t>
      </w:r>
      <w:bookmarkEnd w:id="1"/>
    </w:p>
    <w:p>
      <w:pPr>
        <w:spacing w:before="120" w:after="120" w:line="288" w:lineRule="auto"/>
        <w:ind w:left="0"/>
        <w:jc w:val="left"/>
      </w:pPr>
      <w:r>
        <w:rPr>
          <w:rFonts w:eastAsia="等线" w:ascii="Arial" w:cs="Arial" w:hAnsi="Arial"/>
          <w:sz w:val="22"/>
        </w:rPr>
        <w:t>总规模 总产品数  总收益  ，并带标签筛选（策略/投资人/时间）</w:t>
      </w:r>
    </w:p>
    <w:p>
      <w:pPr>
        <w:spacing w:before="120" w:after="120" w:line="288" w:lineRule="auto"/>
        <w:ind w:left="0"/>
        <w:jc w:val="center"/>
      </w:pPr>
      <w:r>
        <w:drawing>
          <wp:inline distT="0" distR="0" distB="0" distL="0">
            <wp:extent cx="5257800" cy="19716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1971675"/>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2" w:id="2"/>
      <w:r>
        <w:rPr>
          <w:rFonts w:eastAsia="等线" w:ascii="Arial" w:cs="Arial" w:hAnsi="Arial"/>
          <w:b w:val="true"/>
          <w:sz w:val="32"/>
        </w:rPr>
        <w:t>1.2 规模比例</w:t>
      </w:r>
      <w:bookmarkEnd w:id="2"/>
    </w:p>
    <w:p>
      <w:pPr>
        <w:spacing w:before="120" w:after="120" w:line="288" w:lineRule="auto"/>
        <w:ind w:left="0"/>
        <w:jc w:val="left"/>
      </w:pPr>
      <w:r>
        <w:rPr>
          <w:rFonts w:eastAsia="等线" w:ascii="Arial" w:cs="Arial" w:hAnsi="Arial"/>
          <w:sz w:val="22"/>
        </w:rPr>
        <w:t xml:space="preserve"> 当前各类资产的比例及金额的饼状图。并带标签筛选（策略/管理人/时间）,看是否能实现联动功能。截止日期需要标注。</w:t>
      </w:r>
    </w:p>
    <w:p>
      <w:pPr>
        <w:spacing w:before="120" w:after="120" w:line="288" w:lineRule="auto"/>
        <w:ind w:left="0"/>
        <w:jc w:val="center"/>
      </w:pPr>
      <w:r>
        <w:drawing>
          <wp:inline distT="0" distR="0" distB="0" distL="0">
            <wp:extent cx="5257800" cy="20955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20955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5257800" cy="1828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18288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3" w:id="3"/>
      <w:r>
        <w:rPr>
          <w:rFonts w:eastAsia="等线" w:ascii="Arial" w:cs="Arial" w:hAnsi="Arial"/>
          <w:color w:val="3370ff"/>
          <w:sz w:val="36"/>
        </w:rPr>
        <w:t xml:space="preserve">2. </w:t>
      </w:r>
      <w:r>
        <w:rPr>
          <w:rFonts w:eastAsia="等线" w:ascii="Arial" w:cs="Arial" w:hAnsi="Arial"/>
          <w:b w:val="true"/>
          <w:sz w:val="36"/>
        </w:rPr>
        <w:t>基金产品页</w:t>
      </w:r>
      <w:bookmarkEnd w:id="3"/>
    </w:p>
    <w:p>
      <w:pPr>
        <w:pStyle w:val="2"/>
        <w:spacing w:before="320" w:after="120" w:line="288" w:lineRule="auto"/>
        <w:ind w:left="0"/>
        <w:jc w:val="left"/>
        <w:outlineLvl w:val="1"/>
      </w:pPr>
      <w:bookmarkStart w:name="heading_4" w:id="4"/>
      <w:r>
        <w:rPr>
          <w:rFonts w:eastAsia="等线" w:ascii="Arial" w:cs="Arial" w:hAnsi="Arial"/>
          <w:b w:val="true"/>
          <w:sz w:val="32"/>
        </w:rPr>
        <w:t>2.1 产品列表</w:t>
      </w:r>
      <w:bookmarkEnd w:id="4"/>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5"/>
        <w:gridCol w:w="825"/>
        <w:gridCol w:w="825"/>
        <w:gridCol w:w="825"/>
        <w:gridCol w:w="825"/>
        <w:gridCol w:w="825"/>
        <w:gridCol w:w="825"/>
        <w:gridCol w:w="825"/>
        <w:gridCol w:w="825"/>
        <w:gridCol w:w="825"/>
      </w:tblGrid>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基金名称</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管理人</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策略类型1（可筛选）</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策略类型2（可筛选）</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近一周收益</w:t>
            </w:r>
          </w:p>
          <w:p>
            <w:pPr>
              <w:spacing w:before="120" w:after="120" w:line="288" w:lineRule="auto"/>
              <w:ind w:left="0"/>
              <w:jc w:val="left"/>
            </w:pPr>
            <w:r>
              <w:rPr>
                <w:rFonts w:eastAsia="等线" w:ascii="Arial" w:cs="Arial" w:hAnsi="Arial"/>
                <w:sz w:val="22"/>
              </w:rPr>
              <w:t>（可排序）</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近一个月收益（可排序）</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超额最大回撤（可排序）</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业绩基准（可筛选）</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投资状态（可筛选）</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净值开始时间</w:t>
            </w:r>
          </w:p>
        </w:tc>
      </w:tr>
      <w:tr>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衍复希格斯二号</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衍复</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对冲</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市场中性</w:t>
            </w: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已投</w:t>
            </w:r>
          </w:p>
        </w:tc>
        <w:tc>
          <w:tcPr>
            <w:tcW w:w="8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XXXX/XX/XX</w:t>
            </w:r>
          </w:p>
        </w:tc>
      </w:tr>
      <w:tr>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c>
          <w:tcPr>
            <w:tcW w:w="825"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策略类型：策略类型1和2对应fund_info_table中fundclass和strategy</w:t>
      </w:r>
    </w:p>
    <w:p>
      <w:pPr>
        <w:spacing w:before="120" w:after="120" w:line="288" w:lineRule="auto"/>
        <w:ind w:left="0"/>
        <w:jc w:val="left"/>
      </w:pPr>
      <w:r>
        <w:rPr>
          <w:rFonts w:eastAsia="等线" w:ascii="Arial" w:cs="Arial" w:hAnsi="Arial"/>
          <w:sz w:val="22"/>
        </w:rPr>
        <w:t>近一周收益：最近一个完整交易周，注意日频与周频对齐；</w:t>
      </w:r>
    </w:p>
    <w:p>
      <w:pPr>
        <w:spacing w:before="120" w:after="120" w:line="288" w:lineRule="auto"/>
        <w:ind w:left="0"/>
        <w:jc w:val="left"/>
      </w:pPr>
      <w:r>
        <w:rPr>
          <w:rFonts w:eastAsia="等线" w:ascii="Arial" w:cs="Arial" w:hAnsi="Arial"/>
          <w:sz w:val="22"/>
        </w:rPr>
        <w:t>近一个月收益：截至日期与近一周收益截止日期对齐，过去4个交易周的收益，如果有春节和国庆则该周不计入4周；</w:t>
      </w:r>
    </w:p>
    <w:p>
      <w:pPr>
        <w:spacing w:before="120" w:after="120" w:line="288" w:lineRule="auto"/>
        <w:ind w:left="0"/>
        <w:jc w:val="left"/>
      </w:pPr>
      <w:r>
        <w:rPr>
          <w:rFonts w:eastAsia="等线" w:ascii="Arial" w:cs="Arial" w:hAnsi="Arial"/>
          <w:sz w:val="22"/>
        </w:rPr>
        <w:t>超额最大回撤：基金净值相对基准计算；</w:t>
      </w:r>
    </w:p>
    <w:p>
      <w:pPr>
        <w:spacing w:before="120" w:after="120" w:line="288" w:lineRule="auto"/>
        <w:ind w:left="0"/>
        <w:jc w:val="left"/>
      </w:pPr>
      <w:r>
        <w:rPr>
          <w:rFonts w:eastAsia="等线" w:ascii="Arial" w:cs="Arial" w:hAnsi="Arial"/>
          <w:sz w:val="22"/>
        </w:rPr>
        <w:t>表格右上角需要标注“数据更新至XXXX年XX月XX日”</w:t>
      </w:r>
    </w:p>
    <w:p>
      <w:pPr>
        <w:pStyle w:val="2"/>
        <w:spacing w:before="320" w:after="120" w:line="288" w:lineRule="auto"/>
        <w:ind w:left="0"/>
        <w:jc w:val="left"/>
        <w:outlineLvl w:val="1"/>
      </w:pPr>
      <w:bookmarkStart w:name="heading_5" w:id="5"/>
      <w:r>
        <w:rPr>
          <w:rFonts w:eastAsia="等线" w:ascii="Arial" w:cs="Arial" w:hAnsi="Arial"/>
          <w:b w:val="true"/>
          <w:sz w:val="32"/>
        </w:rPr>
        <w:t>2.2 产品详情</w:t>
      </w:r>
      <w:bookmarkEnd w:id="5"/>
    </w:p>
    <w:p>
      <w:pPr>
        <w:pStyle w:val="4"/>
        <w:spacing w:before="260" w:after="120" w:line="288" w:lineRule="auto"/>
        <w:ind w:left="0"/>
        <w:jc w:val="left"/>
        <w:outlineLvl w:val="3"/>
      </w:pPr>
      <w:bookmarkStart w:name="heading_6" w:id="6"/>
      <w:r>
        <w:rPr>
          <w:rFonts w:eastAsia="等线" w:ascii="Arial" w:cs="Arial" w:hAnsi="Arial"/>
          <w:b w:val="true"/>
          <w:sz w:val="28"/>
        </w:rPr>
        <w:t>2.2.1 收益走势图</w:t>
      </w:r>
      <w:bookmarkEnd w:id="6"/>
    </w:p>
    <w:p>
      <w:pPr>
        <w:spacing w:before="120" w:after="120" w:line="288" w:lineRule="auto"/>
        <w:ind w:left="0"/>
        <w:jc w:val="left"/>
      </w:pPr>
      <w:r>
        <w:rPr>
          <w:rFonts w:eastAsia="等线" w:ascii="Arial" w:cs="Arial" w:hAnsi="Arial"/>
          <w:sz w:val="22"/>
        </w:rPr>
        <w:t>参看实例，历史区间需要可供筛选（成立以来，最近一月，最近三月，最近半年，最近一年，今年以来以及可自定义区间）；净值序列默认有单位净值、累计净值、复权累计净值；有公共指数可供比较（沪深300，中证500，中证1000，偏股混合基金指数，中证2000，wind微盘股指数，windA）</w:t>
      </w:r>
    </w:p>
    <w:p>
      <w:pPr>
        <w:spacing w:before="120" w:after="120" w:line="288" w:lineRule="auto"/>
        <w:ind w:left="0"/>
        <w:jc w:val="center"/>
      </w:pPr>
      <w:r>
        <w:drawing>
          <wp:inline distT="0" distR="0" distB="0" distL="0">
            <wp:extent cx="5257800" cy="29241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5257800" cy="2924175"/>
                    </a:xfrm>
                    <a:prstGeom prst="rect">
                      <a:avLst/>
                    </a:prstGeom>
                  </pic:spPr>
                </pic:pic>
              </a:graphicData>
            </a:graphic>
          </wp:inline>
        </w:drawing>
      </w:r>
    </w:p>
    <w:p>
      <w:pPr>
        <w:pStyle w:val="4"/>
        <w:spacing w:before="260" w:after="120" w:line="288" w:lineRule="auto"/>
        <w:ind w:left="0"/>
        <w:jc w:val="left"/>
        <w:outlineLvl w:val="3"/>
      </w:pPr>
      <w:bookmarkStart w:name="heading_7" w:id="7"/>
      <w:r>
        <w:rPr>
          <w:rFonts w:eastAsia="等线" w:ascii="Arial" w:cs="Arial" w:hAnsi="Arial"/>
          <w:b w:val="true"/>
          <w:sz w:val="28"/>
        </w:rPr>
        <w:t>2.2.2 绩效指标</w:t>
      </w:r>
      <w:bookmarkEnd w:id="7"/>
    </w:p>
    <w:p>
      <w:pPr>
        <w:spacing w:before="120" w:after="120" w:line="288" w:lineRule="auto"/>
        <w:ind w:left="0"/>
        <w:jc w:val="left"/>
      </w:pPr>
      <w:r>
        <w:rPr>
          <w:rFonts w:eastAsia="等线" w:ascii="Arial" w:cs="Arial" w:hAnsi="Arial"/>
          <w:sz w:val="22"/>
        </w:rPr>
        <w:t>净值计算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近三月</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近半年</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近一年</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近两年</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成立以来</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自定义区间</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收益率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年化收益率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年化波动率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最大回撤</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夏普</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卡玛</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周胜率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超额计算（需要有个下拉框选择基准指数，默认选择产品对应基准）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185"/>
        <w:gridCol w:w="1185"/>
        <w:gridCol w:w="1185"/>
        <w:gridCol w:w="1185"/>
        <w:gridCol w:w="1185"/>
        <w:gridCol w:w="1185"/>
        <w:gridCol w:w="1185"/>
      </w:tblGrid>
      <w:tr>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近三月</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近半年</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近一年</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近两年</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成立以来</w:t>
            </w:r>
          </w:p>
        </w:tc>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自定义区间</w:t>
            </w: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收益率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年化收益率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年化波动率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最大回撤</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夏普</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卡玛</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r>
        <w:tc>
          <w:tcPr>
            <w:tcW w:w="11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周胜率</w:t>
            </w: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c>
          <w:tcPr>
            <w:tcW w:w="1185" w:type="dxa"/>
            <w:tcMar>
              <w:top w:type="dxa" w:w="60"/>
              <w:left w:type="dxa" w:w="120"/>
              <w:bottom w:type="dxa" w:w="30"/>
              <w:right w:type="dxa" w:w="120"/>
            </w:tcMar>
          </w:tcPr>
          <w:p>
            <w:pPr>
              <w:spacing w:before="120" w:after="120" w:line="288" w:lineRule="auto"/>
              <w:ind w:left="0"/>
              <w:jc w:val="left"/>
            </w:pPr>
          </w:p>
        </w:tc>
      </w:tr>
    </w:tbl>
    <w:p>
      <w:pPr>
        <w:pStyle w:val="4"/>
        <w:spacing w:before="260" w:after="120" w:line="288" w:lineRule="auto"/>
        <w:ind w:left="0"/>
        <w:jc w:val="left"/>
        <w:outlineLvl w:val="3"/>
      </w:pPr>
      <w:bookmarkStart w:name="heading_8" w:id="8"/>
      <w:r>
        <w:rPr>
          <w:rFonts w:eastAsia="等线" w:ascii="Arial" w:cs="Arial" w:hAnsi="Arial"/>
          <w:b w:val="true"/>
          <w:sz w:val="28"/>
        </w:rPr>
        <w:t>2.2.3 同司同策略比较</w:t>
      </w:r>
      <w:bookmarkEnd w:id="8"/>
    </w:p>
    <w:p>
      <w:pPr>
        <w:spacing w:before="120" w:after="120" w:line="288" w:lineRule="auto"/>
        <w:ind w:left="0"/>
        <w:jc w:val="left"/>
      </w:pPr>
      <w:r>
        <w:rPr>
          <w:rFonts w:eastAsia="等线" w:ascii="Arial" w:cs="Arial" w:hAnsi="Arial"/>
          <w:sz w:val="22"/>
        </w:rPr>
        <w:t>读取录入的同司同策略产品，默认为搜索到的产品的全区间，支持变更时间区间归一对齐。</w:t>
      </w:r>
    </w:p>
    <w:p>
      <w:pPr>
        <w:spacing w:before="120" w:after="120" w:line="288" w:lineRule="auto"/>
        <w:ind w:left="0"/>
        <w:jc w:val="left"/>
      </w:pPr>
      <w:r>
        <w:rPr>
          <w:rFonts w:eastAsia="等线" w:ascii="Arial" w:cs="Arial" w:hAnsi="Arial"/>
          <w:sz w:val="22"/>
        </w:rPr>
        <w:t>线图展示+目标间收益率计算</w:t>
      </w:r>
    </w:p>
    <w:p>
      <w:pPr>
        <w:spacing w:before="120" w:after="120" w:line="288" w:lineRule="auto"/>
        <w:ind w:left="0"/>
        <w:jc w:val="left"/>
      </w:pPr>
      <w:r>
        <w:rPr>
          <w:rFonts w:eastAsia="等线" w:ascii="Arial" w:cs="Arial" w:hAnsi="Arial"/>
          <w:sz w:val="22"/>
        </w:rPr>
        <w:t>示意图</w:t>
      </w:r>
    </w:p>
    <w:p>
      <w:pPr>
        <w:spacing w:before="120" w:after="120" w:line="288" w:lineRule="auto"/>
        <w:ind w:left="0"/>
        <w:jc w:val="center"/>
      </w:pPr>
      <w:r>
        <w:drawing>
          <wp:inline distT="0" distR="0" distB="0" distL="0">
            <wp:extent cx="5257800" cy="35909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5257800" cy="3590925"/>
                    </a:xfrm>
                    <a:prstGeom prst="rect">
                      <a:avLst/>
                    </a:prstGeom>
                  </pic:spPr>
                </pic:pic>
              </a:graphicData>
            </a:graphic>
          </wp:inline>
        </w:drawing>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21pt;mso-width-percent:0;mso-height-percent:0;mso-width-percent:0;mso-height-percent:0" type="#_x0000_t75" o:ole="">
            <v:imagedata r:id="rId10" o:title=""/>
          </v:shape>
          <o:OLEObject DrawAspect="Icon" ObjectID="_1718471219" ProgID="Excel.Sheet.12" ShapeID="_x0000_i1025" Type="Embed" r:id="rId9"/>
        </w:object>
      </w:r>
    </w:p>
    <w:p>
      <w:pPr>
        <w:spacing w:after="120"/>
        <w:ind w:left="0"/>
        <w:jc w:val="center"/>
      </w:pPr>
      <w:r>
        <w:rPr>
          <w:rFonts w:eastAsia="等线" w:ascii="Arial" w:cs="Arial" w:hAnsi="Arial"/>
          <w:b w:val="true"/>
          <w:sz w:val="22"/>
        </w:rPr>
        <w:t>点击图片可查看完整电子表格</w:t>
      </w:r>
    </w:p>
    <w:p>
      <w:pPr>
        <w:pStyle w:val="1"/>
        <w:spacing w:before="380" w:after="140" w:line="288" w:lineRule="auto"/>
        <w:ind w:left="0"/>
        <w:jc w:val="left"/>
        <w:outlineLvl w:val="0"/>
      </w:pPr>
      <w:bookmarkStart w:name="heading_9" w:id="9"/>
      <w:r>
        <w:rPr>
          <w:rFonts w:eastAsia="等线" w:ascii="Arial" w:cs="Arial" w:hAnsi="Arial"/>
          <w:color w:val="3370ff"/>
          <w:sz w:val="36"/>
        </w:rPr>
        <w:t xml:space="preserve">3. </w:t>
      </w:r>
      <w:r>
        <w:rPr>
          <w:rFonts w:eastAsia="等线" w:ascii="Arial" w:cs="Arial" w:hAnsi="Arial"/>
          <w:b w:val="true"/>
          <w:sz w:val="36"/>
        </w:rPr>
        <w:t>对比页</w:t>
      </w:r>
      <w:bookmarkEnd w:id="9"/>
    </w:p>
    <w:p>
      <w:pPr>
        <w:spacing w:before="120" w:after="120" w:line="288" w:lineRule="auto"/>
        <w:ind w:left="0"/>
        <w:jc w:val="left"/>
      </w:pPr>
      <w:r>
        <w:rPr>
          <w:rFonts w:eastAsia="等线" w:ascii="Arial" w:cs="Arial" w:hAnsi="Arial"/>
          <w:sz w:val="22"/>
        </w:rPr>
        <w:t>选取基金的时候可以进行简单的筛选，筛选条件包括策略类型、业绩基准、投资状态，支持多选加入对比池；</w:t>
      </w:r>
    </w:p>
    <w:p>
      <w:pPr>
        <w:spacing w:before="120" w:after="120" w:line="288" w:lineRule="auto"/>
        <w:ind w:left="0"/>
        <w:jc w:val="left"/>
      </w:pPr>
      <w:r>
        <w:rPr>
          <w:rFonts w:eastAsia="等线" w:ascii="Arial" w:cs="Arial" w:hAnsi="Arial"/>
          <w:sz w:val="22"/>
        </w:rPr>
        <w:t>支持保留历史自选对比库数据；</w:t>
      </w:r>
    </w:p>
    <w:p>
      <w:pPr>
        <w:spacing w:before="120" w:after="120" w:line="288" w:lineRule="auto"/>
        <w:ind w:left="0"/>
        <w:jc w:val="left"/>
      </w:pPr>
      <w:r>
        <w:rPr>
          <w:rFonts w:eastAsia="等线" w:ascii="Arial" w:cs="Arial" w:hAnsi="Arial"/>
          <w:sz w:val="22"/>
        </w:rPr>
        <w:t>完成对比库筛选后，展示形式如下：</w:t>
      </w:r>
    </w:p>
    <w:p>
      <w:pPr>
        <w:pStyle w:val="3"/>
        <w:spacing w:before="300" w:after="120" w:line="288" w:lineRule="auto"/>
        <w:ind w:left="0"/>
        <w:jc w:val="left"/>
        <w:outlineLvl w:val="2"/>
      </w:pPr>
      <w:bookmarkStart w:name="heading_10" w:id="10"/>
      <w:r>
        <w:rPr>
          <w:rFonts w:eastAsia="等线" w:ascii="Arial" w:cs="Arial" w:hAnsi="Arial"/>
          <w:b w:val="true"/>
          <w:sz w:val="30"/>
        </w:rPr>
        <w:t>3.1 收益走势图&amp;动态回撤图</w:t>
      </w:r>
      <w:bookmarkEnd w:id="10"/>
    </w:p>
    <w:p>
      <w:pPr>
        <w:spacing w:before="120" w:after="120" w:line="288" w:lineRule="auto"/>
        <w:ind w:left="0"/>
        <w:jc w:val="left"/>
      </w:pPr>
      <w:r>
        <w:rPr>
          <w:rFonts w:eastAsia="等线" w:ascii="Arial" w:cs="Arial" w:hAnsi="Arial"/>
          <w:sz w:val="22"/>
        </w:rPr>
        <w:t>支持时间区间选择；建议把基金产品列表做成像excel下拉框形式，可以支持修改是否选择；净值类型支持单位净值/累计净值/复权累计净值；</w:t>
      </w:r>
    </w:p>
    <w:p>
      <w:pPr>
        <w:spacing w:before="120" w:after="120" w:line="288" w:lineRule="auto"/>
        <w:ind w:left="0"/>
        <w:jc w:val="center"/>
      </w:pPr>
      <w:r>
        <w:drawing>
          <wp:inline distT="0" distR="0" distB="0" distL="0">
            <wp:extent cx="5257800" cy="28765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257800" cy="2876550"/>
                    </a:xfrm>
                    <a:prstGeom prst="rect">
                      <a:avLst/>
                    </a:prstGeom>
                  </pic:spPr>
                </pic:pic>
              </a:graphicData>
            </a:graphic>
          </wp:inline>
        </w:drawing>
      </w:r>
    </w:p>
    <w:p>
      <w:pPr>
        <w:spacing w:before="120" w:after="120" w:line="288" w:lineRule="auto"/>
        <w:ind w:left="0"/>
        <w:jc w:val="center"/>
      </w:pPr>
      <w:r>
        <w:drawing>
          <wp:inline distT="0" distR="0" distB="0" distL="0">
            <wp:extent cx="5257800" cy="27908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257800" cy="2790825"/>
                    </a:xfrm>
                    <a:prstGeom prst="rect">
                      <a:avLst/>
                    </a:prstGeom>
                  </pic:spPr>
                </pic:pic>
              </a:graphicData>
            </a:graphic>
          </wp:inline>
        </w:drawing>
      </w:r>
    </w:p>
    <w:p>
      <w:pPr>
        <w:pStyle w:val="3"/>
        <w:spacing w:before="300" w:after="120" w:line="288" w:lineRule="auto"/>
        <w:ind w:left="0"/>
        <w:jc w:val="left"/>
        <w:outlineLvl w:val="2"/>
      </w:pPr>
      <w:bookmarkStart w:name="heading_11" w:id="11"/>
      <w:r>
        <w:rPr>
          <w:rFonts w:eastAsia="等线" w:ascii="Arial" w:cs="Arial" w:hAnsi="Arial"/>
          <w:b w:val="true"/>
          <w:sz w:val="30"/>
        </w:rPr>
        <w:t>3.2 表格</w:t>
      </w:r>
      <w:bookmarkEnd w:id="11"/>
    </w:p>
    <w:p>
      <w:pPr>
        <w:pStyle w:val="4"/>
        <w:spacing w:before="260" w:after="120" w:line="288" w:lineRule="auto"/>
        <w:ind w:left="0"/>
        <w:jc w:val="left"/>
        <w:outlineLvl w:val="3"/>
      </w:pPr>
      <w:bookmarkStart w:name="heading_12" w:id="12"/>
      <w:r>
        <w:rPr>
          <w:rFonts w:eastAsia="等线" w:ascii="Arial" w:cs="Arial" w:hAnsi="Arial"/>
          <w:b w:val="true"/>
          <w:sz w:val="28"/>
        </w:rPr>
        <w:t>3.2.1 月度历史收益</w:t>
      </w:r>
      <w:bookmarkEnd w:id="12"/>
    </w:p>
    <w:p>
      <w:pPr>
        <w:spacing w:before="120" w:after="120" w:line="288" w:lineRule="auto"/>
        <w:ind w:left="0"/>
        <w:jc w:val="left"/>
      </w:pPr>
      <w:r>
        <w:rPr>
          <w:rFonts w:eastAsia="等线" w:ascii="Arial" w:cs="Arial" w:hAnsi="Arial"/>
          <w:sz w:val="22"/>
        </w:rPr>
        <w:t>示意图</w:t>
      </w:r>
    </w:p>
    <w:p>
      <w:pPr>
        <w:spacing w:before="120" w:after="120" w:line="288" w:lineRule="auto"/>
        <w:ind w:left="0"/>
        <w:jc w:val="center"/>
      </w:pPr>
      <w:r>
        <w:drawing>
          <wp:inline distT="0" distR="0" distB="0" distL="0">
            <wp:extent cx="5257800" cy="9620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257800" cy="9620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需要再加入常用指数的月度收益，与基金净值在周频对齐。</w:t>
      </w:r>
    </w:p>
    <w:p>
      <w:pPr>
        <w:pStyle w:val="4"/>
        <w:spacing w:before="260" w:after="120" w:line="288" w:lineRule="auto"/>
        <w:ind w:left="0"/>
        <w:jc w:val="left"/>
        <w:outlineLvl w:val="3"/>
      </w:pPr>
      <w:bookmarkStart w:name="heading_13" w:id="13"/>
      <w:r>
        <w:rPr>
          <w:rFonts w:eastAsia="等线" w:ascii="Arial" w:cs="Arial" w:hAnsi="Arial"/>
          <w:b w:val="true"/>
          <w:sz w:val="28"/>
        </w:rPr>
        <w:t>3.2.2 绩效指标统计</w:t>
      </w:r>
      <w:bookmarkEnd w:id="13"/>
    </w:p>
    <w:p>
      <w:pPr>
        <w:spacing w:before="120" w:after="120" w:line="288" w:lineRule="auto"/>
        <w:ind w:left="0"/>
        <w:jc w:val="left"/>
      </w:pPr>
      <w:r>
        <w:rPr>
          <w:rFonts w:eastAsia="等线" w:ascii="Arial" w:cs="Arial" w:hAnsi="Arial"/>
          <w:sz w:val="22"/>
        </w:rPr>
        <w:t>支持自定义时间区间，如果自定义起始时间早于基金净值开始时间，则对该只基金全区间进行计算。支持选择超额计算或绝对净值计算。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15"/>
        <w:gridCol w:w="915"/>
        <w:gridCol w:w="915"/>
        <w:gridCol w:w="915"/>
        <w:gridCol w:w="915"/>
        <w:gridCol w:w="915"/>
        <w:gridCol w:w="915"/>
        <w:gridCol w:w="915"/>
        <w:gridCol w:w="915"/>
      </w:tblGrid>
      <w:tr>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收益率</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年化收益率</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年化波动率</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最大回撤</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夏普</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卡玛</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周胜率</w:t>
            </w:r>
          </w:p>
        </w:tc>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计算起始时间</w:t>
            </w: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基金A</w:t>
            </w: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基金B</w:t>
            </w: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r>
      <w:tr>
        <w:tc>
          <w:tcPr>
            <w:tcW w:w="9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c>
          <w:tcPr>
            <w:tcW w:w="915" w:type="dxa"/>
            <w:tcMar>
              <w:top w:type="dxa" w:w="60"/>
              <w:left w:type="dxa" w:w="120"/>
              <w:bottom w:type="dxa" w:w="30"/>
              <w:right w:type="dxa" w:w="120"/>
            </w:tcMar>
          </w:tcPr>
          <w:p>
            <w:pPr>
              <w:spacing w:before="120" w:after="120" w:line="288" w:lineRule="auto"/>
              <w:ind w:left="0"/>
              <w:jc w:val="left"/>
            </w:pPr>
          </w:p>
        </w:tc>
      </w:tr>
    </w:tbl>
    <w:p>
      <w:pPr>
        <w:pStyle w:val="4"/>
        <w:spacing w:before="260" w:after="120" w:line="288" w:lineRule="auto"/>
        <w:ind w:left="0"/>
        <w:jc w:val="left"/>
        <w:outlineLvl w:val="3"/>
      </w:pPr>
      <w:bookmarkStart w:name="heading_14" w:id="14"/>
      <w:r>
        <w:rPr>
          <w:rFonts w:eastAsia="等线" w:ascii="Arial" w:cs="Arial" w:hAnsi="Arial"/>
          <w:b w:val="true"/>
          <w:sz w:val="28"/>
        </w:rPr>
        <w:t>3.2.3 收益相关性</w:t>
      </w:r>
      <w:bookmarkEnd w:id="14"/>
    </w:p>
    <w:p>
      <w:pPr>
        <w:spacing w:before="120" w:after="120" w:line="288" w:lineRule="auto"/>
        <w:ind w:left="0"/>
        <w:jc w:val="left"/>
      </w:pPr>
      <w:r>
        <w:rPr>
          <w:rFonts w:eastAsia="等线" w:ascii="Arial" w:cs="Arial" w:hAnsi="Arial"/>
          <w:sz w:val="22"/>
        </w:rPr>
        <w:t>支持选择近半年/近1年/全区间；支持选择超额计算或绝对净值计算。</w:t>
      </w:r>
    </w:p>
    <w:p>
      <w:pPr>
        <w:spacing w:before="120" w:after="120" w:line="288" w:lineRule="auto"/>
        <w:ind w:left="0"/>
        <w:jc w:val="center"/>
      </w:pPr>
      <w:r>
        <w:drawing>
          <wp:inline distT="0" distR="0" distB="0" distL="0">
            <wp:extent cx="5257800" cy="14001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257800" cy="14001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15" w:id="15"/>
      <w:r>
        <w:rPr>
          <w:rFonts w:eastAsia="等线" w:ascii="Arial" w:cs="Arial" w:hAnsi="Arial"/>
          <w:b w:val="true"/>
          <w:sz w:val="36"/>
        </w:rPr>
        <w:t>说明：</w:t>
      </w:r>
      <w:bookmarkEnd w:id="15"/>
    </w:p>
    <w:p>
      <w:pPr>
        <w:numPr>
          <w:numId w:val="1"/>
        </w:numPr>
        <w:spacing w:before="120" w:after="120" w:line="288" w:lineRule="auto"/>
        <w:ind w:left="0"/>
        <w:jc w:val="left"/>
      </w:pPr>
      <w:r>
        <w:rPr>
          <w:rFonts w:eastAsia="等线" w:ascii="Arial" w:cs="Arial" w:hAnsi="Arial"/>
          <w:sz w:val="22"/>
        </w:rPr>
        <w:t>后续需要补充的数据：净值上需要提供朝阳跟踪池的净值；</w:t>
      </w:r>
    </w:p>
    <w:p>
      <w:pPr>
        <w:numPr>
          <w:numId w:val="2"/>
        </w:numPr>
        <w:spacing w:before="120" w:after="120" w:line="288" w:lineRule="auto"/>
        <w:ind w:left="0"/>
        <w:jc w:val="left"/>
      </w:pPr>
      <w:r>
        <w:rPr>
          <w:rFonts w:eastAsia="等线" w:ascii="Arial" w:cs="Arial" w:hAnsi="Arial"/>
          <w:sz w:val="22"/>
        </w:rPr>
        <w:t>投后子基金复权累计净值的处理；</w:t>
      </w:r>
    </w:p>
    <w:p>
      <w:pPr>
        <w:numPr>
          <w:numId w:val="3"/>
        </w:numPr>
        <w:spacing w:before="120" w:after="120" w:line="288" w:lineRule="auto"/>
        <w:ind w:left="0"/>
        <w:jc w:val="left"/>
      </w:pPr>
      <w:r>
        <w:rPr>
          <w:rFonts w:eastAsia="等线" w:ascii="Arial" w:cs="Arial" w:hAnsi="Arial"/>
          <w:sz w:val="22"/>
        </w:rPr>
        <w:t>同司同策略产品维护；</w:t>
      </w:r>
    </w:p>
    <w:sectPr>
      <w:footerReference w:type="default" r:id="rId3"/>
      <w:headerReference w:type="default" r:id="rId16"/>
      <w:headerReference w:type="first" r:id="rId17"/>
      <w:headerReference w:type="even" r:id="rId1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聂凡翔 5069"/>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聂凡翔 506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聂凡翔 5069"/>
        </v:shape>
      </w:pict>
    </w:r>
  </w:p>
</w:hdr>
</file>

<file path=word/numbering.xml><?xml version="1.0" encoding="utf-8"?>
<w:numbering xmlns:w="http://schemas.openxmlformats.org/wordprocessingml/2006/main">
  <w:abstractNum w:abstractNumId="144983">
    <w:lvl>
      <w:start w:val="1"/>
      <w:numFmt w:val="decimal"/>
      <w:suff w:val="tab"/>
      <w:lvlText w:val="%1."/>
      <w:rPr>
        <w:color w:val="3370ff"/>
      </w:rPr>
    </w:lvl>
  </w:abstractNum>
  <w:abstractNum w:abstractNumId="144984">
    <w:lvl>
      <w:start w:val="2"/>
      <w:numFmt w:val="decimal"/>
      <w:suff w:val="tab"/>
      <w:lvlText w:val="%1."/>
      <w:rPr>
        <w:color w:val="3370ff"/>
      </w:rPr>
    </w:lvl>
  </w:abstractNum>
  <w:abstractNum w:abstractNumId="144985">
    <w:lvl>
      <w:start w:val="3"/>
      <w:numFmt w:val="decimal"/>
      <w:suff w:val="tab"/>
      <w:lvlText w:val="%1."/>
      <w:rPr>
        <w:color w:val="3370ff"/>
      </w:rPr>
    </w:lvl>
  </w:abstractNum>
  <w:num w:numId="1">
    <w:abstractNumId w:val="144983"/>
  </w:num>
  <w:num w:numId="2">
    <w:abstractNumId w:val="144984"/>
  </w:num>
  <w:num w:numId="3">
    <w:abstractNumId w:val="14498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numbering.xml" Type="http://schemas.openxmlformats.org/officeDocument/2006/relationships/numbering"/><Relationship Id="rId16" Target="header1.xml" Type="http://schemas.openxmlformats.org/officeDocument/2006/relationships/header"/><Relationship Id="rId17" Target="header2.xml" Type="http://schemas.openxmlformats.org/officeDocument/2006/relationships/header"/><Relationship Id="rId18"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embeddings/Microsoft_Excel_Worksheet1.xlsx" Type="http://schemas.openxmlformats.org/officeDocument/2006/relationships/pack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2024-02-26T06:37:13Z</dcterms:created>
  <dc:creator>Apache POI</dc:creator>
</cp:coreProperties>
</file>