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8B19" w14:textId="77777777" w:rsidR="00914897" w:rsidRDefault="00000000">
      <w:pPr>
        <w:spacing w:after="40"/>
      </w:pPr>
      <w:r>
        <w:rPr>
          <w:rFonts w:ascii="Calibri" w:eastAsia="Calibri" w:hAnsi="Calibri" w:cs="Calibri"/>
          <w:b/>
          <w:bCs/>
          <w:color w:val="0F6E6E"/>
          <w:sz w:val="18"/>
          <w:szCs w:val="18"/>
        </w:rPr>
        <w:t>PEER REVIEW  ·  REVISION PLAN</w:t>
      </w:r>
    </w:p>
    <w:p w14:paraId="0A21FE99" w14:textId="77777777" w:rsidR="00914897" w:rsidRDefault="00000000">
      <w:pPr>
        <w:spacing w:after="40"/>
      </w:pPr>
      <w:r>
        <w:rPr>
          <w:rFonts w:ascii="Calibri" w:eastAsia="Calibri" w:hAnsi="Calibri" w:cs="Calibri"/>
          <w:b/>
          <w:bCs/>
          <w:color w:val="1F3864"/>
          <w:sz w:val="44"/>
          <w:szCs w:val="44"/>
        </w:rPr>
        <w:t>Kế hoạch chỉnh sửa bản thảo theo phản biện</w:t>
      </w:r>
    </w:p>
    <w:p w14:paraId="5530F61E" w14:textId="77777777" w:rsidR="00914897" w:rsidRDefault="00000000">
      <w:pPr>
        <w:pBdr>
          <w:bottom w:val="single" w:sz="12" w:space="6" w:color="1F3864"/>
        </w:pBdr>
        <w:spacing w:after="160"/>
      </w:pPr>
      <w:r>
        <w:rPr>
          <w:rFonts w:ascii="Calibri" w:eastAsia="Calibri" w:hAnsi="Calibri" w:cs="Calibri"/>
          <w:color w:val="33475B"/>
          <w:sz w:val="26"/>
          <w:szCs w:val="26"/>
        </w:rPr>
        <w:t>Hướng tới chấp nhận đăng tại tạp chí Q2</w:t>
      </w:r>
    </w:p>
    <w:tbl>
      <w:tblPr>
        <w:tblW w:w="9740" w:type="dxa"/>
        <w:tblBorders>
          <w:top w:val="single" w:sz="2" w:space="0" w:color="EEF2F8"/>
          <w:left w:val="single" w:sz="22" w:space="0" w:color="1F3864"/>
          <w:bottom w:val="single" w:sz="2" w:space="0" w:color="EEF2F8"/>
          <w:right w:val="single" w:sz="2" w:space="0" w:color="EEF2F8"/>
        </w:tblBorders>
        <w:tblCellMar>
          <w:left w:w="10" w:type="dxa"/>
          <w:right w:w="10" w:type="dxa"/>
        </w:tblCellMar>
        <w:tblLook w:val="04A0" w:firstRow="1" w:lastRow="0" w:firstColumn="1" w:lastColumn="0" w:noHBand="0" w:noVBand="1"/>
      </w:tblPr>
      <w:tblGrid>
        <w:gridCol w:w="9740"/>
      </w:tblGrid>
      <w:tr w:rsidR="00914897" w14:paraId="58CD6A16" w14:textId="77777777">
        <w:tblPrEx>
          <w:tblCellMar>
            <w:top w:w="0" w:type="dxa"/>
            <w:bottom w:w="0" w:type="dxa"/>
          </w:tblCellMar>
        </w:tblPrEx>
        <w:tc>
          <w:tcPr>
            <w:tcW w:w="9740" w:type="dxa"/>
            <w:shd w:val="clear" w:color="auto" w:fill="EEF2F8"/>
            <w:tcMar>
              <w:top w:w="130" w:type="dxa"/>
              <w:left w:w="200" w:type="dxa"/>
              <w:bottom w:w="130" w:type="dxa"/>
              <w:right w:w="200" w:type="dxa"/>
            </w:tcMar>
          </w:tcPr>
          <w:p w14:paraId="525EC220" w14:textId="77777777" w:rsidR="00914897" w:rsidRDefault="00000000">
            <w:pPr>
              <w:spacing w:after="40" w:line="276" w:lineRule="auto"/>
              <w:jc w:val="both"/>
            </w:pPr>
            <w:r>
              <w:rPr>
                <w:b/>
                <w:bCs/>
              </w:rPr>
              <w:t xml:space="preserve">Bài báo:  </w:t>
            </w:r>
            <w:r>
              <w:rPr>
                <w:i/>
                <w:iCs/>
              </w:rPr>
              <w:t>POMA: A Parallel Multi-Agent Orchestration for Vietnamese Table Question Answering</w:t>
            </w:r>
          </w:p>
          <w:p w14:paraId="184A2EAD" w14:textId="77777777" w:rsidR="00914897" w:rsidRDefault="00000000">
            <w:pPr>
              <w:spacing w:after="40" w:line="276" w:lineRule="auto"/>
              <w:jc w:val="both"/>
            </w:pPr>
            <w:r>
              <w:rPr>
                <w:b/>
                <w:bCs/>
              </w:rPr>
              <w:t xml:space="preserve">Tác giả:  </w:t>
            </w:r>
            <w:r>
              <w:t>Nguyen Dinh Khoi, Dang Van Thin (UIT, VNU-HCM)</w:t>
            </w:r>
          </w:p>
          <w:p w14:paraId="70ED6FA6" w14:textId="77777777" w:rsidR="00914897" w:rsidRDefault="00000000">
            <w:pPr>
              <w:spacing w:after="40" w:line="276" w:lineRule="auto"/>
              <w:jc w:val="both"/>
            </w:pPr>
            <w:r>
              <w:rPr>
                <w:b/>
                <w:bCs/>
              </w:rPr>
              <w:t xml:space="preserve">Benchmark:  </w:t>
            </w:r>
            <w:r>
              <w:t>Open-ViTabQA — Backbone: Qwen3-8B — 992 test instances</w:t>
            </w:r>
          </w:p>
          <w:p w14:paraId="5FE1141C" w14:textId="77777777" w:rsidR="00914897" w:rsidRDefault="00000000">
            <w:pPr>
              <w:spacing w:line="276" w:lineRule="auto"/>
              <w:jc w:val="both"/>
            </w:pPr>
            <w:r>
              <w:rPr>
                <w:b/>
                <w:bCs/>
              </w:rPr>
              <w:t xml:space="preserve">Trạng thái phản biện:  </w:t>
            </w:r>
            <w:r>
              <w:t>4 nhận xét tổng hợp từ Reviewer 1 (“may not yet meet the requirements”)</w:t>
            </w:r>
          </w:p>
        </w:tc>
      </w:tr>
    </w:tbl>
    <w:p w14:paraId="5B6BA7C1" w14:textId="77777777" w:rsidR="00914897" w:rsidRDefault="00914897">
      <w:pPr>
        <w:spacing w:after="120"/>
      </w:pPr>
    </w:p>
    <w:p w14:paraId="4C0F882E"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1. Tổng quan &amp; chẩn đoán</w:t>
      </w:r>
    </w:p>
    <w:p w14:paraId="0AE82A3A" w14:textId="77777777" w:rsidR="00914897" w:rsidRDefault="00000000">
      <w:pPr>
        <w:spacing w:after="140" w:line="276" w:lineRule="auto"/>
        <w:jc w:val="both"/>
      </w:pPr>
      <w:r>
        <w:t xml:space="preserve">Đây là một hệ thống hoàn chỉnh, viết mạch lạc, và đáng khích lệ với một tác giả chính là sinh viên năm 3 nhắm tới tạp chí Q2. Điểm mạnh rõ rệt: pipeline được mô tả chi tiết, quy trình đánh giá bám sát benchmark gốc, và bài báo </w:t>
      </w:r>
      <w:r>
        <w:rPr>
          <w:b/>
          <w:bCs/>
        </w:rPr>
        <w:t>trung thực báo cáo cả những chỗ yếu</w:t>
      </w:r>
      <w:r>
        <w:t xml:space="preserve"> (Why giảm điểm, answerability, chi phí suy luận). Reviewer nghiêm túc sẽ tôn trọng sự minh bạch này — và đây chính là nền để “nâng cấp” bài, thay vì phải viết lại từ đầu.</w:t>
      </w:r>
    </w:p>
    <w:p w14:paraId="07A89A90" w14:textId="77777777" w:rsidR="00914897" w:rsidRDefault="00000000">
      <w:pPr>
        <w:spacing w:after="140" w:line="276" w:lineRule="auto"/>
        <w:jc w:val="both"/>
      </w:pPr>
      <w:r>
        <w:t xml:space="preserve">Bốn nhận xét của Reviewer 1 đều ở dạng </w:t>
      </w:r>
      <w:r>
        <w:rPr>
          <w:b/>
          <w:bCs/>
        </w:rPr>
        <w:t>chung chung</w:t>
      </w:r>
      <w:r>
        <w:t xml:space="preserve"> (“cần rõ hơn”, “chưa thuyết phục”, “thiếu kiểm chứng”). Việc thực sự hữu ích là </w:t>
      </w:r>
      <w:r>
        <w:rPr>
          <w:b/>
          <w:bCs/>
        </w:rPr>
        <w:t>dịch từng nhận xét thành các điểm cụ thể trong chính bản thảo</w:t>
      </w:r>
      <w:r>
        <w:t>, rồi gắn với thay đổi có thể kiểm chứng. Tài liệu này làm đúng việc đó.</w:t>
      </w:r>
    </w:p>
    <w:p w14:paraId="6A3E2F39" w14:textId="77777777" w:rsidR="00914897" w:rsidRDefault="00000000">
      <w:pPr>
        <w:spacing w:after="140" w:line="276" w:lineRule="auto"/>
        <w:jc w:val="both"/>
      </w:pPr>
      <w:r>
        <w:t xml:space="preserve">Đọc thẳng: giọng văn “may not yet meet the requirements” thường tương ứng </w:t>
      </w:r>
      <w:r>
        <w:rPr>
          <w:b/>
          <w:bCs/>
        </w:rPr>
        <w:t>major revision hoặc reject-and-resubmit</w:t>
      </w:r>
      <w:r>
        <w:t xml:space="preserve">. Phần lớn nhận xét 1–2 xử lý được bằng viết lại; nhận xét 3 (và một phần 2) đòi hỏi vài thí nghiệm mới. </w:t>
      </w:r>
      <w:r>
        <w:rPr>
          <w:b/>
          <w:bCs/>
        </w:rPr>
        <w:t xml:space="preserve">Tin vui về chi phí: </w:t>
      </w:r>
      <w:r>
        <w:t>theo Bảng 7 của chính bài, một lần chạy full POMA chỉ ~$2.06 và few-shot ~$0.54 — nên toàn bộ thí nghiệm bổ sung đề xuất dưới đây đều rất rẻ và khả thi trong ngân sách sinh viên.</w:t>
      </w:r>
    </w:p>
    <w:p w14:paraId="6EA67E49"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2. Vấn đề phương pháp luận cốt lõi (xử lý trước tiên)</w:t>
      </w:r>
    </w:p>
    <w:p w14:paraId="0447BBE5" w14:textId="77777777" w:rsidR="00914897" w:rsidRDefault="00000000">
      <w:pPr>
        <w:spacing w:after="140" w:line="276" w:lineRule="auto"/>
        <w:jc w:val="both"/>
      </w:pPr>
      <w:r>
        <w:t xml:space="preserve">Trước khi chỉnh câu chữ, phải xử lý </w:t>
      </w:r>
      <w:r>
        <w:rPr>
          <w:b/>
          <w:bCs/>
        </w:rPr>
        <w:t>một vấn đề phương pháp luận</w:t>
      </w:r>
      <w:r>
        <w:t xml:space="preserve"> quyết định phần lớn chuyện “chưa thuyết phục” (NX2) và “thiếu kiểm chứng” (NX3). Nếu bỏ qua điểm này, mọi chỉnh sửa hình thức khác sẽ không cứu được bài trước một reviewer tinh ý ở tạp chí Q2.</w:t>
      </w:r>
    </w:p>
    <w:p w14:paraId="4EFFFFF4" w14:textId="77777777" w:rsidR="00914897" w:rsidRDefault="00000000">
      <w:pPr>
        <w:pStyle w:val="u2"/>
        <w:spacing w:before="200" w:after="70"/>
      </w:pPr>
      <w:r>
        <w:rPr>
          <w:rFonts w:ascii="Calibri" w:eastAsia="Calibri" w:hAnsi="Calibri" w:cs="Calibri"/>
          <w:b/>
          <w:bCs/>
          <w:color w:val="0F6E6E"/>
          <w:sz w:val="23"/>
          <w:szCs w:val="23"/>
        </w:rPr>
        <w:t>2.1  Answer Normalization đang gánh gần như toàn bộ improvement</w:t>
      </w:r>
    </w:p>
    <w:p w14:paraId="4E0B2395" w14:textId="77777777" w:rsidR="00914897" w:rsidRDefault="00000000">
      <w:pPr>
        <w:spacing w:after="140" w:line="276" w:lineRule="auto"/>
        <w:jc w:val="both"/>
      </w:pPr>
      <w:r>
        <w:t xml:space="preserve">Bảng 6 của chính bài cho thấy: few-shot = 67.14 EM; POMA </w:t>
      </w:r>
      <w:r>
        <w:rPr>
          <w:b/>
          <w:bCs/>
          <w:i/>
          <w:iCs/>
        </w:rPr>
        <w:t>không có</w:t>
      </w:r>
      <w:r>
        <w:t xml:space="preserve"> Answer Normalization (AN) = 68.41 EM; POMA có AN = 80.24 EM. Nghĩa là toàn bộ bộ máy multi-agent (hint prediction + refiner + specialists + parallel) chỉ cộng thêm </w:t>
      </w:r>
      <w:r>
        <w:rPr>
          <w:b/>
          <w:bCs/>
          <w:color w:val="9E2A2B"/>
        </w:rPr>
        <w:t>~1.3 EM</w:t>
      </w:r>
      <w:r>
        <w:t xml:space="preserve"> so với few-shot, còn bước Answer Normalization cộng </w:t>
      </w:r>
      <w:r>
        <w:rPr>
          <w:b/>
          <w:bCs/>
          <w:color w:val="9E2A2B"/>
        </w:rPr>
        <w:t>~11.8 EM</w:t>
      </w:r>
      <w:r>
        <w:t>. Trong khi đó, tiêu đề và abstract lại nhấn mạnh “modular multi-agent orchestration” là đóng góp chính. Reviewer gần như chắc chắn đang chỉ vào đúng mâu thuẫn này.</w:t>
      </w:r>
    </w:p>
    <w:p w14:paraId="1C60F335" w14:textId="77777777" w:rsidR="00914897" w:rsidRDefault="00000000">
      <w:pPr>
        <w:pStyle w:val="u2"/>
        <w:spacing w:before="200" w:after="70"/>
      </w:pPr>
      <w:r>
        <w:rPr>
          <w:rFonts w:ascii="Calibri" w:eastAsia="Calibri" w:hAnsi="Calibri" w:cs="Calibri"/>
          <w:b/>
          <w:bCs/>
          <w:color w:val="0F6E6E"/>
          <w:sz w:val="23"/>
          <w:szCs w:val="23"/>
        </w:rPr>
        <w:t>2.2  Cơ chế chấm “best-of-K” có thể không công bằng</w:t>
      </w:r>
    </w:p>
    <w:p w14:paraId="4E5EF731" w14:textId="77777777" w:rsidR="00914897" w:rsidRDefault="00000000">
      <w:pPr>
        <w:spacing w:after="140" w:line="276" w:lineRule="auto"/>
        <w:jc w:val="both"/>
      </w:pPr>
      <w:r>
        <w:t xml:space="preserve">Mục 3.1 viết: POMA sinh ra tập K biến thể answer rồi “selects the best-matching candidate”. Dưới cơ chế best-match, việc thêm biến thể </w:t>
      </w:r>
      <w:r>
        <w:rPr>
          <w:b/>
          <w:bCs/>
        </w:rPr>
        <w:t>chỉ có thể làm điểm tăng hoặc giữ nguyên, không bao giờ giảm</w:t>
      </w:r>
      <w:r>
        <w:t xml:space="preserve">. Do đó, nhận định ở Mục 5.6 rằng “không có output đúng nào bị AN làm sai” là </w:t>
      </w:r>
      <w:r>
        <w:rPr>
          <w:i/>
          <w:iCs/>
        </w:rPr>
        <w:t>hệ quả tất yếu của cách chấm</w:t>
      </w:r>
      <w:r>
        <w:t xml:space="preserve">, không phải bằng chứng cho chất lượng AN. Câu hỏi mấu chốt: </w:t>
      </w:r>
      <w:r>
        <w:rPr>
          <w:b/>
          <w:bCs/>
        </w:rPr>
        <w:t>baseline few-shot có được cùng cơ chế K-biến-thể + best-match không?</w:t>
      </w:r>
      <w:r>
        <w:t xml:space="preserve"> Bản thảo không nói rõ. Nếu baseline chỉ xuất một đáp án còn POMA được chấm best-of-K thì so sánh không đối xứng — và điều này lại củng cố nghi ngờ ở 2.1.</w:t>
      </w:r>
    </w:p>
    <w:tbl>
      <w:tblPr>
        <w:tblW w:w="9740" w:type="dxa"/>
        <w:tblBorders>
          <w:top w:val="single" w:sz="2" w:space="0" w:color="FBEAEA"/>
          <w:left w:val="single" w:sz="22" w:space="0" w:color="9E2A2B"/>
          <w:bottom w:val="single" w:sz="2" w:space="0" w:color="FBEAEA"/>
          <w:right w:val="single" w:sz="2" w:space="0" w:color="FBEAEA"/>
        </w:tblBorders>
        <w:tblCellMar>
          <w:left w:w="10" w:type="dxa"/>
          <w:right w:w="10" w:type="dxa"/>
        </w:tblCellMar>
        <w:tblLook w:val="04A0" w:firstRow="1" w:lastRow="0" w:firstColumn="1" w:lastColumn="0" w:noHBand="0" w:noVBand="1"/>
      </w:tblPr>
      <w:tblGrid>
        <w:gridCol w:w="9740"/>
      </w:tblGrid>
      <w:tr w:rsidR="00914897" w14:paraId="199181D0" w14:textId="77777777">
        <w:tblPrEx>
          <w:tblCellMar>
            <w:top w:w="0" w:type="dxa"/>
            <w:bottom w:w="0" w:type="dxa"/>
          </w:tblCellMar>
        </w:tblPrEx>
        <w:tc>
          <w:tcPr>
            <w:tcW w:w="9740" w:type="dxa"/>
            <w:shd w:val="clear" w:color="auto" w:fill="FBEAEA"/>
            <w:tcMar>
              <w:top w:w="130" w:type="dxa"/>
              <w:left w:w="200" w:type="dxa"/>
              <w:bottom w:w="130" w:type="dxa"/>
              <w:right w:w="200" w:type="dxa"/>
            </w:tcMar>
          </w:tcPr>
          <w:p w14:paraId="2C3E02D2" w14:textId="77777777" w:rsidR="00914897" w:rsidRDefault="00000000">
            <w:pPr>
              <w:spacing w:after="60"/>
            </w:pPr>
            <w:r>
              <w:rPr>
                <w:rFonts w:ascii="Calibri" w:eastAsia="Calibri" w:hAnsi="Calibri" w:cs="Calibri"/>
                <w:b/>
                <w:bCs/>
                <w:color w:val="9E2A2B"/>
              </w:rPr>
              <w:lastRenderedPageBreak/>
              <w:t>Ba việc BẮT BUỘC để gỡ (đều rẻ với setup hiện tại)</w:t>
            </w:r>
          </w:p>
          <w:p w14:paraId="61FEFAF8" w14:textId="77777777" w:rsidR="00914897" w:rsidRDefault="00000000">
            <w:pPr>
              <w:pStyle w:val="oancuaDanhsach"/>
              <w:numPr>
                <w:ilvl w:val="0"/>
                <w:numId w:val="2"/>
              </w:numPr>
              <w:spacing w:after="60" w:line="264" w:lineRule="auto"/>
              <w:jc w:val="both"/>
            </w:pPr>
            <w:r>
              <w:rPr>
                <w:b/>
                <w:bCs/>
              </w:rPr>
              <w:t>Áp chính Answer Normalization đó lên few-shot / ZS / CoT baseline</w:t>
            </w:r>
            <w:r>
              <w:t xml:space="preserve"> rồi báo cáo lại. Đây là thí nghiệm quan trọng nhất của cả vòng phản biện.</w:t>
            </w:r>
          </w:p>
          <w:p w14:paraId="0DEEDD47" w14:textId="77777777" w:rsidR="00914897" w:rsidRDefault="00000000">
            <w:pPr>
              <w:pStyle w:val="oancuaDanhsach"/>
              <w:numPr>
                <w:ilvl w:val="0"/>
                <w:numId w:val="2"/>
              </w:numPr>
              <w:spacing w:after="60" w:line="264" w:lineRule="auto"/>
              <w:jc w:val="both"/>
            </w:pPr>
            <w:r>
              <w:t xml:space="preserve">Báo cáo thêm cấu hình </w:t>
            </w:r>
            <w:r>
              <w:rPr>
                <w:b/>
                <w:bCs/>
              </w:rPr>
              <w:t>single final answer</w:t>
            </w:r>
            <w:r>
              <w:t xml:space="preserve"> (chọn 1 đáp án, không best-of-K) cho cả POMA lẫn baseline, để có một con số công bằng tuyệt đối.</w:t>
            </w:r>
          </w:p>
          <w:p w14:paraId="1FABB6D3" w14:textId="77777777" w:rsidR="00914897" w:rsidRDefault="00000000">
            <w:pPr>
              <w:pStyle w:val="oancuaDanhsach"/>
              <w:numPr>
                <w:ilvl w:val="0"/>
                <w:numId w:val="2"/>
              </w:numPr>
              <w:spacing w:line="264" w:lineRule="auto"/>
              <w:jc w:val="both"/>
            </w:pPr>
            <w:r>
              <w:t xml:space="preserve">Nói rõ </w:t>
            </w:r>
            <w:r>
              <w:rPr>
                <w:b/>
                <w:bCs/>
              </w:rPr>
              <w:t>K bằng bao nhiêu</w:t>
            </w:r>
            <w:r>
              <w:t xml:space="preserve"> và cơ chế best-match áp dụng cho những hệ nào.</w:t>
            </w:r>
          </w:p>
        </w:tc>
      </w:tr>
    </w:tbl>
    <w:p w14:paraId="7E2DD523" w14:textId="77777777" w:rsidR="00914897" w:rsidRDefault="00000000">
      <w:pPr>
        <w:spacing w:before="120" w:after="140"/>
        <w:jc w:val="both"/>
      </w:pPr>
      <w:r>
        <w:t xml:space="preserve">Nếu làm xong mà POMA vẫn hơn baseline-có-AN một cách rõ ràng → bạn có bằng chứng mạnh cho orchestration. Nếu không → bài vẫn hay, nhưng phải </w:t>
      </w:r>
      <w:r>
        <w:rPr>
          <w:b/>
          <w:bCs/>
        </w:rPr>
        <w:t>định khung lại đóng góp</w:t>
      </w:r>
      <w:r>
        <w:t xml:space="preserve"> (xem Mục 6). Cả hai kết cục đều tốt hơn hiện trạng.</w:t>
      </w:r>
    </w:p>
    <w:p w14:paraId="3F5691FB"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3. Nhận xét 1 — Mục tiêu nghiên cứu &amp; phát biểu bài toán</w:t>
      </w:r>
    </w:p>
    <w:p w14:paraId="772B242B" w14:textId="77777777" w:rsidR="00914897" w:rsidRDefault="00000000">
      <w:pPr>
        <w:pBdr>
          <w:left w:val="single" w:sz="18" w:space="10" w:color="0F6E6E"/>
        </w:pBdr>
        <w:spacing w:before="40" w:after="130" w:line="264" w:lineRule="auto"/>
        <w:ind w:left="340"/>
      </w:pPr>
      <w:r>
        <w:rPr>
          <w:i/>
          <w:iCs/>
          <w:color w:val="33475B"/>
        </w:rPr>
        <w:t>“The manuscript would benefit from a clearer articulation and stronger justification of the research purpose and problem statement.”</w:t>
      </w:r>
    </w:p>
    <w:p w14:paraId="4D178B98" w14:textId="77777777" w:rsidR="00914897" w:rsidRDefault="00000000">
      <w:pPr>
        <w:spacing w:after="110" w:line="276" w:lineRule="auto"/>
        <w:jc w:val="both"/>
      </w:pPr>
      <w:r>
        <w:rPr>
          <w:b/>
          <w:bCs/>
          <w:color w:val="1F3864"/>
        </w:rPr>
        <w:t xml:space="preserve">Diễn giải: </w:t>
      </w:r>
      <w:r>
        <w:t>Reviewer thấy lý do “tại sao decomposition là câu trả lời đúng” đang bị lỏng. Introduction lập luận “direct prompting nhồi mọi thao tác vào một bước” nhưng đó là khẳng định chung, chưa có research question tường minh, chưa buộc chặt các con số động cơ vào cơ chế cụ thể, và chưa biện minh vì sao chọn multi-agent thay vì prompt đơn mạnh hơn / symbolic execution / fine-tuning.</w:t>
      </w:r>
    </w:p>
    <w:p w14:paraId="1B53175E" w14:textId="77777777" w:rsidR="00914897" w:rsidRDefault="00000000">
      <w:pPr>
        <w:spacing w:after="110" w:line="276" w:lineRule="auto"/>
        <w:jc w:val="both"/>
      </w:pPr>
      <w:r>
        <w:rPr>
          <w:b/>
          <w:bCs/>
          <w:color w:val="1F3864"/>
        </w:rPr>
        <w:t xml:space="preserve">Vị trí cần sửa: </w:t>
      </w:r>
      <w:r>
        <w:t>Phần 1 (Introduction), đặc biệt hai đoạn cuối và câu “Our contributions are twofold”.</w:t>
      </w:r>
    </w:p>
    <w:p w14:paraId="5DB4401F" w14:textId="77777777" w:rsidR="00914897" w:rsidRDefault="00000000">
      <w:pPr>
        <w:spacing w:after="40" w:line="276" w:lineRule="auto"/>
        <w:jc w:val="both"/>
      </w:pPr>
      <w:r>
        <w:rPr>
          <w:b/>
          <w:bCs/>
          <w:color w:val="1F3864"/>
        </w:rPr>
        <w:t xml:space="preserve">Đề xuất chỉnh sửa: </w:t>
      </w:r>
    </w:p>
    <w:p w14:paraId="670CD055" w14:textId="77777777" w:rsidR="00914897" w:rsidRDefault="00000000">
      <w:pPr>
        <w:pStyle w:val="oancuaDanhsach"/>
        <w:numPr>
          <w:ilvl w:val="0"/>
          <w:numId w:val="2"/>
        </w:numPr>
        <w:spacing w:after="90" w:line="264" w:lineRule="auto"/>
        <w:jc w:val="both"/>
      </w:pPr>
      <w:r>
        <w:rPr>
          <w:b/>
          <w:bCs/>
        </w:rPr>
        <w:t xml:space="preserve">Thêm 3 research question tường minh ở cuối Introduction. </w:t>
      </w:r>
      <w:r>
        <w:t>Ví dụ: RQ1 — Việc phân rã theo canonical question type và route tới specialist có cải thiện độ chính xác so với baseline single-prompt cùng backbone không? RQ2 — Bao nhiêu phần cải thiện đến từ reasoning decomposition so với answer normalization? RQ3 — Hint predictor học được có thay thế được gold question-type labels lúc runtime không?</w:t>
      </w:r>
    </w:p>
    <w:p w14:paraId="71A13C5F" w14:textId="77777777" w:rsidR="00914897" w:rsidRDefault="00000000">
      <w:pPr>
        <w:pStyle w:val="oancuaDanhsach"/>
        <w:numPr>
          <w:ilvl w:val="0"/>
          <w:numId w:val="2"/>
        </w:numPr>
        <w:spacing w:after="90" w:line="264" w:lineRule="auto"/>
        <w:jc w:val="both"/>
      </w:pPr>
      <w:r>
        <w:rPr>
          <w:i/>
          <w:iCs/>
          <w:color w:val="595959"/>
        </w:rPr>
        <w:t>(Lưu ý: RQ2 chủ động ôm lấy đúng vấn đề cốt lõi ở Mục 2 — biến điểm yếu thành câu hỏi nghiên cứu, khiến reviewer thấy bạn đã tự nhận ra và xử lý.)</w:t>
      </w:r>
    </w:p>
    <w:p w14:paraId="5195ED24" w14:textId="77777777" w:rsidR="00914897" w:rsidRDefault="00000000">
      <w:pPr>
        <w:pStyle w:val="oancuaDanhsach"/>
        <w:numPr>
          <w:ilvl w:val="0"/>
          <w:numId w:val="2"/>
        </w:numPr>
        <w:spacing w:after="90" w:line="264" w:lineRule="auto"/>
        <w:jc w:val="both"/>
      </w:pPr>
      <w:r>
        <w:rPr>
          <w:b/>
          <w:bCs/>
        </w:rPr>
        <w:t xml:space="preserve">Sắc hóa phát biểu bài toán: </w:t>
      </w:r>
      <w:r>
        <w:t>liệt kê một taxonomy of failure modes (grounding error; answerability error hai chiều — vừa hallucinate vừa false-Null; surface-form error) rồi map từng loại tới đúng module POMA khắc phục. Hiện quan hệ problem→solution đang mờ.</w:t>
      </w:r>
    </w:p>
    <w:p w14:paraId="7FB755D1" w14:textId="77777777" w:rsidR="00914897" w:rsidRDefault="00000000">
      <w:pPr>
        <w:pStyle w:val="oancuaDanhsach"/>
        <w:numPr>
          <w:ilvl w:val="0"/>
          <w:numId w:val="2"/>
        </w:numPr>
        <w:spacing w:after="140" w:line="264" w:lineRule="auto"/>
        <w:jc w:val="both"/>
      </w:pPr>
      <w:r>
        <w:rPr>
          <w:b/>
          <w:bCs/>
        </w:rPr>
        <w:t xml:space="preserve">Thêm 2–3 câu biện minh lựa chọn thiết kế </w:t>
      </w:r>
      <w:r>
        <w:t>để nó không có vẻ tùy tiện: vì sao decomposition-by-type, chứ không phải chỉ viết một prompt tốt hơn hoặc dùng symbolic executor.</w:t>
      </w:r>
    </w:p>
    <w:p w14:paraId="376427AA"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4. Nhận xét 2 — Giải pháp chưa thuyết phục / thiếu lý giải thiết kế</w:t>
      </w:r>
    </w:p>
    <w:p w14:paraId="18527E99" w14:textId="77777777" w:rsidR="00914897" w:rsidRDefault="00000000">
      <w:pPr>
        <w:pBdr>
          <w:left w:val="single" w:sz="18" w:space="10" w:color="0F6E6E"/>
        </w:pBdr>
        <w:spacing w:before="40" w:after="130" w:line="264" w:lineRule="auto"/>
        <w:ind w:left="340"/>
      </w:pPr>
      <w:r>
        <w:rPr>
          <w:i/>
          <w:iCs/>
          <w:color w:val="33475B"/>
        </w:rPr>
        <w:t>“The proposed solution, in its current form, does not appear sufficiently convincing, and the rationale behind its design could be elaborated further.”</w:t>
      </w:r>
    </w:p>
    <w:p w14:paraId="2FCF8541" w14:textId="77777777" w:rsidR="00914897" w:rsidRDefault="00000000">
      <w:pPr>
        <w:spacing w:after="110" w:line="276" w:lineRule="auto"/>
        <w:jc w:val="both"/>
      </w:pPr>
      <w:r>
        <w:rPr>
          <w:b/>
          <w:bCs/>
          <w:color w:val="1F3864"/>
        </w:rPr>
        <w:t xml:space="preserve">Diễn giải: </w:t>
      </w:r>
      <w:r>
        <w:t>Ngoài vấn đề “AN gánh improvement” ở Mục 2, có bốn điểm khiến thiết kế kém thuyết phục về mặt lý giải và tái lập.</w:t>
      </w:r>
    </w:p>
    <w:p w14:paraId="4737E801" w14:textId="77777777" w:rsidR="00914897" w:rsidRDefault="00000000">
      <w:pPr>
        <w:pStyle w:val="oancuaDanhsach"/>
        <w:numPr>
          <w:ilvl w:val="0"/>
          <w:numId w:val="2"/>
        </w:numPr>
        <w:spacing w:after="90" w:line="264" w:lineRule="auto"/>
        <w:jc w:val="both"/>
      </w:pPr>
      <w:r>
        <w:rPr>
          <w:b/>
          <w:bCs/>
        </w:rPr>
        <w:t xml:space="preserve">Nguy cơ overfit vào taxonomy của dataset. </w:t>
      </w:r>
      <w:r>
        <w:t xml:space="preserve">10 specialist trùng khít 10 hint của Open-ViTabQA. Người đọc dễ kết luận phương pháp được “may đo” cho đúng một bộ nhãn của đúng một dataset. </w:t>
      </w:r>
      <w:r>
        <w:rPr>
          <w:i/>
          <w:iCs/>
        </w:rPr>
        <w:t>Sửa:</w:t>
      </w:r>
      <w:r>
        <w:t xml:space="preserve"> hoặc biện minh vì sao 10 category này phổ quát cho Table QA, hoặc thừa nhận thẳng và định khung như một design choice có điều kiện.</w:t>
      </w:r>
    </w:p>
    <w:p w14:paraId="46CC3C97" w14:textId="77777777" w:rsidR="00914897" w:rsidRDefault="00000000">
      <w:pPr>
        <w:pStyle w:val="oancuaDanhsach"/>
        <w:numPr>
          <w:ilvl w:val="0"/>
          <w:numId w:val="2"/>
        </w:numPr>
        <w:spacing w:after="90" w:line="264" w:lineRule="auto"/>
        <w:jc w:val="both"/>
      </w:pPr>
      <w:r>
        <w:rPr>
          <w:b/>
          <w:bCs/>
        </w:rPr>
        <w:t xml:space="preserve">Thiếu prompt trong bài. </w:t>
      </w:r>
      <w:r>
        <w:t xml:space="preserve">Specialist chỉ được mô tả là “prompt-conditioned module” nhưng không có prompt nào trong appendix. Với một bài về prompt-engineering/orchestration, đây là lỗ hổng cả về tính </w:t>
      </w:r>
      <w:r>
        <w:lastRenderedPageBreak/>
        <w:t xml:space="preserve">thuyết phục lẫn khả năng tái lập. </w:t>
      </w:r>
      <w:r>
        <w:rPr>
          <w:i/>
          <w:iCs/>
        </w:rPr>
        <w:t>Sửa:</w:t>
      </w:r>
      <w:r>
        <w:t xml:space="preserve"> bổ sung toàn văn prompt của hint predictor, refiner, và ít nhất vài specialist đại diện vào Appendix.</w:t>
      </w:r>
    </w:p>
    <w:p w14:paraId="243D389C" w14:textId="77777777" w:rsidR="00914897" w:rsidRDefault="00000000">
      <w:pPr>
        <w:pStyle w:val="oancuaDanhsach"/>
        <w:numPr>
          <w:ilvl w:val="0"/>
          <w:numId w:val="2"/>
        </w:numPr>
        <w:spacing w:after="90" w:line="264" w:lineRule="auto"/>
        <w:jc w:val="both"/>
      </w:pPr>
      <w:r>
        <w:rPr>
          <w:b/>
          <w:bCs/>
        </w:rPr>
        <w:t xml:space="preserve">“Predicted hints tốt hơn gold hints” được giải thích qua loa. </w:t>
      </w:r>
      <w:r>
        <w:t xml:space="preserve">Bảng 5 cho predicted 80.24 vs dataset 80.04 EM — phản trực giác; lời giải “better aligned with the downstream router” khá hand-wavy, và chênh 0.20 EM cũng có thể chỉ là nhiễu. </w:t>
      </w:r>
      <w:r>
        <w:rPr>
          <w:i/>
          <w:iCs/>
        </w:rPr>
        <w:t>Sửa:</w:t>
      </w:r>
      <w:r>
        <w:t xml:space="preserve"> hoặc giải thích thuyết phục (kèm số liệu độ chính xác hint + ví dụ định tính), hoặc hạ giọng và nói thẳng rằng khác biệt nằm trong khoảng nhiễu.</w:t>
      </w:r>
    </w:p>
    <w:p w14:paraId="5BB184A6" w14:textId="77777777" w:rsidR="00914897" w:rsidRDefault="00000000">
      <w:pPr>
        <w:pStyle w:val="oancuaDanhsach"/>
        <w:numPr>
          <w:ilvl w:val="0"/>
          <w:numId w:val="2"/>
        </w:numPr>
        <w:spacing w:after="140" w:line="264" w:lineRule="auto"/>
        <w:jc w:val="both"/>
      </w:pPr>
      <w:r>
        <w:rPr>
          <w:b/>
          <w:bCs/>
        </w:rPr>
        <w:t xml:space="preserve">“Parallel” chưa được chứng minh có giá trị. </w:t>
      </w:r>
      <w:r>
        <w:t xml:space="preserve">Bài không đưa thống kê trung bình mỗi câu kích hoạt bao nhiêu specialist, nên không rõ parallelism thực sự xảy ra bao nhiêu phần trăm. </w:t>
      </w:r>
      <w:r>
        <w:rPr>
          <w:i/>
          <w:iCs/>
        </w:rPr>
        <w:t>Sửa:</w:t>
      </w:r>
      <w:r>
        <w:t xml:space="preserve"> thêm phân bố số hint/câu, và một ablation single-specialist-routing vs multi-specialist để cho thấy chạy song song thực sự đóng góp.</w:t>
      </w:r>
    </w:p>
    <w:p w14:paraId="443AB530"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5. Nhận xét 3 — Thiếu kiểm chứng thực nghiệm mạnh &amp; thuyết phục</w:t>
      </w:r>
    </w:p>
    <w:p w14:paraId="1B45C6F6" w14:textId="77777777" w:rsidR="00914897" w:rsidRDefault="00000000">
      <w:pPr>
        <w:pBdr>
          <w:left w:val="single" w:sz="18" w:space="10" w:color="0F6E6E"/>
        </w:pBdr>
        <w:spacing w:before="40" w:after="130" w:line="264" w:lineRule="auto"/>
        <w:ind w:left="340"/>
      </w:pPr>
      <w:r>
        <w:rPr>
          <w:i/>
          <w:iCs/>
          <w:color w:val="33475B"/>
        </w:rPr>
        <w:t>“In addition, the paper lacks robust and persuasive experimental validation to demonstrate the effectiveness of the proposed method.”</w:t>
      </w:r>
    </w:p>
    <w:p w14:paraId="5EEE7AA5" w14:textId="77777777" w:rsidR="00914897" w:rsidRDefault="00000000">
      <w:pPr>
        <w:spacing w:after="110" w:line="276" w:lineRule="auto"/>
        <w:jc w:val="both"/>
      </w:pPr>
      <w:r>
        <w:rPr>
          <w:b/>
          <w:bCs/>
          <w:color w:val="1F3864"/>
        </w:rPr>
        <w:t xml:space="preserve">Diễn giải: </w:t>
      </w:r>
      <w:r>
        <w:t>Đây là phần cần thêm việc nhất. Ngoài hai fix công bằng ở Mục 2, cần củng cố tính tổng quát và độ tin cậy thống kê.</w:t>
      </w:r>
    </w:p>
    <w:p w14:paraId="7DE3FD61" w14:textId="77777777" w:rsidR="00914897" w:rsidRDefault="00000000">
      <w:pPr>
        <w:pStyle w:val="oancuaDanhsach"/>
        <w:numPr>
          <w:ilvl w:val="0"/>
          <w:numId w:val="2"/>
        </w:numPr>
        <w:spacing w:after="90" w:line="264" w:lineRule="auto"/>
        <w:jc w:val="both"/>
      </w:pPr>
      <w:r>
        <w:rPr>
          <w:b/>
          <w:bCs/>
        </w:rPr>
        <w:t xml:space="preserve">Chỉ một backbone (Qwen3-8B). </w:t>
      </w:r>
      <w:r>
        <w:t xml:space="preserve">Với Q2, một backbone là mỏng và càng làm nặng nghi ngờ overfit. </w:t>
      </w:r>
      <w:r>
        <w:rPr>
          <w:b/>
          <w:bCs/>
          <w:color w:val="9E2A2B"/>
        </w:rPr>
        <w:t>Thêm ít nhất 1 backbone nữa</w:t>
      </w:r>
      <w:r>
        <w:t xml:space="preserve"> (một open model cỡ tương đương: Llama-3.1-8B, Gemma, hoặc Mistral) để chứng minh method generalize. Đây gần như là điều kiện cần để được nhận.</w:t>
      </w:r>
    </w:p>
    <w:p w14:paraId="2E7C7298" w14:textId="77777777" w:rsidR="00914897" w:rsidRDefault="00000000">
      <w:pPr>
        <w:pStyle w:val="oancuaDanhsach"/>
        <w:numPr>
          <w:ilvl w:val="0"/>
          <w:numId w:val="2"/>
        </w:numPr>
        <w:spacing w:after="90" w:line="264" w:lineRule="auto"/>
        <w:jc w:val="both"/>
      </w:pPr>
      <w:r>
        <w:rPr>
          <w:b/>
          <w:bCs/>
        </w:rPr>
        <w:t xml:space="preserve">Chỉ một dataset. </w:t>
      </w:r>
      <w:r>
        <w:t>Vì taxonomy lấy từ chính Open-ViTabQA, rất cần một kiểm tra chuyển giao — dù nhỏ — sang một benchmark Table QA khác (hoặc tập QA tiếng Việt khác), để phản bác cáo buộc “chỉ chạy được trên đúng dataset đã định nghĩa nhãn”.</w:t>
      </w:r>
    </w:p>
    <w:p w14:paraId="7744EA89" w14:textId="77777777" w:rsidR="00914897" w:rsidRDefault="00000000">
      <w:pPr>
        <w:pStyle w:val="oancuaDanhsach"/>
        <w:numPr>
          <w:ilvl w:val="0"/>
          <w:numId w:val="2"/>
        </w:numPr>
        <w:spacing w:after="90" w:line="264" w:lineRule="auto"/>
        <w:jc w:val="both"/>
      </w:pPr>
      <w:r>
        <w:rPr>
          <w:b/>
          <w:bCs/>
        </w:rPr>
        <w:t xml:space="preserve">Không có thống kê độ ổn định / significance. </w:t>
      </w:r>
      <w:r>
        <w:t>Temp 0.0 nên chỉ có một lần chạy tất định — bản thân điều đó là hạn chế. Thêm bootstrap confidence interval trên 992 mẫu, hoặc perturbation (paraphrase câu hỏi / đổi thứ tự few-shot / đổi seed) để chứng minh mức +13 EM là ổn định, không phải một lần may.</w:t>
      </w:r>
    </w:p>
    <w:p w14:paraId="29E68840" w14:textId="77777777" w:rsidR="00914897" w:rsidRDefault="00000000">
      <w:pPr>
        <w:pStyle w:val="oancuaDanhsach"/>
        <w:numPr>
          <w:ilvl w:val="0"/>
          <w:numId w:val="2"/>
        </w:numPr>
        <w:spacing w:after="90" w:line="264" w:lineRule="auto"/>
        <w:jc w:val="both"/>
      </w:pPr>
      <w:r>
        <w:rPr>
          <w:b/>
          <w:bCs/>
        </w:rPr>
        <w:t xml:space="preserve">Độ chính xác của hint predictor không được báo cáo trực tiếp. </w:t>
      </w:r>
      <w:r>
        <w:t>Router phụ thuộc hoàn toàn vào hint, nhưng bài chưa đưa agreement giữa predicted hint và gold hint (precision/recall theo từng nhãn). Reviewer sẽ muốn con số này để đánh giá chất lượng đầu vào của router.</w:t>
      </w:r>
    </w:p>
    <w:p w14:paraId="0C05CA1B" w14:textId="77777777" w:rsidR="00914897" w:rsidRDefault="00000000">
      <w:pPr>
        <w:pStyle w:val="oancuaDanhsach"/>
        <w:numPr>
          <w:ilvl w:val="0"/>
          <w:numId w:val="2"/>
        </w:numPr>
        <w:spacing w:after="140" w:line="264" w:lineRule="auto"/>
        <w:jc w:val="both"/>
      </w:pPr>
      <w:r>
        <w:rPr>
          <w:b/>
          <w:bCs/>
        </w:rPr>
        <w:t xml:space="preserve">Regression trên answerability cần đóng khung trung thực. </w:t>
      </w:r>
      <w:r>
        <w:t>POMA thua chính few-shot baseline ở cả hai lớp: Answerable 96.49 vs 97.38, Unanswerable 51.13 vs 56.64. Nghĩa là ở đúng quyết định cốt lõi (có nên abstain hay không), orchestration không giúp — thậm chí hơi hại. Cân nhắc làm luôn một evidence-support verifier tối giản và đưa vào bài, hoặc ít nhất thảo luận rõ vì sao pipeline phức tạp lại kém baseline đơn giản ở chỗ này.</w:t>
      </w:r>
    </w:p>
    <w:p w14:paraId="552732E4"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6. Nhận xét 4 — Đóng góp còn hạn chế</w:t>
      </w:r>
    </w:p>
    <w:p w14:paraId="5BD840CC" w14:textId="77777777" w:rsidR="00914897" w:rsidRDefault="00000000">
      <w:pPr>
        <w:pBdr>
          <w:left w:val="single" w:sz="18" w:space="10" w:color="0F6E6E"/>
        </w:pBdr>
        <w:spacing w:before="40" w:after="130" w:line="264" w:lineRule="auto"/>
        <w:ind w:left="340"/>
      </w:pPr>
      <w:r>
        <w:rPr>
          <w:i/>
          <w:iCs/>
          <w:color w:val="33475B"/>
        </w:rPr>
        <w:t>“Taken together, the current contributions seem limited and may not yet meet the requirements for publication in the journal.”</w:t>
      </w:r>
    </w:p>
    <w:p w14:paraId="123AC880" w14:textId="77777777" w:rsidR="00914897" w:rsidRDefault="00000000">
      <w:pPr>
        <w:spacing w:after="110" w:line="276" w:lineRule="auto"/>
        <w:jc w:val="both"/>
      </w:pPr>
      <w:r>
        <w:rPr>
          <w:b/>
          <w:bCs/>
          <w:color w:val="1F3864"/>
        </w:rPr>
        <w:t xml:space="preserve">Diễn giải: </w:t>
      </w:r>
      <w:r>
        <w:t>Đây là hệ quả của ba nhận xét trên. Cách xử lý tốt nhất là định khung lại đóng góp cho phòng thủ được, thay vì tuyên bố quá tay.</w:t>
      </w:r>
    </w:p>
    <w:p w14:paraId="742A89AC" w14:textId="77777777" w:rsidR="00914897" w:rsidRDefault="00000000">
      <w:pPr>
        <w:pStyle w:val="oancuaDanhsach"/>
        <w:numPr>
          <w:ilvl w:val="0"/>
          <w:numId w:val="2"/>
        </w:numPr>
        <w:spacing w:after="90" w:line="264" w:lineRule="auto"/>
        <w:jc w:val="both"/>
      </w:pPr>
      <w:r>
        <w:rPr>
          <w:b/>
          <w:bCs/>
        </w:rPr>
        <w:t xml:space="preserve">Đừng overclaim. </w:t>
      </w:r>
      <w:r>
        <w:t>Thay “chúng tôi khai phá multi-agent Table QA” bằng phát biểu chính xác hơn, ví dụ: “a training-free, deterministic-routing orchestration that, combined with variant-based answer normalization, substantially improves surface-form alignment for Vietnamese Table QA, together with a controlled analysis that isolates where the gains originate.”</w:t>
      </w:r>
    </w:p>
    <w:p w14:paraId="1EF08E03" w14:textId="77777777" w:rsidR="00914897" w:rsidRDefault="00000000">
      <w:pPr>
        <w:pStyle w:val="oancuaDanhsach"/>
        <w:numPr>
          <w:ilvl w:val="0"/>
          <w:numId w:val="2"/>
        </w:numPr>
        <w:spacing w:after="90" w:line="264" w:lineRule="auto"/>
        <w:jc w:val="both"/>
      </w:pPr>
      <w:r>
        <w:rPr>
          <w:b/>
          <w:bCs/>
        </w:rPr>
        <w:t xml:space="preserve">Biến điểm yếu thành đóng góp. </w:t>
      </w:r>
      <w:r>
        <w:t xml:space="preserve">Nếu thí nghiệm AN-on-baselines cho thấy answer normalization là đòn bẩy chính cho metric Table QA tiếng Việt, thì đó là một phát hiện thú vị và đáng công bố (“for concise </w:t>
      </w:r>
      <w:r>
        <w:lastRenderedPageBreak/>
        <w:t>Vietnamese answers, surface-form normalization matters more than reasoning decomposition”) — miễn là được chứng minh bằng cách áp AN lên cả baseline. Sự trung thực về RQ2 mạnh hơn nhiều so với việc che giấu.</w:t>
      </w:r>
    </w:p>
    <w:p w14:paraId="0D84CCC1" w14:textId="77777777" w:rsidR="00914897" w:rsidRDefault="00000000">
      <w:pPr>
        <w:pStyle w:val="oancuaDanhsach"/>
        <w:numPr>
          <w:ilvl w:val="0"/>
          <w:numId w:val="2"/>
        </w:numPr>
        <w:spacing w:after="40" w:line="264" w:lineRule="auto"/>
        <w:jc w:val="both"/>
      </w:pPr>
      <w:r>
        <w:rPr>
          <w:b/>
          <w:bCs/>
        </w:rPr>
        <w:t>Năm bổ sung thuyết phục nhất, xếp theo mức biến “limited” thành “validated”:</w:t>
      </w:r>
    </w:p>
    <w:p w14:paraId="3AAFBC6A" w14:textId="77777777" w:rsidR="00914897" w:rsidRDefault="00000000">
      <w:pPr>
        <w:pStyle w:val="oancuaDanhsach"/>
        <w:numPr>
          <w:ilvl w:val="1"/>
          <w:numId w:val="2"/>
        </w:numPr>
        <w:spacing w:after="90" w:line="264" w:lineRule="auto"/>
        <w:jc w:val="both"/>
      </w:pPr>
      <w:r>
        <w:t>AN-on-baselines + số single-answer công bằng (gỡ trực tiếp NX2 &amp; NX4).</w:t>
      </w:r>
    </w:p>
    <w:p w14:paraId="02DC001C" w14:textId="77777777" w:rsidR="00914897" w:rsidRDefault="00000000">
      <w:pPr>
        <w:pStyle w:val="oancuaDanhsach"/>
        <w:numPr>
          <w:ilvl w:val="1"/>
          <w:numId w:val="2"/>
        </w:numPr>
        <w:spacing w:after="90" w:line="264" w:lineRule="auto"/>
        <w:jc w:val="both"/>
      </w:pPr>
      <w:r>
        <w:t>Backbone thứ hai (gỡ overfit-backbone, NX3).</w:t>
      </w:r>
    </w:p>
    <w:p w14:paraId="4CFCDE3B" w14:textId="77777777" w:rsidR="00914897" w:rsidRDefault="00000000">
      <w:pPr>
        <w:pStyle w:val="oancuaDanhsach"/>
        <w:numPr>
          <w:ilvl w:val="1"/>
          <w:numId w:val="2"/>
        </w:numPr>
        <w:spacing w:after="90" w:line="264" w:lineRule="auto"/>
        <w:jc w:val="both"/>
      </w:pPr>
      <w:r>
        <w:t>Độ chính xác hint predictor theo nhãn (NX2 &amp; NX3).</w:t>
      </w:r>
    </w:p>
    <w:p w14:paraId="1BE64FC9" w14:textId="77777777" w:rsidR="00914897" w:rsidRDefault="00000000">
      <w:pPr>
        <w:pStyle w:val="oancuaDanhsach"/>
        <w:numPr>
          <w:ilvl w:val="1"/>
          <w:numId w:val="2"/>
        </w:numPr>
        <w:spacing w:after="90" w:line="264" w:lineRule="auto"/>
        <w:jc w:val="both"/>
      </w:pPr>
      <w:r>
        <w:t>Thống kê parallelism + toàn văn prompts trong appendix (NX2).</w:t>
      </w:r>
    </w:p>
    <w:p w14:paraId="6D8F8E09" w14:textId="77777777" w:rsidR="00914897" w:rsidRDefault="00000000">
      <w:pPr>
        <w:pStyle w:val="oancuaDanhsach"/>
        <w:numPr>
          <w:ilvl w:val="1"/>
          <w:numId w:val="2"/>
        </w:numPr>
        <w:spacing w:after="140" w:line="264" w:lineRule="auto"/>
        <w:jc w:val="both"/>
      </w:pPr>
      <w:r>
        <w:t>Kiểm tra generalization sang dataset khác (NX3).</w:t>
      </w:r>
    </w:p>
    <w:p w14:paraId="3748DC11"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7. Bảng tổng hợp: mục cần chỉnh sửa → đề xuất → ưu tiên</w:t>
      </w:r>
    </w:p>
    <w:p w14:paraId="012F4821" w14:textId="77777777" w:rsidR="00914897" w:rsidRDefault="00000000">
      <w:pPr>
        <w:spacing w:after="100" w:line="276" w:lineRule="auto"/>
        <w:jc w:val="both"/>
      </w:pPr>
      <w:r>
        <w:rPr>
          <w:color w:val="595959"/>
          <w:sz w:val="20"/>
          <w:szCs w:val="20"/>
        </w:rPr>
        <w:t>Ánh xạ trực tiếp từng phần của bản thảo tới vấn đề, cách sửa, và mức ưu tiên. “Bắt buộc” = nhiều khả năng là điều kiện để được nhận.</w:t>
      </w:r>
    </w:p>
    <w:tbl>
      <w:tblPr>
        <w:tblW w:w="974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60"/>
        <w:gridCol w:w="780"/>
        <w:gridCol w:w="2560"/>
        <w:gridCol w:w="3720"/>
        <w:gridCol w:w="1220"/>
      </w:tblGrid>
      <w:tr w:rsidR="00914897" w14:paraId="4BB9BD4F" w14:textId="77777777">
        <w:tblPrEx>
          <w:tblCellMar>
            <w:top w:w="0" w:type="dxa"/>
            <w:bottom w:w="0" w:type="dxa"/>
          </w:tblCellMar>
        </w:tblPrEx>
        <w:trPr>
          <w:tblHeader/>
        </w:trPr>
        <w:tc>
          <w:tcPr>
            <w:tcW w:w="1460" w:type="dxa"/>
            <w:shd w:val="clear" w:color="auto" w:fill="1F3864"/>
            <w:tcMar>
              <w:top w:w="70" w:type="dxa"/>
              <w:left w:w="90" w:type="dxa"/>
              <w:bottom w:w="70" w:type="dxa"/>
              <w:right w:w="90" w:type="dxa"/>
            </w:tcMar>
          </w:tcPr>
          <w:p w14:paraId="0DEEC633" w14:textId="77777777" w:rsidR="00914897" w:rsidRDefault="00000000">
            <w:r>
              <w:rPr>
                <w:rFonts w:ascii="Calibri" w:eastAsia="Calibri" w:hAnsi="Calibri" w:cs="Calibri"/>
                <w:b/>
                <w:bCs/>
                <w:color w:val="FFFFFF"/>
                <w:sz w:val="17"/>
                <w:szCs w:val="17"/>
              </w:rPr>
              <w:t>Mục trong bài</w:t>
            </w:r>
          </w:p>
        </w:tc>
        <w:tc>
          <w:tcPr>
            <w:tcW w:w="780" w:type="dxa"/>
            <w:shd w:val="clear" w:color="auto" w:fill="1F3864"/>
            <w:tcMar>
              <w:top w:w="70" w:type="dxa"/>
              <w:left w:w="90" w:type="dxa"/>
              <w:bottom w:w="70" w:type="dxa"/>
              <w:right w:w="90" w:type="dxa"/>
            </w:tcMar>
          </w:tcPr>
          <w:p w14:paraId="1C364C73" w14:textId="77777777" w:rsidR="00914897" w:rsidRDefault="00000000">
            <w:r>
              <w:rPr>
                <w:rFonts w:ascii="Calibri" w:eastAsia="Calibri" w:hAnsi="Calibri" w:cs="Calibri"/>
                <w:b/>
                <w:bCs/>
                <w:color w:val="FFFFFF"/>
                <w:sz w:val="17"/>
                <w:szCs w:val="17"/>
              </w:rPr>
              <w:t>Nhận xét</w:t>
            </w:r>
          </w:p>
        </w:tc>
        <w:tc>
          <w:tcPr>
            <w:tcW w:w="2560" w:type="dxa"/>
            <w:shd w:val="clear" w:color="auto" w:fill="1F3864"/>
            <w:tcMar>
              <w:top w:w="70" w:type="dxa"/>
              <w:left w:w="90" w:type="dxa"/>
              <w:bottom w:w="70" w:type="dxa"/>
              <w:right w:w="90" w:type="dxa"/>
            </w:tcMar>
          </w:tcPr>
          <w:p w14:paraId="6A1FA66A" w14:textId="77777777" w:rsidR="00914897" w:rsidRDefault="00000000">
            <w:r>
              <w:rPr>
                <w:rFonts w:ascii="Calibri" w:eastAsia="Calibri" w:hAnsi="Calibri" w:cs="Calibri"/>
                <w:b/>
                <w:bCs/>
                <w:color w:val="FFFFFF"/>
                <w:sz w:val="17"/>
                <w:szCs w:val="17"/>
              </w:rPr>
              <w:t>Vấn đề chính</w:t>
            </w:r>
          </w:p>
        </w:tc>
        <w:tc>
          <w:tcPr>
            <w:tcW w:w="3720" w:type="dxa"/>
            <w:shd w:val="clear" w:color="auto" w:fill="1F3864"/>
            <w:tcMar>
              <w:top w:w="70" w:type="dxa"/>
              <w:left w:w="90" w:type="dxa"/>
              <w:bottom w:w="70" w:type="dxa"/>
              <w:right w:w="90" w:type="dxa"/>
            </w:tcMar>
          </w:tcPr>
          <w:p w14:paraId="5B400F67" w14:textId="77777777" w:rsidR="00914897" w:rsidRDefault="00000000">
            <w:r>
              <w:rPr>
                <w:rFonts w:ascii="Calibri" w:eastAsia="Calibri" w:hAnsi="Calibri" w:cs="Calibri"/>
                <w:b/>
                <w:bCs/>
                <w:color w:val="FFFFFF"/>
                <w:sz w:val="17"/>
                <w:szCs w:val="17"/>
              </w:rPr>
              <w:t>Đề xuất chỉnh sửa</w:t>
            </w:r>
          </w:p>
        </w:tc>
        <w:tc>
          <w:tcPr>
            <w:tcW w:w="1220" w:type="dxa"/>
            <w:shd w:val="clear" w:color="auto" w:fill="1F3864"/>
            <w:tcMar>
              <w:top w:w="70" w:type="dxa"/>
              <w:left w:w="90" w:type="dxa"/>
              <w:bottom w:w="70" w:type="dxa"/>
              <w:right w:w="90" w:type="dxa"/>
            </w:tcMar>
          </w:tcPr>
          <w:p w14:paraId="439BD150" w14:textId="77777777" w:rsidR="00914897" w:rsidRDefault="00000000">
            <w:r>
              <w:rPr>
                <w:rFonts w:ascii="Calibri" w:eastAsia="Calibri" w:hAnsi="Calibri" w:cs="Calibri"/>
                <w:b/>
                <w:bCs/>
                <w:color w:val="FFFFFF"/>
                <w:sz w:val="17"/>
                <w:szCs w:val="17"/>
              </w:rPr>
              <w:t>Ưu tiên</w:t>
            </w:r>
          </w:p>
        </w:tc>
      </w:tr>
      <w:tr w:rsidR="00914897" w14:paraId="0C03CC38" w14:textId="77777777">
        <w:tblPrEx>
          <w:tblCellMar>
            <w:top w:w="0" w:type="dxa"/>
            <w:bottom w:w="0" w:type="dxa"/>
          </w:tblCellMar>
        </w:tblPrEx>
        <w:tc>
          <w:tcPr>
            <w:tcW w:w="1460" w:type="dxa"/>
            <w:tcMar>
              <w:top w:w="60" w:type="dxa"/>
              <w:left w:w="90" w:type="dxa"/>
              <w:bottom w:w="60" w:type="dxa"/>
              <w:right w:w="90" w:type="dxa"/>
            </w:tcMar>
          </w:tcPr>
          <w:p w14:paraId="2FA051F9" w14:textId="77777777" w:rsidR="00914897" w:rsidRDefault="00000000">
            <w:pPr>
              <w:spacing w:after="20"/>
            </w:pPr>
            <w:r>
              <w:rPr>
                <w:sz w:val="17"/>
                <w:szCs w:val="17"/>
              </w:rPr>
              <w:t>Abstract / Contributions (§1, §6)</w:t>
            </w:r>
          </w:p>
        </w:tc>
        <w:tc>
          <w:tcPr>
            <w:tcW w:w="780" w:type="dxa"/>
            <w:tcMar>
              <w:top w:w="60" w:type="dxa"/>
              <w:left w:w="90" w:type="dxa"/>
              <w:bottom w:w="60" w:type="dxa"/>
              <w:right w:w="90" w:type="dxa"/>
            </w:tcMar>
          </w:tcPr>
          <w:p w14:paraId="347581DE" w14:textId="77777777" w:rsidR="00914897" w:rsidRDefault="00000000">
            <w:pPr>
              <w:spacing w:after="20"/>
            </w:pPr>
            <w:r>
              <w:rPr>
                <w:sz w:val="17"/>
                <w:szCs w:val="17"/>
              </w:rPr>
              <w:t>NX4</w:t>
            </w:r>
          </w:p>
        </w:tc>
        <w:tc>
          <w:tcPr>
            <w:tcW w:w="2560" w:type="dxa"/>
            <w:tcMar>
              <w:top w:w="60" w:type="dxa"/>
              <w:left w:w="90" w:type="dxa"/>
              <w:bottom w:w="60" w:type="dxa"/>
              <w:right w:w="90" w:type="dxa"/>
            </w:tcMar>
          </w:tcPr>
          <w:p w14:paraId="1B03F545" w14:textId="77777777" w:rsidR="00914897" w:rsidRDefault="00000000">
            <w:pPr>
              <w:spacing w:after="20"/>
            </w:pPr>
            <w:r>
              <w:rPr>
                <w:sz w:val="17"/>
                <w:szCs w:val="17"/>
              </w:rPr>
              <w:t>Overclaim “modular orchestration” trong khi ablation cho thấy AN mới là đòn bẩy chính.</w:t>
            </w:r>
          </w:p>
        </w:tc>
        <w:tc>
          <w:tcPr>
            <w:tcW w:w="3720" w:type="dxa"/>
            <w:tcMar>
              <w:top w:w="60" w:type="dxa"/>
              <w:left w:w="90" w:type="dxa"/>
              <w:bottom w:w="60" w:type="dxa"/>
              <w:right w:w="90" w:type="dxa"/>
            </w:tcMar>
          </w:tcPr>
          <w:p w14:paraId="01E526D2" w14:textId="77777777" w:rsidR="00914897" w:rsidRDefault="00000000">
            <w:pPr>
              <w:spacing w:after="20"/>
            </w:pPr>
            <w:r>
              <w:rPr>
                <w:sz w:val="17"/>
                <w:szCs w:val="17"/>
              </w:rPr>
              <w:t>Định khung lại đóng góp; nêu cả AN; thêm “controlled analysis isolating gains”.</w:t>
            </w:r>
          </w:p>
        </w:tc>
        <w:tc>
          <w:tcPr>
            <w:tcW w:w="1220" w:type="dxa"/>
            <w:shd w:val="clear" w:color="auto" w:fill="FBEAEA"/>
            <w:tcMar>
              <w:top w:w="60" w:type="dxa"/>
              <w:left w:w="90" w:type="dxa"/>
              <w:bottom w:w="60" w:type="dxa"/>
              <w:right w:w="90" w:type="dxa"/>
            </w:tcMar>
            <w:vAlign w:val="center"/>
          </w:tcPr>
          <w:p w14:paraId="4F0EF618" w14:textId="77777777" w:rsidR="00914897" w:rsidRDefault="00000000">
            <w:pPr>
              <w:jc w:val="center"/>
            </w:pPr>
            <w:r>
              <w:rPr>
                <w:rFonts w:ascii="Calibri" w:eastAsia="Calibri" w:hAnsi="Calibri" w:cs="Calibri"/>
                <w:b/>
                <w:bCs/>
                <w:color w:val="9E2A2B"/>
                <w:sz w:val="17"/>
                <w:szCs w:val="17"/>
              </w:rPr>
              <w:t>Bắt buộc</w:t>
            </w:r>
          </w:p>
        </w:tc>
      </w:tr>
      <w:tr w:rsidR="00914897" w14:paraId="3352C1D4" w14:textId="77777777">
        <w:tblPrEx>
          <w:tblCellMar>
            <w:top w:w="0" w:type="dxa"/>
            <w:bottom w:w="0" w:type="dxa"/>
          </w:tblCellMar>
        </w:tblPrEx>
        <w:tc>
          <w:tcPr>
            <w:tcW w:w="1460" w:type="dxa"/>
            <w:tcMar>
              <w:top w:w="60" w:type="dxa"/>
              <w:left w:w="90" w:type="dxa"/>
              <w:bottom w:w="60" w:type="dxa"/>
              <w:right w:w="90" w:type="dxa"/>
            </w:tcMar>
          </w:tcPr>
          <w:p w14:paraId="08BE2E21" w14:textId="77777777" w:rsidR="00914897" w:rsidRDefault="00000000">
            <w:pPr>
              <w:spacing w:after="20"/>
            </w:pPr>
            <w:r>
              <w:rPr>
                <w:sz w:val="17"/>
                <w:szCs w:val="17"/>
              </w:rPr>
              <w:t>Introduction (§1)</w:t>
            </w:r>
          </w:p>
        </w:tc>
        <w:tc>
          <w:tcPr>
            <w:tcW w:w="780" w:type="dxa"/>
            <w:tcMar>
              <w:top w:w="60" w:type="dxa"/>
              <w:left w:w="90" w:type="dxa"/>
              <w:bottom w:w="60" w:type="dxa"/>
              <w:right w:w="90" w:type="dxa"/>
            </w:tcMar>
          </w:tcPr>
          <w:p w14:paraId="02FC5ACB" w14:textId="77777777" w:rsidR="00914897" w:rsidRDefault="00000000">
            <w:pPr>
              <w:spacing w:after="20"/>
            </w:pPr>
            <w:r>
              <w:rPr>
                <w:sz w:val="17"/>
                <w:szCs w:val="17"/>
              </w:rPr>
              <w:t>NX1</w:t>
            </w:r>
          </w:p>
        </w:tc>
        <w:tc>
          <w:tcPr>
            <w:tcW w:w="2560" w:type="dxa"/>
            <w:tcMar>
              <w:top w:w="60" w:type="dxa"/>
              <w:left w:w="90" w:type="dxa"/>
              <w:bottom w:w="60" w:type="dxa"/>
              <w:right w:w="90" w:type="dxa"/>
            </w:tcMar>
          </w:tcPr>
          <w:p w14:paraId="2633D711" w14:textId="77777777" w:rsidR="00914897" w:rsidRDefault="00000000">
            <w:pPr>
              <w:spacing w:after="20"/>
            </w:pPr>
            <w:r>
              <w:rPr>
                <w:sz w:val="17"/>
                <w:szCs w:val="17"/>
              </w:rPr>
              <w:t>Thiếu RQ; quan hệ problem→solution mờ; chưa biện minh thiết kế.</w:t>
            </w:r>
          </w:p>
        </w:tc>
        <w:tc>
          <w:tcPr>
            <w:tcW w:w="3720" w:type="dxa"/>
            <w:tcMar>
              <w:top w:w="60" w:type="dxa"/>
              <w:left w:w="90" w:type="dxa"/>
              <w:bottom w:w="60" w:type="dxa"/>
              <w:right w:w="90" w:type="dxa"/>
            </w:tcMar>
          </w:tcPr>
          <w:p w14:paraId="2DCE7F4C" w14:textId="77777777" w:rsidR="00914897" w:rsidRDefault="00000000">
            <w:pPr>
              <w:spacing w:after="20"/>
            </w:pPr>
            <w:r>
              <w:rPr>
                <w:sz w:val="17"/>
                <w:szCs w:val="17"/>
              </w:rPr>
              <w:t>Thêm 3 RQ; taxonomy failure modes map tới module; biện minh chọn decomposition.</w:t>
            </w:r>
          </w:p>
        </w:tc>
        <w:tc>
          <w:tcPr>
            <w:tcW w:w="1220" w:type="dxa"/>
            <w:shd w:val="clear" w:color="auto" w:fill="FBEAEA"/>
            <w:tcMar>
              <w:top w:w="60" w:type="dxa"/>
              <w:left w:w="90" w:type="dxa"/>
              <w:bottom w:w="60" w:type="dxa"/>
              <w:right w:w="90" w:type="dxa"/>
            </w:tcMar>
            <w:vAlign w:val="center"/>
          </w:tcPr>
          <w:p w14:paraId="65F6421A" w14:textId="77777777" w:rsidR="00914897" w:rsidRDefault="00000000">
            <w:pPr>
              <w:jc w:val="center"/>
            </w:pPr>
            <w:r>
              <w:rPr>
                <w:rFonts w:ascii="Calibri" w:eastAsia="Calibri" w:hAnsi="Calibri" w:cs="Calibri"/>
                <w:b/>
                <w:bCs/>
                <w:color w:val="9E2A2B"/>
                <w:sz w:val="17"/>
                <w:szCs w:val="17"/>
              </w:rPr>
              <w:t>Bắt buộc</w:t>
            </w:r>
          </w:p>
        </w:tc>
      </w:tr>
      <w:tr w:rsidR="00914897" w14:paraId="0029D5C5" w14:textId="77777777">
        <w:tblPrEx>
          <w:tblCellMar>
            <w:top w:w="0" w:type="dxa"/>
            <w:bottom w:w="0" w:type="dxa"/>
          </w:tblCellMar>
        </w:tblPrEx>
        <w:tc>
          <w:tcPr>
            <w:tcW w:w="1460" w:type="dxa"/>
            <w:tcMar>
              <w:top w:w="60" w:type="dxa"/>
              <w:left w:w="90" w:type="dxa"/>
              <w:bottom w:w="60" w:type="dxa"/>
              <w:right w:w="90" w:type="dxa"/>
            </w:tcMar>
          </w:tcPr>
          <w:p w14:paraId="08E2A874" w14:textId="77777777" w:rsidR="00914897" w:rsidRDefault="00000000">
            <w:pPr>
              <w:spacing w:after="20"/>
            </w:pPr>
            <w:r>
              <w:rPr>
                <w:sz w:val="17"/>
                <w:szCs w:val="17"/>
              </w:rPr>
              <w:t>Problem Formulation &amp; Ablation (§3.1, §5.6)</w:t>
            </w:r>
          </w:p>
        </w:tc>
        <w:tc>
          <w:tcPr>
            <w:tcW w:w="780" w:type="dxa"/>
            <w:tcMar>
              <w:top w:w="60" w:type="dxa"/>
              <w:left w:w="90" w:type="dxa"/>
              <w:bottom w:w="60" w:type="dxa"/>
              <w:right w:w="90" w:type="dxa"/>
            </w:tcMar>
          </w:tcPr>
          <w:p w14:paraId="7A6513B9" w14:textId="77777777" w:rsidR="00914897" w:rsidRDefault="00000000">
            <w:pPr>
              <w:spacing w:after="20"/>
            </w:pPr>
            <w:r>
              <w:rPr>
                <w:sz w:val="17"/>
                <w:szCs w:val="17"/>
              </w:rPr>
              <w:t>NX2, NX3</w:t>
            </w:r>
          </w:p>
        </w:tc>
        <w:tc>
          <w:tcPr>
            <w:tcW w:w="2560" w:type="dxa"/>
            <w:tcMar>
              <w:top w:w="60" w:type="dxa"/>
              <w:left w:w="90" w:type="dxa"/>
              <w:bottom w:w="60" w:type="dxa"/>
              <w:right w:w="90" w:type="dxa"/>
            </w:tcMar>
          </w:tcPr>
          <w:p w14:paraId="12B29925" w14:textId="77777777" w:rsidR="00914897" w:rsidRDefault="00000000">
            <w:pPr>
              <w:spacing w:after="20"/>
            </w:pPr>
            <w:r>
              <w:rPr>
                <w:sz w:val="17"/>
                <w:szCs w:val="17"/>
              </w:rPr>
              <w:t>Best-of-K + AN gánh điểm; kết luận ablation mang tính tautology.</w:t>
            </w:r>
          </w:p>
        </w:tc>
        <w:tc>
          <w:tcPr>
            <w:tcW w:w="3720" w:type="dxa"/>
            <w:tcMar>
              <w:top w:w="60" w:type="dxa"/>
              <w:left w:w="90" w:type="dxa"/>
              <w:bottom w:w="60" w:type="dxa"/>
              <w:right w:w="90" w:type="dxa"/>
            </w:tcMar>
          </w:tcPr>
          <w:p w14:paraId="68A9DA82" w14:textId="77777777" w:rsidR="00914897" w:rsidRDefault="00000000">
            <w:pPr>
              <w:spacing w:after="20"/>
            </w:pPr>
            <w:r>
              <w:rPr>
                <w:sz w:val="17"/>
                <w:szCs w:val="17"/>
              </w:rPr>
              <w:t>Áp AN lên baseline; báo cáo single-answer; nêu rõ K &amp; cơ chế best-match.</w:t>
            </w:r>
          </w:p>
        </w:tc>
        <w:tc>
          <w:tcPr>
            <w:tcW w:w="1220" w:type="dxa"/>
            <w:shd w:val="clear" w:color="auto" w:fill="FBEAEA"/>
            <w:tcMar>
              <w:top w:w="60" w:type="dxa"/>
              <w:left w:w="90" w:type="dxa"/>
              <w:bottom w:w="60" w:type="dxa"/>
              <w:right w:w="90" w:type="dxa"/>
            </w:tcMar>
            <w:vAlign w:val="center"/>
          </w:tcPr>
          <w:p w14:paraId="5730A4A9" w14:textId="77777777" w:rsidR="00914897" w:rsidRDefault="00000000">
            <w:pPr>
              <w:jc w:val="center"/>
            </w:pPr>
            <w:r>
              <w:rPr>
                <w:rFonts w:ascii="Calibri" w:eastAsia="Calibri" w:hAnsi="Calibri" w:cs="Calibri"/>
                <w:b/>
                <w:bCs/>
                <w:color w:val="9E2A2B"/>
                <w:sz w:val="17"/>
                <w:szCs w:val="17"/>
              </w:rPr>
              <w:t>Bắt buộc</w:t>
            </w:r>
          </w:p>
        </w:tc>
      </w:tr>
      <w:tr w:rsidR="00914897" w14:paraId="0685785C" w14:textId="77777777">
        <w:tblPrEx>
          <w:tblCellMar>
            <w:top w:w="0" w:type="dxa"/>
            <w:bottom w:w="0" w:type="dxa"/>
          </w:tblCellMar>
        </w:tblPrEx>
        <w:tc>
          <w:tcPr>
            <w:tcW w:w="1460" w:type="dxa"/>
            <w:tcMar>
              <w:top w:w="60" w:type="dxa"/>
              <w:left w:w="90" w:type="dxa"/>
              <w:bottom w:w="60" w:type="dxa"/>
              <w:right w:w="90" w:type="dxa"/>
            </w:tcMar>
          </w:tcPr>
          <w:p w14:paraId="5FFA8908" w14:textId="77777777" w:rsidR="00914897" w:rsidRDefault="00000000">
            <w:pPr>
              <w:spacing w:after="20"/>
            </w:pPr>
            <w:r>
              <w:rPr>
                <w:sz w:val="17"/>
                <w:szCs w:val="17"/>
              </w:rPr>
              <w:t>Method + Appendix (§3.3–3.6)</w:t>
            </w:r>
          </w:p>
        </w:tc>
        <w:tc>
          <w:tcPr>
            <w:tcW w:w="780" w:type="dxa"/>
            <w:tcMar>
              <w:top w:w="60" w:type="dxa"/>
              <w:left w:w="90" w:type="dxa"/>
              <w:bottom w:w="60" w:type="dxa"/>
              <w:right w:w="90" w:type="dxa"/>
            </w:tcMar>
          </w:tcPr>
          <w:p w14:paraId="2967E707" w14:textId="77777777" w:rsidR="00914897" w:rsidRDefault="00000000">
            <w:pPr>
              <w:spacing w:after="20"/>
            </w:pPr>
            <w:r>
              <w:rPr>
                <w:sz w:val="17"/>
                <w:szCs w:val="17"/>
              </w:rPr>
              <w:t>NX2</w:t>
            </w:r>
          </w:p>
        </w:tc>
        <w:tc>
          <w:tcPr>
            <w:tcW w:w="2560" w:type="dxa"/>
            <w:tcMar>
              <w:top w:w="60" w:type="dxa"/>
              <w:left w:w="90" w:type="dxa"/>
              <w:bottom w:w="60" w:type="dxa"/>
              <w:right w:w="90" w:type="dxa"/>
            </w:tcMar>
          </w:tcPr>
          <w:p w14:paraId="1216C7B8" w14:textId="77777777" w:rsidR="00914897" w:rsidRDefault="00000000">
            <w:pPr>
              <w:spacing w:after="20"/>
            </w:pPr>
            <w:r>
              <w:rPr>
                <w:sz w:val="17"/>
                <w:szCs w:val="17"/>
              </w:rPr>
              <w:t>Không có prompt; specialist khớp cứng taxonomy dataset.</w:t>
            </w:r>
          </w:p>
        </w:tc>
        <w:tc>
          <w:tcPr>
            <w:tcW w:w="3720" w:type="dxa"/>
            <w:tcMar>
              <w:top w:w="60" w:type="dxa"/>
              <w:left w:w="90" w:type="dxa"/>
              <w:bottom w:w="60" w:type="dxa"/>
              <w:right w:w="90" w:type="dxa"/>
            </w:tcMar>
          </w:tcPr>
          <w:p w14:paraId="0EF89EF6" w14:textId="77777777" w:rsidR="00914897" w:rsidRDefault="00000000">
            <w:pPr>
              <w:spacing w:after="20"/>
            </w:pPr>
            <w:r>
              <w:rPr>
                <w:sz w:val="17"/>
                <w:szCs w:val="17"/>
              </w:rPr>
              <w:t>Đưa full prompts vào appendix; biện minh hoặc định khung taxonomy.</w:t>
            </w:r>
          </w:p>
        </w:tc>
        <w:tc>
          <w:tcPr>
            <w:tcW w:w="1220" w:type="dxa"/>
            <w:shd w:val="clear" w:color="auto" w:fill="FBEAEA"/>
            <w:tcMar>
              <w:top w:w="60" w:type="dxa"/>
              <w:left w:w="90" w:type="dxa"/>
              <w:bottom w:w="60" w:type="dxa"/>
              <w:right w:w="90" w:type="dxa"/>
            </w:tcMar>
            <w:vAlign w:val="center"/>
          </w:tcPr>
          <w:p w14:paraId="72F6F0EC" w14:textId="77777777" w:rsidR="00914897" w:rsidRDefault="00000000">
            <w:pPr>
              <w:jc w:val="center"/>
            </w:pPr>
            <w:r>
              <w:rPr>
                <w:rFonts w:ascii="Calibri" w:eastAsia="Calibri" w:hAnsi="Calibri" w:cs="Calibri"/>
                <w:b/>
                <w:bCs/>
                <w:color w:val="9E2A2B"/>
                <w:sz w:val="17"/>
                <w:szCs w:val="17"/>
              </w:rPr>
              <w:t>Bắt buộc</w:t>
            </w:r>
          </w:p>
        </w:tc>
      </w:tr>
      <w:tr w:rsidR="00914897" w14:paraId="20EEFB2F" w14:textId="77777777">
        <w:tblPrEx>
          <w:tblCellMar>
            <w:top w:w="0" w:type="dxa"/>
            <w:bottom w:w="0" w:type="dxa"/>
          </w:tblCellMar>
        </w:tblPrEx>
        <w:tc>
          <w:tcPr>
            <w:tcW w:w="1460" w:type="dxa"/>
            <w:tcMar>
              <w:top w:w="60" w:type="dxa"/>
              <w:left w:w="90" w:type="dxa"/>
              <w:bottom w:w="60" w:type="dxa"/>
              <w:right w:w="90" w:type="dxa"/>
            </w:tcMar>
          </w:tcPr>
          <w:p w14:paraId="4967272E" w14:textId="77777777" w:rsidR="00914897" w:rsidRDefault="00000000">
            <w:pPr>
              <w:spacing w:after="20"/>
            </w:pPr>
            <w:r>
              <w:rPr>
                <w:sz w:val="17"/>
                <w:szCs w:val="17"/>
              </w:rPr>
              <w:t>Config / Overall Results (§4.3, §5.1)</w:t>
            </w:r>
          </w:p>
        </w:tc>
        <w:tc>
          <w:tcPr>
            <w:tcW w:w="780" w:type="dxa"/>
            <w:tcMar>
              <w:top w:w="60" w:type="dxa"/>
              <w:left w:w="90" w:type="dxa"/>
              <w:bottom w:w="60" w:type="dxa"/>
              <w:right w:w="90" w:type="dxa"/>
            </w:tcMar>
          </w:tcPr>
          <w:p w14:paraId="1556EDAD" w14:textId="77777777" w:rsidR="00914897" w:rsidRDefault="00000000">
            <w:pPr>
              <w:spacing w:after="20"/>
            </w:pPr>
            <w:r>
              <w:rPr>
                <w:sz w:val="17"/>
                <w:szCs w:val="17"/>
              </w:rPr>
              <w:t>NX3</w:t>
            </w:r>
          </w:p>
        </w:tc>
        <w:tc>
          <w:tcPr>
            <w:tcW w:w="2560" w:type="dxa"/>
            <w:tcMar>
              <w:top w:w="60" w:type="dxa"/>
              <w:left w:w="90" w:type="dxa"/>
              <w:bottom w:w="60" w:type="dxa"/>
              <w:right w:w="90" w:type="dxa"/>
            </w:tcMar>
          </w:tcPr>
          <w:p w14:paraId="42E8B0C8" w14:textId="77777777" w:rsidR="00914897" w:rsidRDefault="00000000">
            <w:pPr>
              <w:spacing w:after="20"/>
            </w:pPr>
            <w:r>
              <w:rPr>
                <w:sz w:val="17"/>
                <w:szCs w:val="17"/>
              </w:rPr>
              <w:t>Chỉ một backbone Qwen3-8B.</w:t>
            </w:r>
          </w:p>
        </w:tc>
        <w:tc>
          <w:tcPr>
            <w:tcW w:w="3720" w:type="dxa"/>
            <w:tcMar>
              <w:top w:w="60" w:type="dxa"/>
              <w:left w:w="90" w:type="dxa"/>
              <w:bottom w:w="60" w:type="dxa"/>
              <w:right w:w="90" w:type="dxa"/>
            </w:tcMar>
          </w:tcPr>
          <w:p w14:paraId="73D2C591" w14:textId="77777777" w:rsidR="00914897" w:rsidRDefault="00000000">
            <w:pPr>
              <w:spacing w:after="20"/>
            </w:pPr>
            <w:r>
              <w:rPr>
                <w:sz w:val="17"/>
                <w:szCs w:val="17"/>
              </w:rPr>
              <w:t>Thêm ≥1 backbone (Llama-3.1-8B / Gemma / Mistral).</w:t>
            </w:r>
          </w:p>
        </w:tc>
        <w:tc>
          <w:tcPr>
            <w:tcW w:w="1220" w:type="dxa"/>
            <w:shd w:val="clear" w:color="auto" w:fill="FDF3E3"/>
            <w:tcMar>
              <w:top w:w="60" w:type="dxa"/>
              <w:left w:w="90" w:type="dxa"/>
              <w:bottom w:w="60" w:type="dxa"/>
              <w:right w:w="90" w:type="dxa"/>
            </w:tcMar>
            <w:vAlign w:val="center"/>
          </w:tcPr>
          <w:p w14:paraId="77F22E81" w14:textId="77777777" w:rsidR="00914897" w:rsidRDefault="00000000">
            <w:pPr>
              <w:jc w:val="center"/>
            </w:pPr>
            <w:r>
              <w:rPr>
                <w:rFonts w:ascii="Calibri" w:eastAsia="Calibri" w:hAnsi="Calibri" w:cs="Calibri"/>
                <w:b/>
                <w:bCs/>
                <w:color w:val="9C6A16"/>
                <w:sz w:val="17"/>
                <w:szCs w:val="17"/>
              </w:rPr>
              <w:t>Cao</w:t>
            </w:r>
          </w:p>
        </w:tc>
      </w:tr>
      <w:tr w:rsidR="00914897" w14:paraId="317B78F6" w14:textId="77777777">
        <w:tblPrEx>
          <w:tblCellMar>
            <w:top w:w="0" w:type="dxa"/>
            <w:bottom w:w="0" w:type="dxa"/>
          </w:tblCellMar>
        </w:tblPrEx>
        <w:tc>
          <w:tcPr>
            <w:tcW w:w="1460" w:type="dxa"/>
            <w:tcMar>
              <w:top w:w="60" w:type="dxa"/>
              <w:left w:w="90" w:type="dxa"/>
              <w:bottom w:w="60" w:type="dxa"/>
              <w:right w:w="90" w:type="dxa"/>
            </w:tcMar>
          </w:tcPr>
          <w:p w14:paraId="0B26F858" w14:textId="77777777" w:rsidR="00914897" w:rsidRDefault="00000000">
            <w:pPr>
              <w:spacing w:after="20"/>
            </w:pPr>
            <w:r>
              <w:rPr>
                <w:sz w:val="17"/>
                <w:szCs w:val="17"/>
              </w:rPr>
              <w:t>Hint source (§3.3, §5.5)</w:t>
            </w:r>
          </w:p>
        </w:tc>
        <w:tc>
          <w:tcPr>
            <w:tcW w:w="780" w:type="dxa"/>
            <w:tcMar>
              <w:top w:w="60" w:type="dxa"/>
              <w:left w:w="90" w:type="dxa"/>
              <w:bottom w:w="60" w:type="dxa"/>
              <w:right w:w="90" w:type="dxa"/>
            </w:tcMar>
          </w:tcPr>
          <w:p w14:paraId="7111F945" w14:textId="77777777" w:rsidR="00914897" w:rsidRDefault="00000000">
            <w:pPr>
              <w:spacing w:after="20"/>
            </w:pPr>
            <w:r>
              <w:rPr>
                <w:sz w:val="17"/>
                <w:szCs w:val="17"/>
              </w:rPr>
              <w:t>NX2, NX3</w:t>
            </w:r>
          </w:p>
        </w:tc>
        <w:tc>
          <w:tcPr>
            <w:tcW w:w="2560" w:type="dxa"/>
            <w:tcMar>
              <w:top w:w="60" w:type="dxa"/>
              <w:left w:w="90" w:type="dxa"/>
              <w:bottom w:w="60" w:type="dxa"/>
              <w:right w:w="90" w:type="dxa"/>
            </w:tcMar>
          </w:tcPr>
          <w:p w14:paraId="5994B9D6" w14:textId="77777777" w:rsidR="00914897" w:rsidRDefault="00000000">
            <w:pPr>
              <w:spacing w:after="20"/>
            </w:pPr>
            <w:r>
              <w:rPr>
                <w:sz w:val="17"/>
                <w:szCs w:val="17"/>
              </w:rPr>
              <w:t>Hint predictor accuracy không báo cáo; “predicted&gt;gold” hand-wavy.</w:t>
            </w:r>
          </w:p>
        </w:tc>
        <w:tc>
          <w:tcPr>
            <w:tcW w:w="3720" w:type="dxa"/>
            <w:tcMar>
              <w:top w:w="60" w:type="dxa"/>
              <w:left w:w="90" w:type="dxa"/>
              <w:bottom w:w="60" w:type="dxa"/>
              <w:right w:w="90" w:type="dxa"/>
            </w:tcMar>
          </w:tcPr>
          <w:p w14:paraId="39AA24A1" w14:textId="77777777" w:rsidR="00914897" w:rsidRDefault="00000000">
            <w:pPr>
              <w:spacing w:after="20"/>
            </w:pPr>
            <w:r>
              <w:rPr>
                <w:sz w:val="17"/>
                <w:szCs w:val="17"/>
              </w:rPr>
              <w:t>Báo cáo precision/recall theo nhãn; giải thích hoặc hạ giọng (nhiễu).</w:t>
            </w:r>
          </w:p>
        </w:tc>
        <w:tc>
          <w:tcPr>
            <w:tcW w:w="1220" w:type="dxa"/>
            <w:shd w:val="clear" w:color="auto" w:fill="FDF3E3"/>
            <w:tcMar>
              <w:top w:w="60" w:type="dxa"/>
              <w:left w:w="90" w:type="dxa"/>
              <w:bottom w:w="60" w:type="dxa"/>
              <w:right w:w="90" w:type="dxa"/>
            </w:tcMar>
            <w:vAlign w:val="center"/>
          </w:tcPr>
          <w:p w14:paraId="4F4BFED1" w14:textId="77777777" w:rsidR="00914897" w:rsidRDefault="00000000">
            <w:pPr>
              <w:jc w:val="center"/>
            </w:pPr>
            <w:r>
              <w:rPr>
                <w:rFonts w:ascii="Calibri" w:eastAsia="Calibri" w:hAnsi="Calibri" w:cs="Calibri"/>
                <w:b/>
                <w:bCs/>
                <w:color w:val="9C6A16"/>
                <w:sz w:val="17"/>
                <w:szCs w:val="17"/>
              </w:rPr>
              <w:t>Cao</w:t>
            </w:r>
          </w:p>
        </w:tc>
      </w:tr>
      <w:tr w:rsidR="00914897" w14:paraId="3FEF5316" w14:textId="77777777">
        <w:tblPrEx>
          <w:tblCellMar>
            <w:top w:w="0" w:type="dxa"/>
            <w:bottom w:w="0" w:type="dxa"/>
          </w:tblCellMar>
        </w:tblPrEx>
        <w:tc>
          <w:tcPr>
            <w:tcW w:w="1460" w:type="dxa"/>
            <w:tcMar>
              <w:top w:w="60" w:type="dxa"/>
              <w:left w:w="90" w:type="dxa"/>
              <w:bottom w:w="60" w:type="dxa"/>
              <w:right w:w="90" w:type="dxa"/>
            </w:tcMar>
          </w:tcPr>
          <w:p w14:paraId="68DC3175" w14:textId="77777777" w:rsidR="00914897" w:rsidRDefault="00000000">
            <w:pPr>
              <w:spacing w:after="20"/>
            </w:pPr>
            <w:r>
              <w:rPr>
                <w:sz w:val="17"/>
                <w:szCs w:val="17"/>
              </w:rPr>
              <w:t>Parallel specialists (§3.6, §5)</w:t>
            </w:r>
          </w:p>
        </w:tc>
        <w:tc>
          <w:tcPr>
            <w:tcW w:w="780" w:type="dxa"/>
            <w:tcMar>
              <w:top w:w="60" w:type="dxa"/>
              <w:left w:w="90" w:type="dxa"/>
              <w:bottom w:w="60" w:type="dxa"/>
              <w:right w:w="90" w:type="dxa"/>
            </w:tcMar>
          </w:tcPr>
          <w:p w14:paraId="62624944" w14:textId="77777777" w:rsidR="00914897" w:rsidRDefault="00000000">
            <w:pPr>
              <w:spacing w:after="20"/>
            </w:pPr>
            <w:r>
              <w:rPr>
                <w:sz w:val="17"/>
                <w:szCs w:val="17"/>
              </w:rPr>
              <w:t>NX2</w:t>
            </w:r>
          </w:p>
        </w:tc>
        <w:tc>
          <w:tcPr>
            <w:tcW w:w="2560" w:type="dxa"/>
            <w:tcMar>
              <w:top w:w="60" w:type="dxa"/>
              <w:left w:w="90" w:type="dxa"/>
              <w:bottom w:w="60" w:type="dxa"/>
              <w:right w:w="90" w:type="dxa"/>
            </w:tcMar>
          </w:tcPr>
          <w:p w14:paraId="6FA1A7E4" w14:textId="77777777" w:rsidR="00914897" w:rsidRDefault="00000000">
            <w:pPr>
              <w:spacing w:after="20"/>
            </w:pPr>
            <w:r>
              <w:rPr>
                <w:sz w:val="17"/>
                <w:szCs w:val="17"/>
              </w:rPr>
              <w:t>“Parallel” chưa chứng minh có giá trị.</w:t>
            </w:r>
          </w:p>
        </w:tc>
        <w:tc>
          <w:tcPr>
            <w:tcW w:w="3720" w:type="dxa"/>
            <w:tcMar>
              <w:top w:w="60" w:type="dxa"/>
              <w:left w:w="90" w:type="dxa"/>
              <w:bottom w:w="60" w:type="dxa"/>
              <w:right w:w="90" w:type="dxa"/>
            </w:tcMar>
          </w:tcPr>
          <w:p w14:paraId="27B2CF24" w14:textId="77777777" w:rsidR="00914897" w:rsidRDefault="00000000">
            <w:pPr>
              <w:spacing w:after="20"/>
            </w:pPr>
            <w:r>
              <w:rPr>
                <w:sz w:val="17"/>
                <w:szCs w:val="17"/>
              </w:rPr>
              <w:t>Phân bố #specialist/câu; ablation single- vs multi-routing.</w:t>
            </w:r>
          </w:p>
        </w:tc>
        <w:tc>
          <w:tcPr>
            <w:tcW w:w="1220" w:type="dxa"/>
            <w:shd w:val="clear" w:color="auto" w:fill="FDF3E3"/>
            <w:tcMar>
              <w:top w:w="60" w:type="dxa"/>
              <w:left w:w="90" w:type="dxa"/>
              <w:bottom w:w="60" w:type="dxa"/>
              <w:right w:w="90" w:type="dxa"/>
            </w:tcMar>
            <w:vAlign w:val="center"/>
          </w:tcPr>
          <w:p w14:paraId="11C14E8E" w14:textId="77777777" w:rsidR="00914897" w:rsidRDefault="00000000">
            <w:pPr>
              <w:jc w:val="center"/>
            </w:pPr>
            <w:r>
              <w:rPr>
                <w:rFonts w:ascii="Calibri" w:eastAsia="Calibri" w:hAnsi="Calibri" w:cs="Calibri"/>
                <w:b/>
                <w:bCs/>
                <w:color w:val="9C6A16"/>
                <w:sz w:val="17"/>
                <w:szCs w:val="17"/>
              </w:rPr>
              <w:t>Cao</w:t>
            </w:r>
          </w:p>
        </w:tc>
      </w:tr>
      <w:tr w:rsidR="00914897" w14:paraId="3494F6CC" w14:textId="77777777">
        <w:tblPrEx>
          <w:tblCellMar>
            <w:top w:w="0" w:type="dxa"/>
            <w:bottom w:w="0" w:type="dxa"/>
          </w:tblCellMar>
        </w:tblPrEx>
        <w:tc>
          <w:tcPr>
            <w:tcW w:w="1460" w:type="dxa"/>
            <w:tcMar>
              <w:top w:w="60" w:type="dxa"/>
              <w:left w:w="90" w:type="dxa"/>
              <w:bottom w:w="60" w:type="dxa"/>
              <w:right w:w="90" w:type="dxa"/>
            </w:tcMar>
          </w:tcPr>
          <w:p w14:paraId="5B5340FE" w14:textId="77777777" w:rsidR="00914897" w:rsidRDefault="00000000">
            <w:pPr>
              <w:spacing w:after="20"/>
            </w:pPr>
            <w:r>
              <w:rPr>
                <w:sz w:val="17"/>
                <w:szCs w:val="17"/>
              </w:rPr>
              <w:t>Answerability (§5.3)</w:t>
            </w:r>
          </w:p>
        </w:tc>
        <w:tc>
          <w:tcPr>
            <w:tcW w:w="780" w:type="dxa"/>
            <w:tcMar>
              <w:top w:w="60" w:type="dxa"/>
              <w:left w:w="90" w:type="dxa"/>
              <w:bottom w:w="60" w:type="dxa"/>
              <w:right w:w="90" w:type="dxa"/>
            </w:tcMar>
          </w:tcPr>
          <w:p w14:paraId="23F12D7C" w14:textId="77777777" w:rsidR="00914897" w:rsidRDefault="00000000">
            <w:pPr>
              <w:spacing w:after="20"/>
            </w:pPr>
            <w:r>
              <w:rPr>
                <w:sz w:val="17"/>
                <w:szCs w:val="17"/>
              </w:rPr>
              <w:t>NX3</w:t>
            </w:r>
          </w:p>
        </w:tc>
        <w:tc>
          <w:tcPr>
            <w:tcW w:w="2560" w:type="dxa"/>
            <w:tcMar>
              <w:top w:w="60" w:type="dxa"/>
              <w:left w:w="90" w:type="dxa"/>
              <w:bottom w:w="60" w:type="dxa"/>
              <w:right w:w="90" w:type="dxa"/>
            </w:tcMar>
          </w:tcPr>
          <w:p w14:paraId="766AC662" w14:textId="77777777" w:rsidR="00914897" w:rsidRDefault="00000000">
            <w:pPr>
              <w:spacing w:after="20"/>
            </w:pPr>
            <w:r>
              <w:rPr>
                <w:sz w:val="17"/>
                <w:szCs w:val="17"/>
              </w:rPr>
              <w:t>POMA thua baseline ở cả hai lớp answerable/unanswerable.</w:t>
            </w:r>
          </w:p>
        </w:tc>
        <w:tc>
          <w:tcPr>
            <w:tcW w:w="3720" w:type="dxa"/>
            <w:tcMar>
              <w:top w:w="60" w:type="dxa"/>
              <w:left w:w="90" w:type="dxa"/>
              <w:bottom w:w="60" w:type="dxa"/>
              <w:right w:w="90" w:type="dxa"/>
            </w:tcMar>
          </w:tcPr>
          <w:p w14:paraId="7949A3B8" w14:textId="77777777" w:rsidR="00914897" w:rsidRDefault="00000000">
            <w:pPr>
              <w:spacing w:after="20"/>
            </w:pPr>
            <w:r>
              <w:rPr>
                <w:sz w:val="17"/>
                <w:szCs w:val="17"/>
              </w:rPr>
              <w:t>Đóng khung trung thực; cân nhắc evidence-support verifier tối giản.</w:t>
            </w:r>
          </w:p>
        </w:tc>
        <w:tc>
          <w:tcPr>
            <w:tcW w:w="1220" w:type="dxa"/>
            <w:shd w:val="clear" w:color="auto" w:fill="FDF3E3"/>
            <w:tcMar>
              <w:top w:w="60" w:type="dxa"/>
              <w:left w:w="90" w:type="dxa"/>
              <w:bottom w:w="60" w:type="dxa"/>
              <w:right w:w="90" w:type="dxa"/>
            </w:tcMar>
            <w:vAlign w:val="center"/>
          </w:tcPr>
          <w:p w14:paraId="191ACF72" w14:textId="77777777" w:rsidR="00914897" w:rsidRDefault="00000000">
            <w:pPr>
              <w:jc w:val="center"/>
            </w:pPr>
            <w:r>
              <w:rPr>
                <w:rFonts w:ascii="Calibri" w:eastAsia="Calibri" w:hAnsi="Calibri" w:cs="Calibri"/>
                <w:b/>
                <w:bCs/>
                <w:color w:val="9C6A16"/>
                <w:sz w:val="17"/>
                <w:szCs w:val="17"/>
              </w:rPr>
              <w:t>Cao</w:t>
            </w:r>
          </w:p>
        </w:tc>
      </w:tr>
      <w:tr w:rsidR="00914897" w14:paraId="36F9D702" w14:textId="77777777">
        <w:tblPrEx>
          <w:tblCellMar>
            <w:top w:w="0" w:type="dxa"/>
            <w:bottom w:w="0" w:type="dxa"/>
          </w:tblCellMar>
        </w:tblPrEx>
        <w:tc>
          <w:tcPr>
            <w:tcW w:w="1460" w:type="dxa"/>
            <w:tcMar>
              <w:top w:w="60" w:type="dxa"/>
              <w:left w:w="90" w:type="dxa"/>
              <w:bottom w:w="60" w:type="dxa"/>
              <w:right w:w="90" w:type="dxa"/>
            </w:tcMar>
          </w:tcPr>
          <w:p w14:paraId="51CCB44B" w14:textId="77777777" w:rsidR="00914897" w:rsidRDefault="00000000">
            <w:pPr>
              <w:spacing w:after="20"/>
            </w:pPr>
            <w:r>
              <w:rPr>
                <w:sz w:val="17"/>
                <w:szCs w:val="17"/>
              </w:rPr>
              <w:t>Robustness (mục mới trong §5)</w:t>
            </w:r>
          </w:p>
        </w:tc>
        <w:tc>
          <w:tcPr>
            <w:tcW w:w="780" w:type="dxa"/>
            <w:tcMar>
              <w:top w:w="60" w:type="dxa"/>
              <w:left w:w="90" w:type="dxa"/>
              <w:bottom w:w="60" w:type="dxa"/>
              <w:right w:w="90" w:type="dxa"/>
            </w:tcMar>
          </w:tcPr>
          <w:p w14:paraId="352D8653" w14:textId="77777777" w:rsidR="00914897" w:rsidRDefault="00000000">
            <w:pPr>
              <w:spacing w:after="20"/>
            </w:pPr>
            <w:r>
              <w:rPr>
                <w:sz w:val="17"/>
                <w:szCs w:val="17"/>
              </w:rPr>
              <w:t>NX3</w:t>
            </w:r>
          </w:p>
        </w:tc>
        <w:tc>
          <w:tcPr>
            <w:tcW w:w="2560" w:type="dxa"/>
            <w:tcMar>
              <w:top w:w="60" w:type="dxa"/>
              <w:left w:w="90" w:type="dxa"/>
              <w:bottom w:w="60" w:type="dxa"/>
              <w:right w:w="90" w:type="dxa"/>
            </w:tcMar>
          </w:tcPr>
          <w:p w14:paraId="2E86F944" w14:textId="77777777" w:rsidR="00914897" w:rsidRDefault="00000000">
            <w:pPr>
              <w:spacing w:after="20"/>
            </w:pPr>
            <w:r>
              <w:rPr>
                <w:sz w:val="17"/>
                <w:szCs w:val="17"/>
              </w:rPr>
              <w:t>Không có significance/độ ổn định (một lần chạy tất định).</w:t>
            </w:r>
          </w:p>
        </w:tc>
        <w:tc>
          <w:tcPr>
            <w:tcW w:w="3720" w:type="dxa"/>
            <w:tcMar>
              <w:top w:w="60" w:type="dxa"/>
              <w:left w:w="90" w:type="dxa"/>
              <w:bottom w:w="60" w:type="dxa"/>
              <w:right w:w="90" w:type="dxa"/>
            </w:tcMar>
          </w:tcPr>
          <w:p w14:paraId="0B157AC0" w14:textId="77777777" w:rsidR="00914897" w:rsidRDefault="00000000">
            <w:pPr>
              <w:spacing w:after="20"/>
            </w:pPr>
            <w:r>
              <w:rPr>
                <w:sz w:val="17"/>
                <w:szCs w:val="17"/>
              </w:rPr>
              <w:t>Bootstrap CI trên 992 mẫu; perturbation robustness.</w:t>
            </w:r>
          </w:p>
        </w:tc>
        <w:tc>
          <w:tcPr>
            <w:tcW w:w="1220" w:type="dxa"/>
            <w:shd w:val="clear" w:color="auto" w:fill="F0F0F0"/>
            <w:tcMar>
              <w:top w:w="60" w:type="dxa"/>
              <w:left w:w="90" w:type="dxa"/>
              <w:bottom w:w="60" w:type="dxa"/>
              <w:right w:w="90" w:type="dxa"/>
            </w:tcMar>
            <w:vAlign w:val="center"/>
          </w:tcPr>
          <w:p w14:paraId="5212D172" w14:textId="77777777" w:rsidR="00914897" w:rsidRDefault="00000000">
            <w:pPr>
              <w:jc w:val="center"/>
            </w:pPr>
            <w:r>
              <w:rPr>
                <w:rFonts w:ascii="Calibri" w:eastAsia="Calibri" w:hAnsi="Calibri" w:cs="Calibri"/>
                <w:b/>
                <w:bCs/>
                <w:color w:val="595959"/>
                <w:sz w:val="17"/>
                <w:szCs w:val="17"/>
              </w:rPr>
              <w:t>Nên có</w:t>
            </w:r>
          </w:p>
        </w:tc>
      </w:tr>
      <w:tr w:rsidR="00914897" w14:paraId="1F46CFC9" w14:textId="77777777">
        <w:tblPrEx>
          <w:tblCellMar>
            <w:top w:w="0" w:type="dxa"/>
            <w:bottom w:w="0" w:type="dxa"/>
          </w:tblCellMar>
        </w:tblPrEx>
        <w:tc>
          <w:tcPr>
            <w:tcW w:w="1460" w:type="dxa"/>
            <w:tcMar>
              <w:top w:w="60" w:type="dxa"/>
              <w:left w:w="90" w:type="dxa"/>
              <w:bottom w:w="60" w:type="dxa"/>
              <w:right w:w="90" w:type="dxa"/>
            </w:tcMar>
          </w:tcPr>
          <w:p w14:paraId="29BA4457" w14:textId="77777777" w:rsidR="00914897" w:rsidRDefault="00000000">
            <w:pPr>
              <w:spacing w:after="20"/>
            </w:pPr>
            <w:r>
              <w:rPr>
                <w:sz w:val="17"/>
                <w:szCs w:val="17"/>
              </w:rPr>
              <w:t>Generalization (mục mới trong §5)</w:t>
            </w:r>
          </w:p>
        </w:tc>
        <w:tc>
          <w:tcPr>
            <w:tcW w:w="780" w:type="dxa"/>
            <w:tcMar>
              <w:top w:w="60" w:type="dxa"/>
              <w:left w:w="90" w:type="dxa"/>
              <w:bottom w:w="60" w:type="dxa"/>
              <w:right w:w="90" w:type="dxa"/>
            </w:tcMar>
          </w:tcPr>
          <w:p w14:paraId="69DC848F" w14:textId="77777777" w:rsidR="00914897" w:rsidRDefault="00000000">
            <w:pPr>
              <w:spacing w:after="20"/>
            </w:pPr>
            <w:r>
              <w:rPr>
                <w:sz w:val="17"/>
                <w:szCs w:val="17"/>
              </w:rPr>
              <w:t>NX2, NX3</w:t>
            </w:r>
          </w:p>
        </w:tc>
        <w:tc>
          <w:tcPr>
            <w:tcW w:w="2560" w:type="dxa"/>
            <w:tcMar>
              <w:top w:w="60" w:type="dxa"/>
              <w:left w:w="90" w:type="dxa"/>
              <w:bottom w:w="60" w:type="dxa"/>
              <w:right w:w="90" w:type="dxa"/>
            </w:tcMar>
          </w:tcPr>
          <w:p w14:paraId="4BD662AD" w14:textId="77777777" w:rsidR="00914897" w:rsidRDefault="00000000">
            <w:pPr>
              <w:spacing w:after="20"/>
            </w:pPr>
            <w:r>
              <w:rPr>
                <w:sz w:val="17"/>
                <w:szCs w:val="17"/>
              </w:rPr>
              <w:t>Chỉ một dataset; nghi overfit taxonomy.</w:t>
            </w:r>
          </w:p>
        </w:tc>
        <w:tc>
          <w:tcPr>
            <w:tcW w:w="3720" w:type="dxa"/>
            <w:tcMar>
              <w:top w:w="60" w:type="dxa"/>
              <w:left w:w="90" w:type="dxa"/>
              <w:bottom w:w="60" w:type="dxa"/>
              <w:right w:w="90" w:type="dxa"/>
            </w:tcMar>
          </w:tcPr>
          <w:p w14:paraId="7A9462EE" w14:textId="77777777" w:rsidR="00914897" w:rsidRDefault="00000000">
            <w:pPr>
              <w:spacing w:after="20"/>
            </w:pPr>
            <w:r>
              <w:rPr>
                <w:sz w:val="17"/>
                <w:szCs w:val="17"/>
              </w:rPr>
              <w:t>Transfer test sang một benchmark Table QA khác.</w:t>
            </w:r>
          </w:p>
        </w:tc>
        <w:tc>
          <w:tcPr>
            <w:tcW w:w="1220" w:type="dxa"/>
            <w:shd w:val="clear" w:color="auto" w:fill="F0F0F0"/>
            <w:tcMar>
              <w:top w:w="60" w:type="dxa"/>
              <w:left w:w="90" w:type="dxa"/>
              <w:bottom w:w="60" w:type="dxa"/>
              <w:right w:w="90" w:type="dxa"/>
            </w:tcMar>
            <w:vAlign w:val="center"/>
          </w:tcPr>
          <w:p w14:paraId="29A44DBB" w14:textId="77777777" w:rsidR="00914897" w:rsidRDefault="00000000">
            <w:pPr>
              <w:jc w:val="center"/>
            </w:pPr>
            <w:r>
              <w:rPr>
                <w:rFonts w:ascii="Calibri" w:eastAsia="Calibri" w:hAnsi="Calibri" w:cs="Calibri"/>
                <w:b/>
                <w:bCs/>
                <w:color w:val="595959"/>
                <w:sz w:val="17"/>
                <w:szCs w:val="17"/>
              </w:rPr>
              <w:t>Nên có</w:t>
            </w:r>
          </w:p>
        </w:tc>
      </w:tr>
    </w:tbl>
    <w:p w14:paraId="7A9E051E" w14:textId="77777777" w:rsidR="00914897" w:rsidRDefault="00914897">
      <w:pPr>
        <w:spacing w:after="120"/>
      </w:pPr>
    </w:p>
    <w:p w14:paraId="1B374B75"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8. Mẫu thư phản hồi phản biện (Response-to-Reviewers)</w:t>
      </w:r>
    </w:p>
    <w:p w14:paraId="33568F36" w14:textId="77777777" w:rsidR="00914897" w:rsidRDefault="00000000">
      <w:pPr>
        <w:spacing w:after="140" w:line="276" w:lineRule="auto"/>
        <w:jc w:val="both"/>
      </w:pPr>
      <w:r>
        <w:lastRenderedPageBreak/>
        <w:t xml:space="preserve">Nguyên tắc: trích nguyên văn từng nhận xét, cảm ơn ngắn gọn, mô tả </w:t>
      </w:r>
      <w:r>
        <w:rPr>
          <w:b/>
          <w:bCs/>
        </w:rPr>
        <w:t>chính xác</w:t>
      </w:r>
      <w:r>
        <w:t xml:space="preserve"> thay đổi đã thực hiện, và trỏ tới vị trí trong bản sửa (“Section X, page Y”). Dưới đây là khung mẫu — điền số trang/kết quả sau khi chạy xong thí nghiệm.</w:t>
      </w:r>
    </w:p>
    <w:p w14:paraId="1AC0DDF1" w14:textId="77777777" w:rsidR="00914897" w:rsidRDefault="00000000">
      <w:pPr>
        <w:spacing w:after="100" w:line="276" w:lineRule="auto"/>
        <w:jc w:val="both"/>
      </w:pPr>
      <w:r>
        <w:rPr>
          <w:i/>
          <w:iCs/>
          <w:color w:val="33475B"/>
        </w:rPr>
        <w:t>We thank the reviewer for the constructive comments. Below we address each point and indicate the corresponding changes in the revised manuscript (highlighted in blue).</w:t>
      </w:r>
    </w:p>
    <w:tbl>
      <w:tblPr>
        <w:tblW w:w="9740" w:type="dxa"/>
        <w:tblBorders>
          <w:top w:val="single" w:sz="2" w:space="0" w:color="E7F1F1"/>
          <w:left w:val="single" w:sz="22" w:space="0" w:color="0F6E6E"/>
          <w:bottom w:val="single" w:sz="2" w:space="0" w:color="E7F1F1"/>
          <w:right w:val="single" w:sz="2" w:space="0" w:color="E7F1F1"/>
        </w:tblBorders>
        <w:tblCellMar>
          <w:left w:w="10" w:type="dxa"/>
          <w:right w:w="10" w:type="dxa"/>
        </w:tblCellMar>
        <w:tblLook w:val="04A0" w:firstRow="1" w:lastRow="0" w:firstColumn="1" w:lastColumn="0" w:noHBand="0" w:noVBand="1"/>
      </w:tblPr>
      <w:tblGrid>
        <w:gridCol w:w="9740"/>
      </w:tblGrid>
      <w:tr w:rsidR="00914897" w14:paraId="37ECD865" w14:textId="77777777">
        <w:tblPrEx>
          <w:tblCellMar>
            <w:top w:w="0" w:type="dxa"/>
            <w:bottom w:w="0" w:type="dxa"/>
          </w:tblCellMar>
        </w:tblPrEx>
        <w:tc>
          <w:tcPr>
            <w:tcW w:w="9740" w:type="dxa"/>
            <w:shd w:val="clear" w:color="auto" w:fill="E7F1F1"/>
            <w:tcMar>
              <w:top w:w="130" w:type="dxa"/>
              <w:left w:w="200" w:type="dxa"/>
              <w:bottom w:w="130" w:type="dxa"/>
              <w:right w:w="200" w:type="dxa"/>
            </w:tcMar>
          </w:tcPr>
          <w:p w14:paraId="740F196D" w14:textId="77777777" w:rsidR="00914897" w:rsidRDefault="00000000">
            <w:pPr>
              <w:spacing w:after="70" w:line="276" w:lineRule="auto"/>
              <w:jc w:val="both"/>
            </w:pPr>
            <w:r>
              <w:rPr>
                <w:b/>
                <w:bCs/>
                <w:color w:val="1F3864"/>
              </w:rPr>
              <w:t xml:space="preserve">Comment: </w:t>
            </w:r>
            <w:r>
              <w:rPr>
                <w:i/>
                <w:iCs/>
              </w:rPr>
              <w:t>The manuscript would benefit from a clearer articulation and stronger justification of the research purpose and problem statement.</w:t>
            </w:r>
          </w:p>
          <w:p w14:paraId="024F5141" w14:textId="77777777" w:rsidR="00914897" w:rsidRDefault="00000000">
            <w:pPr>
              <w:spacing w:line="276" w:lineRule="auto"/>
              <w:jc w:val="both"/>
            </w:pPr>
            <w:r>
              <w:rPr>
                <w:b/>
                <w:bCs/>
                <w:color w:val="0F6E6E"/>
              </w:rPr>
              <w:t xml:space="preserve">Response: </w:t>
            </w:r>
            <w:r>
              <w:t>We have revised the Introduction to state three explicit research questions (RQ1–RQ3, Section 1) and added a taxonomy of failure modes (grounding, bidirectional answerability, surface-form errors) mapped to the corresponding POMA modules. We also added a paragraph justifying question-type decomposition over stronger single-prompt and symbolic-execution alternatives (Section 1).</w:t>
            </w:r>
          </w:p>
        </w:tc>
      </w:tr>
    </w:tbl>
    <w:p w14:paraId="143673DD" w14:textId="77777777" w:rsidR="00914897" w:rsidRDefault="00914897">
      <w:pPr>
        <w:spacing w:after="60"/>
      </w:pPr>
    </w:p>
    <w:tbl>
      <w:tblPr>
        <w:tblW w:w="9740" w:type="dxa"/>
        <w:tblBorders>
          <w:top w:val="single" w:sz="2" w:space="0" w:color="E7F1F1"/>
          <w:left w:val="single" w:sz="22" w:space="0" w:color="0F6E6E"/>
          <w:bottom w:val="single" w:sz="2" w:space="0" w:color="E7F1F1"/>
          <w:right w:val="single" w:sz="2" w:space="0" w:color="E7F1F1"/>
        </w:tblBorders>
        <w:tblCellMar>
          <w:left w:w="10" w:type="dxa"/>
          <w:right w:w="10" w:type="dxa"/>
        </w:tblCellMar>
        <w:tblLook w:val="04A0" w:firstRow="1" w:lastRow="0" w:firstColumn="1" w:lastColumn="0" w:noHBand="0" w:noVBand="1"/>
      </w:tblPr>
      <w:tblGrid>
        <w:gridCol w:w="9740"/>
      </w:tblGrid>
      <w:tr w:rsidR="00914897" w14:paraId="5321ECDD" w14:textId="77777777">
        <w:tblPrEx>
          <w:tblCellMar>
            <w:top w:w="0" w:type="dxa"/>
            <w:bottom w:w="0" w:type="dxa"/>
          </w:tblCellMar>
        </w:tblPrEx>
        <w:tc>
          <w:tcPr>
            <w:tcW w:w="9740" w:type="dxa"/>
            <w:shd w:val="clear" w:color="auto" w:fill="E7F1F1"/>
            <w:tcMar>
              <w:top w:w="130" w:type="dxa"/>
              <w:left w:w="200" w:type="dxa"/>
              <w:bottom w:w="130" w:type="dxa"/>
              <w:right w:w="200" w:type="dxa"/>
            </w:tcMar>
          </w:tcPr>
          <w:p w14:paraId="08078F40" w14:textId="77777777" w:rsidR="00914897" w:rsidRDefault="00000000">
            <w:pPr>
              <w:spacing w:after="70" w:line="276" w:lineRule="auto"/>
              <w:jc w:val="both"/>
            </w:pPr>
            <w:r>
              <w:rPr>
                <w:b/>
                <w:bCs/>
                <w:color w:val="1F3864"/>
              </w:rPr>
              <w:t xml:space="preserve">Comment: </w:t>
            </w:r>
            <w:r>
              <w:rPr>
                <w:i/>
                <w:iCs/>
              </w:rPr>
              <w:t>The proposed solution does not appear sufficiently convincing, and the rationale behind its design could be elaborated further.</w:t>
            </w:r>
          </w:p>
          <w:p w14:paraId="250F32F0" w14:textId="77777777" w:rsidR="00914897" w:rsidRDefault="00000000">
            <w:pPr>
              <w:spacing w:line="276" w:lineRule="auto"/>
              <w:jc w:val="both"/>
            </w:pPr>
            <w:r>
              <w:rPr>
                <w:b/>
                <w:bCs/>
                <w:color w:val="0F6E6E"/>
              </w:rPr>
              <w:t xml:space="preserve">Response: </w:t>
            </w:r>
            <w:r>
              <w:t>We now provide the full prompts for the hint predictor, question refiner, and specialist agents (Appendix B). We added an ablation isolating the contribution of parallel multi-specialist routing (Table X) and report the average number of specialists activated per instance (Section 5.x). We also clarified the design rationale for the canonical taxonomy and softened the predicted-vs-gold-hint claim, which lies within the bootstrap confidence interval (Section 5.5).</w:t>
            </w:r>
          </w:p>
        </w:tc>
      </w:tr>
    </w:tbl>
    <w:p w14:paraId="5788C5A8" w14:textId="77777777" w:rsidR="00914897" w:rsidRDefault="00914897">
      <w:pPr>
        <w:spacing w:after="60"/>
      </w:pPr>
    </w:p>
    <w:tbl>
      <w:tblPr>
        <w:tblW w:w="9740" w:type="dxa"/>
        <w:tblBorders>
          <w:top w:val="single" w:sz="2" w:space="0" w:color="E7F1F1"/>
          <w:left w:val="single" w:sz="22" w:space="0" w:color="0F6E6E"/>
          <w:bottom w:val="single" w:sz="2" w:space="0" w:color="E7F1F1"/>
          <w:right w:val="single" w:sz="2" w:space="0" w:color="E7F1F1"/>
        </w:tblBorders>
        <w:tblCellMar>
          <w:left w:w="10" w:type="dxa"/>
          <w:right w:w="10" w:type="dxa"/>
        </w:tblCellMar>
        <w:tblLook w:val="04A0" w:firstRow="1" w:lastRow="0" w:firstColumn="1" w:lastColumn="0" w:noHBand="0" w:noVBand="1"/>
      </w:tblPr>
      <w:tblGrid>
        <w:gridCol w:w="9740"/>
      </w:tblGrid>
      <w:tr w:rsidR="00914897" w14:paraId="52B30FAC" w14:textId="77777777">
        <w:tblPrEx>
          <w:tblCellMar>
            <w:top w:w="0" w:type="dxa"/>
            <w:bottom w:w="0" w:type="dxa"/>
          </w:tblCellMar>
        </w:tblPrEx>
        <w:tc>
          <w:tcPr>
            <w:tcW w:w="9740" w:type="dxa"/>
            <w:shd w:val="clear" w:color="auto" w:fill="E7F1F1"/>
            <w:tcMar>
              <w:top w:w="130" w:type="dxa"/>
              <w:left w:w="200" w:type="dxa"/>
              <w:bottom w:w="130" w:type="dxa"/>
              <w:right w:w="200" w:type="dxa"/>
            </w:tcMar>
          </w:tcPr>
          <w:p w14:paraId="3513A309" w14:textId="77777777" w:rsidR="00914897" w:rsidRDefault="00000000">
            <w:pPr>
              <w:spacing w:after="70" w:line="276" w:lineRule="auto"/>
              <w:jc w:val="both"/>
            </w:pPr>
            <w:r>
              <w:rPr>
                <w:b/>
                <w:bCs/>
                <w:color w:val="1F3864"/>
              </w:rPr>
              <w:t xml:space="preserve">Comment: </w:t>
            </w:r>
            <w:r>
              <w:rPr>
                <w:i/>
                <w:iCs/>
              </w:rPr>
              <w:t>The paper lacks robust and persuasive experimental validation.</w:t>
            </w:r>
          </w:p>
          <w:p w14:paraId="4D62646A" w14:textId="77777777" w:rsidR="00914897" w:rsidRDefault="00000000">
            <w:pPr>
              <w:spacing w:line="276" w:lineRule="auto"/>
              <w:jc w:val="both"/>
            </w:pPr>
            <w:r>
              <w:rPr>
                <w:b/>
                <w:bCs/>
                <w:color w:val="0F6E6E"/>
              </w:rPr>
              <w:t xml:space="preserve">Response: </w:t>
            </w:r>
            <w:r>
              <w:t>Most importantly, we applied the same answer-normalization module to all single-agent baselines and re-ran the comparison (Table X), and we report a single-final-answer configuration for both POMA and the baselines. We added a second backbone (</w:t>
            </w:r>
            <w:r>
              <w:rPr>
                <w:i/>
                <w:iCs/>
              </w:rPr>
              <w:t>&lt;model&gt;</w:t>
            </w:r>
            <w:r>
              <w:t>) to demonstrate generalization (Table X), report hint-predictor precision/recall per label (Table X), and add bootstrap 95% confidence intervals over the 992 test instances (Section 5.x). We also added a transfer evaluation on &lt;dataset&gt; (Section 5.x).</w:t>
            </w:r>
          </w:p>
        </w:tc>
      </w:tr>
    </w:tbl>
    <w:p w14:paraId="3A6D192B" w14:textId="77777777" w:rsidR="00914897" w:rsidRDefault="00914897">
      <w:pPr>
        <w:spacing w:after="60"/>
      </w:pPr>
    </w:p>
    <w:tbl>
      <w:tblPr>
        <w:tblW w:w="9740" w:type="dxa"/>
        <w:tblBorders>
          <w:top w:val="single" w:sz="2" w:space="0" w:color="E7F1F1"/>
          <w:left w:val="single" w:sz="22" w:space="0" w:color="0F6E6E"/>
          <w:bottom w:val="single" w:sz="2" w:space="0" w:color="E7F1F1"/>
          <w:right w:val="single" w:sz="2" w:space="0" w:color="E7F1F1"/>
        </w:tblBorders>
        <w:tblCellMar>
          <w:left w:w="10" w:type="dxa"/>
          <w:right w:w="10" w:type="dxa"/>
        </w:tblCellMar>
        <w:tblLook w:val="04A0" w:firstRow="1" w:lastRow="0" w:firstColumn="1" w:lastColumn="0" w:noHBand="0" w:noVBand="1"/>
      </w:tblPr>
      <w:tblGrid>
        <w:gridCol w:w="9740"/>
      </w:tblGrid>
      <w:tr w:rsidR="00914897" w14:paraId="0410E40A" w14:textId="77777777">
        <w:tblPrEx>
          <w:tblCellMar>
            <w:top w:w="0" w:type="dxa"/>
            <w:bottom w:w="0" w:type="dxa"/>
          </w:tblCellMar>
        </w:tblPrEx>
        <w:tc>
          <w:tcPr>
            <w:tcW w:w="9740" w:type="dxa"/>
            <w:shd w:val="clear" w:color="auto" w:fill="E7F1F1"/>
            <w:tcMar>
              <w:top w:w="130" w:type="dxa"/>
              <w:left w:w="200" w:type="dxa"/>
              <w:bottom w:w="130" w:type="dxa"/>
              <w:right w:w="200" w:type="dxa"/>
            </w:tcMar>
          </w:tcPr>
          <w:p w14:paraId="066B5EBE" w14:textId="77777777" w:rsidR="00914897" w:rsidRDefault="00000000">
            <w:pPr>
              <w:spacing w:after="70" w:line="276" w:lineRule="auto"/>
              <w:jc w:val="both"/>
            </w:pPr>
            <w:r>
              <w:rPr>
                <w:b/>
                <w:bCs/>
                <w:color w:val="1F3864"/>
              </w:rPr>
              <w:t xml:space="preserve">Comment: </w:t>
            </w:r>
            <w:r>
              <w:rPr>
                <w:i/>
                <w:iCs/>
              </w:rPr>
              <w:t>The current contributions seem limited and may not yet meet the requirements.</w:t>
            </w:r>
          </w:p>
          <w:p w14:paraId="601E4383" w14:textId="77777777" w:rsidR="00914897" w:rsidRDefault="00000000">
            <w:pPr>
              <w:spacing w:line="276" w:lineRule="auto"/>
              <w:jc w:val="both"/>
            </w:pPr>
            <w:r>
              <w:rPr>
                <w:b/>
                <w:bCs/>
                <w:color w:val="0F6E6E"/>
              </w:rPr>
              <w:t xml:space="preserve">Response: </w:t>
            </w:r>
            <w:r>
              <w:t>We reframed the contributions (abstract and Section 1) to reflect what the controlled analysis supports: a training-free deterministic-routing orchestration that, combined with variant-based answer normalization, substantially improves surface-form alignment for Vietnamese Table QA, together with an analysis that isolates the source of the gains. We believe the added experiments and the honest attribution of improvements materially strengthen the paper's contribution.</w:t>
            </w:r>
          </w:p>
        </w:tc>
      </w:tr>
    </w:tbl>
    <w:p w14:paraId="1709193E" w14:textId="77777777" w:rsidR="00914897" w:rsidRDefault="00914897">
      <w:pPr>
        <w:spacing w:after="120"/>
      </w:pPr>
    </w:p>
    <w:p w14:paraId="531A2F8C" w14:textId="77777777" w:rsidR="00914897" w:rsidRDefault="00000000">
      <w:pPr>
        <w:pStyle w:val="u1"/>
        <w:pBdr>
          <w:bottom w:val="single" w:sz="8" w:space="4" w:color="1F3864"/>
        </w:pBdr>
        <w:spacing w:before="300" w:after="120"/>
      </w:pPr>
      <w:r>
        <w:rPr>
          <w:rFonts w:ascii="Calibri" w:eastAsia="Calibri" w:hAnsi="Calibri" w:cs="Calibri"/>
          <w:b/>
          <w:bCs/>
          <w:color w:val="1F3864"/>
          <w:sz w:val="27"/>
          <w:szCs w:val="27"/>
        </w:rPr>
        <w:t>9. Trình tự thực hiện đề xuất</w:t>
      </w:r>
    </w:p>
    <w:p w14:paraId="2E9EE766" w14:textId="77777777" w:rsidR="00914897" w:rsidRDefault="00000000">
      <w:pPr>
        <w:spacing w:after="80" w:line="276" w:lineRule="auto"/>
        <w:jc w:val="both"/>
      </w:pPr>
      <w:r>
        <w:rPr>
          <w:b/>
          <w:bCs/>
        </w:rPr>
        <w:t>Bước 1 — Công bằng hoá so sánh:</w:t>
      </w:r>
      <w:r>
        <w:t xml:space="preserve"> chạy AN trên các baseline + báo cáo single-answer + làm rõ K/best-match. (Rẻ, gỡ đồng thời NX2 và NX4.)</w:t>
      </w:r>
    </w:p>
    <w:p w14:paraId="21201038" w14:textId="77777777" w:rsidR="00914897" w:rsidRDefault="00000000">
      <w:pPr>
        <w:spacing w:after="80" w:line="276" w:lineRule="auto"/>
        <w:jc w:val="both"/>
      </w:pPr>
      <w:r>
        <w:rPr>
          <w:b/>
          <w:bCs/>
        </w:rPr>
        <w:t>Bước 2 — Tổng quát hoá:</w:t>
      </w:r>
      <w:r>
        <w:t xml:space="preserve"> thêm backbone thứ hai. (Điều kiện gần như bắt buộc cho NX3.)</w:t>
      </w:r>
    </w:p>
    <w:p w14:paraId="661AF7DA" w14:textId="77777777" w:rsidR="00914897" w:rsidRDefault="00000000">
      <w:pPr>
        <w:spacing w:after="80" w:line="276" w:lineRule="auto"/>
        <w:jc w:val="both"/>
      </w:pPr>
      <w:r>
        <w:rPr>
          <w:b/>
          <w:bCs/>
        </w:rPr>
        <w:t>Bước 3 — Củng cố method:</w:t>
      </w:r>
      <w:r>
        <w:t xml:space="preserve"> hint-predictor accuracy, thống kê parallelism, đưa prompts vào appendix.</w:t>
      </w:r>
    </w:p>
    <w:p w14:paraId="33A35949" w14:textId="77777777" w:rsidR="00914897" w:rsidRDefault="00000000">
      <w:pPr>
        <w:spacing w:after="80" w:line="276" w:lineRule="auto"/>
        <w:jc w:val="both"/>
      </w:pPr>
      <w:r>
        <w:rPr>
          <w:b/>
          <w:bCs/>
        </w:rPr>
        <w:lastRenderedPageBreak/>
        <w:t>Bước 4 — Viết lại:</w:t>
      </w:r>
      <w:r>
        <w:t xml:space="preserve"> Introduction (RQ + problem statement), abstract, contributions; đóng khung trung thực answerability.</w:t>
      </w:r>
    </w:p>
    <w:p w14:paraId="1CA51F5C" w14:textId="77777777" w:rsidR="00914897" w:rsidRDefault="00000000">
      <w:pPr>
        <w:spacing w:after="120" w:line="276" w:lineRule="auto"/>
        <w:jc w:val="both"/>
      </w:pPr>
      <w:r>
        <w:rPr>
          <w:b/>
          <w:bCs/>
        </w:rPr>
        <w:t>Bước 5 — Nếu còn thời gian:</w:t>
      </w:r>
      <w:r>
        <w:t xml:space="preserve"> bootstrap CI/robustness, transfer test sang dataset khác, evidence-support verifier tối giản.</w:t>
      </w:r>
    </w:p>
    <w:tbl>
      <w:tblPr>
        <w:tblW w:w="9740" w:type="dxa"/>
        <w:tblBorders>
          <w:top w:val="single" w:sz="2" w:space="0" w:color="EEF2F8"/>
          <w:left w:val="single" w:sz="22" w:space="0" w:color="1F3864"/>
          <w:bottom w:val="single" w:sz="2" w:space="0" w:color="EEF2F8"/>
          <w:right w:val="single" w:sz="2" w:space="0" w:color="EEF2F8"/>
        </w:tblBorders>
        <w:tblCellMar>
          <w:left w:w="10" w:type="dxa"/>
          <w:right w:w="10" w:type="dxa"/>
        </w:tblCellMar>
        <w:tblLook w:val="04A0" w:firstRow="1" w:lastRow="0" w:firstColumn="1" w:lastColumn="0" w:noHBand="0" w:noVBand="1"/>
      </w:tblPr>
      <w:tblGrid>
        <w:gridCol w:w="9740"/>
      </w:tblGrid>
      <w:tr w:rsidR="00914897" w14:paraId="0EBAB866" w14:textId="77777777">
        <w:tblPrEx>
          <w:tblCellMar>
            <w:top w:w="0" w:type="dxa"/>
            <w:bottom w:w="0" w:type="dxa"/>
          </w:tblCellMar>
        </w:tblPrEx>
        <w:tc>
          <w:tcPr>
            <w:tcW w:w="9740" w:type="dxa"/>
            <w:shd w:val="clear" w:color="auto" w:fill="EEF2F8"/>
            <w:tcMar>
              <w:top w:w="130" w:type="dxa"/>
              <w:left w:w="200" w:type="dxa"/>
              <w:bottom w:w="130" w:type="dxa"/>
              <w:right w:w="200" w:type="dxa"/>
            </w:tcMar>
          </w:tcPr>
          <w:p w14:paraId="05B0DE19" w14:textId="77777777" w:rsidR="00914897" w:rsidRDefault="00000000">
            <w:pPr>
              <w:spacing w:after="60"/>
            </w:pPr>
            <w:r>
              <w:rPr>
                <w:rFonts w:ascii="Calibri" w:eastAsia="Calibri" w:hAnsi="Calibri" w:cs="Calibri"/>
                <w:b/>
                <w:bCs/>
                <w:color w:val="1F3864"/>
              </w:rPr>
              <w:t>Kết luận ngắn</w:t>
            </w:r>
          </w:p>
          <w:p w14:paraId="6D45181B" w14:textId="77777777" w:rsidR="00914897" w:rsidRDefault="00000000">
            <w:pPr>
              <w:spacing w:line="276" w:lineRule="auto"/>
              <w:jc w:val="both"/>
            </w:pPr>
            <w:r>
              <w:t xml:space="preserve">Nếu là </w:t>
            </w:r>
            <w:r>
              <w:rPr>
                <w:b/>
                <w:bCs/>
              </w:rPr>
              <w:t>major revision</w:t>
            </w:r>
            <w:r>
              <w:t xml:space="preserve">: thí nghiệm AN-công-bằng + backbone thứ hai gần như là ranh giới giữa accept và reject. Nếu là </w:t>
            </w:r>
            <w:r>
              <w:rPr>
                <w:b/>
                <w:bCs/>
              </w:rPr>
              <w:t>reject</w:t>
            </w:r>
            <w:r>
              <w:t>: đây chính là lộ trình để nộp lại (JIT hoặc nơi khác). Bài có nền tốt và sự minh bạch sẵn có — cơ hội được nhận là thực tế nếu xử lý đúng phần cốt lõi ở Mục 2.</w:t>
            </w:r>
          </w:p>
        </w:tc>
      </w:tr>
    </w:tbl>
    <w:p w14:paraId="2C40ECCF" w14:textId="77777777" w:rsidR="006B5E36" w:rsidRDefault="006B5E36"/>
    <w:sectPr w:rsidR="006B5E36">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6043"/>
    <w:multiLevelType w:val="hybridMultilevel"/>
    <w:tmpl w:val="53241442"/>
    <w:lvl w:ilvl="0" w:tplc="A8B48DF8">
      <w:start w:val="1"/>
      <w:numFmt w:val="bullet"/>
      <w:lvlText w:val="•"/>
      <w:lvlJc w:val="left"/>
      <w:pPr>
        <w:ind w:left="460" w:hanging="240"/>
      </w:pPr>
      <w:rPr>
        <w:color w:val="0F6E6E"/>
      </w:rPr>
    </w:lvl>
    <w:lvl w:ilvl="1" w:tplc="EC72503C">
      <w:start w:val="1"/>
      <w:numFmt w:val="bullet"/>
      <w:lvlText w:val="–"/>
      <w:lvlJc w:val="left"/>
      <w:pPr>
        <w:ind w:left="920" w:hanging="240"/>
      </w:pPr>
      <w:rPr>
        <w:color w:val="595959"/>
      </w:rPr>
    </w:lvl>
    <w:lvl w:ilvl="2" w:tplc="7572142E">
      <w:numFmt w:val="decimal"/>
      <w:lvlText w:val=""/>
      <w:lvlJc w:val="left"/>
    </w:lvl>
    <w:lvl w:ilvl="3" w:tplc="711A63B8">
      <w:numFmt w:val="decimal"/>
      <w:lvlText w:val=""/>
      <w:lvlJc w:val="left"/>
    </w:lvl>
    <w:lvl w:ilvl="4" w:tplc="0AE07232">
      <w:numFmt w:val="decimal"/>
      <w:lvlText w:val=""/>
      <w:lvlJc w:val="left"/>
    </w:lvl>
    <w:lvl w:ilvl="5" w:tplc="8954C112">
      <w:numFmt w:val="decimal"/>
      <w:lvlText w:val=""/>
      <w:lvlJc w:val="left"/>
    </w:lvl>
    <w:lvl w:ilvl="6" w:tplc="65F4CE18">
      <w:numFmt w:val="decimal"/>
      <w:lvlText w:val=""/>
      <w:lvlJc w:val="left"/>
    </w:lvl>
    <w:lvl w:ilvl="7" w:tplc="F934E26A">
      <w:numFmt w:val="decimal"/>
      <w:lvlText w:val=""/>
      <w:lvlJc w:val="left"/>
    </w:lvl>
    <w:lvl w:ilvl="8" w:tplc="7B5E20B2">
      <w:numFmt w:val="decimal"/>
      <w:lvlText w:val=""/>
      <w:lvlJc w:val="left"/>
    </w:lvl>
  </w:abstractNum>
  <w:abstractNum w:abstractNumId="1" w15:restartNumberingAfterBreak="0">
    <w:nsid w:val="3DD27436"/>
    <w:multiLevelType w:val="hybridMultilevel"/>
    <w:tmpl w:val="DFE84558"/>
    <w:lvl w:ilvl="0" w:tplc="BC1C342C">
      <w:start w:val="1"/>
      <w:numFmt w:val="bullet"/>
      <w:lvlText w:val="●"/>
      <w:lvlJc w:val="left"/>
      <w:pPr>
        <w:ind w:left="720" w:hanging="360"/>
      </w:pPr>
    </w:lvl>
    <w:lvl w:ilvl="1" w:tplc="CE16D1F6">
      <w:start w:val="1"/>
      <w:numFmt w:val="bullet"/>
      <w:lvlText w:val="○"/>
      <w:lvlJc w:val="left"/>
      <w:pPr>
        <w:ind w:left="1440" w:hanging="360"/>
      </w:pPr>
    </w:lvl>
    <w:lvl w:ilvl="2" w:tplc="45D44F5E">
      <w:start w:val="1"/>
      <w:numFmt w:val="bullet"/>
      <w:lvlText w:val="■"/>
      <w:lvlJc w:val="left"/>
      <w:pPr>
        <w:ind w:left="2160" w:hanging="360"/>
      </w:pPr>
    </w:lvl>
    <w:lvl w:ilvl="3" w:tplc="22D0FA92">
      <w:start w:val="1"/>
      <w:numFmt w:val="bullet"/>
      <w:lvlText w:val="●"/>
      <w:lvlJc w:val="left"/>
      <w:pPr>
        <w:ind w:left="2880" w:hanging="360"/>
      </w:pPr>
    </w:lvl>
    <w:lvl w:ilvl="4" w:tplc="800A65FC">
      <w:start w:val="1"/>
      <w:numFmt w:val="bullet"/>
      <w:lvlText w:val="○"/>
      <w:lvlJc w:val="left"/>
      <w:pPr>
        <w:ind w:left="3600" w:hanging="360"/>
      </w:pPr>
    </w:lvl>
    <w:lvl w:ilvl="5" w:tplc="050866B2">
      <w:start w:val="1"/>
      <w:numFmt w:val="bullet"/>
      <w:lvlText w:val="■"/>
      <w:lvlJc w:val="left"/>
      <w:pPr>
        <w:ind w:left="4320" w:hanging="360"/>
      </w:pPr>
    </w:lvl>
    <w:lvl w:ilvl="6" w:tplc="391673E8">
      <w:start w:val="1"/>
      <w:numFmt w:val="bullet"/>
      <w:lvlText w:val="●"/>
      <w:lvlJc w:val="left"/>
      <w:pPr>
        <w:ind w:left="5040" w:hanging="360"/>
      </w:pPr>
    </w:lvl>
    <w:lvl w:ilvl="7" w:tplc="080AD754">
      <w:start w:val="1"/>
      <w:numFmt w:val="bullet"/>
      <w:lvlText w:val="●"/>
      <w:lvlJc w:val="left"/>
      <w:pPr>
        <w:ind w:left="5760" w:hanging="360"/>
      </w:pPr>
    </w:lvl>
    <w:lvl w:ilvl="8" w:tplc="54360BD4">
      <w:start w:val="1"/>
      <w:numFmt w:val="bullet"/>
      <w:lvlText w:val="●"/>
      <w:lvlJc w:val="left"/>
      <w:pPr>
        <w:ind w:left="6480" w:hanging="360"/>
      </w:pPr>
    </w:lvl>
  </w:abstractNum>
  <w:num w:numId="1" w16cid:durableId="2005276847">
    <w:abstractNumId w:val="1"/>
    <w:lvlOverride w:ilvl="0">
      <w:startOverride w:val="1"/>
    </w:lvlOverride>
  </w:num>
  <w:num w:numId="2" w16cid:durableId="1868445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897"/>
    <w:rsid w:val="00362880"/>
    <w:rsid w:val="006B5E36"/>
    <w:rsid w:val="00733137"/>
    <w:rsid w:val="00865842"/>
    <w:rsid w:val="009148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51D48"/>
  <w15:docId w15:val="{29349F57-B095-40C4-9521-6B708D96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2365</Words>
  <Characters>13483</Characters>
  <Application>Microsoft Office Word</Application>
  <DocSecurity>0</DocSecurity>
  <Lines>112</Lines>
  <Paragraphs>31</Paragraphs>
  <ScaleCrop>false</ScaleCrop>
  <HeadingPairs>
    <vt:vector size="2" baseType="variant">
      <vt:variant>
        <vt:lpstr>Tiêu đề</vt:lpstr>
      </vt:variant>
      <vt:variant>
        <vt:i4>1</vt:i4>
      </vt:variant>
    </vt:vector>
  </HeadingPairs>
  <TitlesOfParts>
    <vt:vector size="1" baseType="lpstr">
      <vt:lpstr>Kế hoạch chỉnh sửa bản thảo POMA</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chỉnh sửa bản thảo POMA</dc:title>
  <dc:subject/>
  <dc:creator>Revision Plan</dc:creator>
  <cp:keywords/>
  <dc:description/>
  <cp:lastModifiedBy>Nguyễn Đình Khôi</cp:lastModifiedBy>
  <cp:revision>1</cp:revision>
  <dcterms:created xsi:type="dcterms:W3CDTF">2026-07-21T02:48:00Z</dcterms:created>
  <dcterms:modified xsi:type="dcterms:W3CDTF">2026-07-30T00:05:00Z</dcterms:modified>
</cp:coreProperties>
</file>