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AI-NATIVE APPLICATION ENGINEERING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A5656"/>
          <w:sz w:val="22"/>
          <w:szCs w:val="22"/>
        </w:rPr>
        <w:t xml:space="preserve">Session 2 · Ngày 1, buổi chiều · 120 phút thực hành</w:t>
      </w:r>
    </w:p>
    <w:p>
      <w:pPr>
        <w:pBdr>
          <w:top w:val="single" w:color="0F5257" w:sz="8" w:space="12"/>
          <w:bottom w:val="single" w:color="0F5257" w:sz="8" w:space="12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0F5257"/>
          <w:sz w:val="52"/>
          <w:szCs w:val="52"/>
        </w:rPr>
        <w:t xml:space="preserve">LAB 2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4A5656"/>
          <w:sz w:val="21"/>
          <w:szCs w:val="21"/>
        </w:rPr>
        <w:t xml:space="preserve">AI Solution Blueprint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3F41"/>
          <w:sz w:val="20"/>
          <w:szCs w:val="20"/>
        </w:rPr>
        <w:t xml:space="preserve">Development Starter Kit — csc-ai-assistant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A5656"/>
          <w:sz w:val="18"/>
          <w:szCs w:val="18"/>
        </w:rPr>
        <w:t xml:space="preserve">Đề bài — đọc kèm Workbook 2 và slide Session 2 · Deliverable: docs/blueprint.md + 5 ADR</w:t>
      </w:r>
    </w:p>
    <w:p>
      <w:r>
        <w:br w:type="page"/>
      </w:r>
    </w:p>
    <w:p>
      <w:pPr>
        <w:pStyle w:val="Heading1"/>
        <w:pBdr>
          <w:bottom w:val="single" w:color="0F5257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B3F41"/>
          <w:sz w:val="32"/>
          <w:szCs w:val="32"/>
        </w:rPr>
        <w:t xml:space="preserve">LAB 2 — AI Solution Blueprint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Session 2 · Ngày 1, buổi chiều · 120 phút thực hành · Deliverable: docs/blueprint.md + 5 ADR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Chỗ ghi chép: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dùng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WORKBOOK-2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(bản Word ở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tai-lieu-hoc-vien/workbooks/WORKBOOK-2.docx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, bản văn bản ở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workbooks/WORKBOOK-2.md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) và điền trong giờ học. Đề bài này nói 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phải làm gì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; workbook là chỗ ghi 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đã đo được gì và vì sao chọn như vậy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— phần phản biện ở Session 6 hỏi đúng phần đó.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Bài này đi theo slide Session 2. Workbook ghi số slide ở từng bước — mở slide song song khi làm.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1 — Phân rã: các thành phần của một ứng dụng AI (20 phút)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Khám phá repo và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trả lời bằng văn bản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: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1.	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Khi người dùng gửi một ticket, dữ liệu đi từ đâu tới đâu? Liệt kê theo thứ tự các tệp nó đi qua.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2.	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Slide 10 chia ứng dụng AI thành năm tầng (Experience, Orchestration, Intelligence, Context &amp; Knowledge, Tools &amp; Enterprise Systems) cùng hai thành phần xuyên suốt (Security &amp; Guardrails, AI Platform &amp; Operations). Mỗi thành phần đó nằm ở tệp nào trong repo, và chịu trách nhiệm gì?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3.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Lớp cache hoạt động theo cơ chế nào?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Cụ thể: khóa cache gồm những gì, và vì sao?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Gợi ý cho câu 3: đọc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src/llm/cache.py::make_key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và ADR-0002. Câu trả lời "để chạy nhanh hơn" là câu trả lời sai.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bản đồ thành phần — mỗi thành phần của slide gắn với tệp trong repo.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2 — Xác định ranh giới và cách điều phối (20 phút)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1.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Ai quyết định gì (slide 8):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với bốn vai trò — AI, ứng dụng nghiệp vụ, hệ thống nghiệp vụ/dữ liệu, con người — ghi rõ việc được quyết định và việc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không được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làm. Xác định mô hình tương tác (slide 12) và mức tự chủ trên thang Ask → Assist → Suggest → Act.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2.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Workflow hay Agent (slide 16):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đi lần lượt bốn câu hỏi quyết định, mỗi câu trả lời kèm bằng chứng từ code, rồi chọn một trong bốn mức. Trả lời câu thảo luận ở slide 17.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3.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Tool Contract (slide 22):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chọn một tool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src/agent/tools.py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và mô tả năm phần hợp đồng — Input, Permission, Business Rules, Execution, Output. Phần nào chưa có trong code thì ghi "chưa có". Giải thích vì sao model không nên truy cập thẳng dữ liệu (slide 23).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bảng ranh giới, mức Workflow/Agent đã chọn, Tool Contract của một tool.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3 — Chiến lược model (20 phút)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CACHE_MODE=off uv run python scripts/compare_models.py --tickets 5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Chạy trên cùng 5 ticket với bốn tổ hợp: cấu hình S, cấu hình L, và hai mức nhiệt độ (0.0 và 0.7). Ghi lại độ chính xác, p50 và số ca phải cứu bằng lớp phòng vệ,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kèm cột ghi chú cấu hình cho từng dòng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 Chạy lệnh trước, làm phần dưới trong lúc chờ.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Kết luận cần chốt: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tác vụ phân loại cho kết quả ổn định hơn hẳn ở nhiệt độ 0, trong khi tác vụ soạn phản hồi cần nhiệt độ cao hơn. Từ đó suy ra một ứng dụng AI </w:t>
      </w: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không dùng chung một cấu hình model cho mọi bước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— xem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TASK_PARAMS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trong </w:t>
      </w:r>
      <w:r>
        <w:rPr>
          <w:rFonts w:ascii="Consolas" w:cs="Consolas" w:eastAsia="Consolas" w:hAnsi="Consolas"/>
          <w:i/>
          <w:iCs/>
          <w:color w:val="0B3F41"/>
          <w:sz w:val="19"/>
          <w:szCs w:val="19"/>
        </w:rPr>
        <w:t xml:space="preserve">src/config.py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Sau đó: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1.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Chọn model bằng bốn tiêu chí (slide 31):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phù hợp năng lực, đủ chất lượng, khả thi vận hành, phù hợp doanh nghiệp — mỗi tiêu chí kèm bằng chứng. Nêu một model khác đã cân nhắc và lý do loại.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2.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Một model hay nhiều (slide 32–33):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hệ thống đang dùng bao nhiêu model, mỗi model làm gì, và dấu hiệu nào sẽ khiến nhóm thêm một model nữa.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bảng so sánh cấu hình và bảng chọn model.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4 — Design Patterns, luồng end-to-end và Blueprint (25 phút)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1.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Chọn pattern (slide 41):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đi qua năm câu hỏi chọn pattern — Grounded Generation, Controlled Action, AI-Augmented Workflow, Bounded Agent, Human-in-the-Loop. Mỗi pattern được dùng phải chỉ ra được nơi nó nằm trong code; pattern không dùng phải có lý do.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2.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Luồng end-to-end có nhánh lỗi: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từng bước xử lý một ticket, ghi thành phần chịu trách nhiệm, guardrail đặt tại đó (slide 26 — guardrail phải đặt tại nơi rủi ro phát sinh, không chỉ ở đầu ra cuối) và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phương án dự phòng khi bước đó lỗi hoặc không chắc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</w:t>
      </w:r>
    </w:p>
    <w:p>
      <w:pPr>
        <w:tabs>
          <w:tab w:val="left" w:pos="420"/>
        </w:tabs>
        <w:spacing w:after="70" w:line="300"/>
        <w:ind w:left="420" w:hanging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3.	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Viết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docs/blueprint.md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gồm bảy mục theo slide 43: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Use Case Contract, Context Contract, Model/Intelligence, Tool Contract, Agent/Workflow, Guardrails &amp; Policy, Evaluation — cùng sơ đồ năm tầng.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Blueprint mô tả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trách nhiệm và giao diện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, không mô tả cách hiện thực bên trong. Vẽ tới mức mã nguồn là lỗi thường gặp nhất ở buổi này.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docs/blueprint.md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5 — Ghi lại thành ADR (15 phút)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Tối thiểu 5 ADR, lấy từ chính các quyết định vừa đưa ra ở Bước 2–4 (mức Workflow/Agent, ranh giới cho tool, chọn model, số lượng model, pattern). Mẫu bốn phần ở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docs/adr/0000-template.md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Bối cảnh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Các phương án đã cân nhắc      ← phần hay bị bỏ nhất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Quyết định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## Hệ quả chấp nhận</w:t>
      </w:r>
    </w:p>
    <w:p>
      <w:pPr>
        <w:pBdr>
          <w:top w:val="single" w:color="FCEBE9" w:sz="2" w:space="4"/>
          <w:bottom w:val="single" w:color="FCEBE9" w:sz="2" w:space="4"/>
          <w:left w:val="single" w:color="B3261E" w:sz="24" w:space="8"/>
          <w:right w:val="single" w:color="FCEBE9" w:sz="2" w:space="4"/>
        </w:pBdr>
        <w:shd w:fill="FCEBE9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color w:val="B3261E"/>
          <w:sz w:val="20"/>
          <w:szCs w:val="20"/>
        </w:rPr>
        <w:t xml:space="preserve">⚠  </w:t>
      </w:r>
      <w:r>
        <w:rPr>
          <w:rFonts w:ascii="Calibri" w:cs="Calibri" w:eastAsia="Calibri" w:hAnsi="Calibri"/>
          <w:b/>
          <w:bCs/>
          <w:color w:val="1B1F1F"/>
          <w:sz w:val="20"/>
          <w:szCs w:val="20"/>
        </w:rPr>
        <w:t xml:space="preserve">Một ADR chỉ ghi "đã chọn gì" mà không ghi phương án đã loại và lý do loại thì không phải ADR</w:t>
      </w:r>
      <w:r>
        <w:rPr>
          <w:rFonts w:ascii="Calibri" w:cs="Calibri" w:eastAsia="Calibri" w:hAnsi="Calibri"/>
          <w:color w:val="1B1F1F"/>
          <w:sz w:val="20"/>
          <w:szCs w:val="20"/>
        </w:rPr>
        <w:t xml:space="preserve">, và không dùng để bảo vệ ở buổi cuối được.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Năm ADR mẫu có sẵn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để tham khảo cách viết. Nhóm phải tự viết ADR cho quyết định của mình, không sao chép.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Bảng quyết định thiết kế ở Bước 5 chính là tài liệu dùng để phản biện ở Session 6.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 Ghi chép nghiêm túc từ bây giờ thay vì cố nhớ lại vào ngày cuối. Phần bảo vệ quyết định thiết kế chiếm 1,5/10 điểm cuối khóa.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5 ADR.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6 — Nối dây và kích hoạt quy trình kỹ thuật (15 phút)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1. Kiểm chứng chuyển đổi cấu hình chỉ bằng biến môi trường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— không sửa một dòng mã nào: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CONFIG_PROFILE=L uv run python scripts/check_env.py --skip-llm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CONFIG_PROFILE=S uv run python scripts/check_env.py --skip-llm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2. Đẩy mã lên nhánh nhóm và quan sát CI.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Giai đoạn 1 (kiểm tra mã) chạy lần đầu. Xem nó xanh hay đỏ, và vì sao.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checkout -b team/&lt;tên-nhóm&gt;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add -A &amp;&amp; git commit -m "[LAB-2] Blueprint và ADR"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push -u origin team/&lt;tên-nhóm&gt;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3. Khởi động giao diện, gửi thử một ticket: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streamlit run src/ui/app.py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Sản phẩm: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hệ thống khung chạy được, CI xanh.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Nộp sau buổi học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docs/blueprint.md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— sơ đồ năm tầng, bảy mục và phương án dự phòng của từng thành phần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Tối thiểu 5 ADR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Kết quả kiểm chứng chuyển đổi cấu hình không sửa mã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Ảnh chụp giao diện chạy được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Tự kiểm tra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pytest -m lab2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python scripts/checkpoint.py 2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Thang điểm (10)</w:t>
      </w:r>
    </w:p>
    <w:tbl>
      <w:tblPr>
        <w:tblW w:type="dxa" w:w="92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8000"/>
        <w:gridCol w:w="1200"/>
      </w:tblGrid>
      <w:tr>
        <w:trPr>
          <w:tblHeader/>
        </w:trPr>
        <w:tc>
          <w:tcPr>
            <w:tcW w:type="dxa" w:w="80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Tiêu chí</w:t>
            </w:r>
          </w:p>
        </w:tc>
        <w:tc>
          <w:tcPr>
            <w:tcW w:type="dxa" w:w="12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Điểm</w:t>
            </w:r>
          </w:p>
        </w:tc>
      </w:tr>
      <w:tr>
        <w:trPr>
          <w:cantSplit/>
        </w:trPr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Sơ đồ kiến trúc đủ năm tầng theo slide 10, rõ trách nhiệm và ranh giới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0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Mỗi thành phần có phương án dự phòng; Blueprint đủ bảy mục</w:t>
            </w:r>
          </w:p>
        </w:tc>
        <w:tc>
          <w:tcPr>
            <w:tcW w:type="dxa" w:w="1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≥ 5 ADR đúng mẫu, nêu được phương án đã loại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0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Khung khởi động được, CI xanh</w:t>
            </w:r>
          </w:p>
        </w:tc>
        <w:tc>
          <w:tcPr>
            <w:tcW w:type="dxa" w:w="1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Nếu xong sớm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Với mỗi mảng Governance ở slide 27 (Policy, Risk, Model, Change, Compliance &amp; Audit), chỉ ra hệ thống hiện có gì hoặc ghi "chưa có".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Vẽ sơ đồ tuần tự cho luồng xử lý một ticket có gọi công cụ — dự đoán trước cấu trúc sẽ xây ở Session 4.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656"/>
        <w:sz w:val="16"/>
        <w:szCs w:val="16"/>
      </w:rPr>
      <w:t xml:space="preserve">Trang </w:t>
    </w:r>
    <w:r>
      <w:rPr>
        <w:color w:val="4A565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656"/>
        <w:sz w:val="16"/>
        <w:szCs w:val="16"/>
      </w:rPr>
      <w:t xml:space="preserve"> / </w:t>
    </w:r>
    <w:r>
      <w:rPr>
        <w:color w:val="4A565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D3D2" w:sz="4" w:space="4"/>
      </w:pBdr>
      <w:jc w:val="right"/>
    </w:pPr>
    <w:r>
      <w:rPr>
        <w:rFonts w:ascii="Calibri" w:cs="Calibri" w:eastAsia="Calibri" w:hAnsi="Calibri"/>
        <w:color w:val="4A5656"/>
        <w:sz w:val="16"/>
        <w:szCs w:val="16"/>
      </w:rPr>
      <w:t xml:space="preserve">AI-Native Application Engineering  ·  Lab 2 — Session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</dc:title>
  <dc:creator>Development Starter Kit csc-ai-assistant</dc:creator>
  <cp:lastModifiedBy>Un-named</cp:lastModifiedBy>
  <cp:revision>1</cp:revision>
  <dcterms:created xsi:type="dcterms:W3CDTF">2026-09-25T00:07:44.217Z</dcterms:created>
  <dcterms:modified xsi:type="dcterms:W3CDTF">2026-09-25T00:07:44.220Z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