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Arial" w:hAnsi="Arial"/>
          <w:b/>
          <w:color w:val="1E3A8A"/>
          <w:sz w:val="36"/>
        </w:rPr>
        <w:t>TÀI LIỆU YÊU CẦU NGHIỆP VỤ</w:t>
        <w:br/>
        <w:t>QUẢN LÝ &amp; PHÂN TÍCH HỒ SƠ BỆNH ÁN</w:t>
      </w:r>
    </w:p>
    <w:p>
      <w:pPr>
        <w:spacing w:after="320"/>
        <w:jc w:val="center"/>
      </w:pPr>
      <w:r>
        <w:rPr>
          <w:rFonts w:ascii="Arial" w:hAnsi="Arial"/>
          <w:i/>
          <w:color w:val="4B5563"/>
          <w:sz w:val="23"/>
        </w:rPr>
        <w:t>Hệ thống Phân tích &amp; Thiết kế Kho Dữ liệu Bệnh viện (Healthcare Data Warehouse)</w:t>
      </w:r>
    </w:p>
    <w:tbl>
      <w:tblPr>
        <w:tblW w:type="auto" w:w="0"/>
        <w:jc w:val="center"/>
        <w:tblLook w:firstColumn="1" w:firstRow="1" w:lastColumn="0" w:lastRow="0" w:noHBand="0" w:noVBand="1" w:val="04A0"/>
      </w:tblPr>
      <w:tblGrid>
        <w:gridCol w:w="4680"/>
        <w:gridCol w:w="4680"/>
      </w:tblGrid>
      <w:tr>
        <w:tc>
          <w:tcPr>
            <w:tcW w:type="dxa" w:w="3168"/>
            <w:shd w:fill="F3F4F6"/>
            <w:tcMar>
              <w:top w:w="100" w:type="dxa"/>
              <w:bottom w:w="100" w:type="dxa"/>
              <w:left w:w="150" w:type="dxa"/>
              <w:right w:w="150" w:type="dxa"/>
            </w:tcMar>
          </w:tcPr>
          <w:p>
            <w:pPr>
              <w:spacing w:after="40"/>
            </w:pPr>
            <w:r>
              <w:rPr>
                <w:b/>
                <w:color w:val="1F2937"/>
                <w:sz w:val="20"/>
              </w:rPr>
              <w:t>Mã bài toán:</w:t>
            </w:r>
          </w:p>
        </w:tc>
        <w:tc>
          <w:tcPr>
            <w:tcW w:type="dxa" w:w="6192"/>
            <w:shd w:fill="F9FAFB"/>
            <w:tcMar>
              <w:top w:w="100" w:type="dxa"/>
              <w:bottom w:w="100" w:type="dxa"/>
              <w:left w:w="150" w:type="dxa"/>
              <w:right w:w="150" w:type="dxa"/>
            </w:tcMar>
          </w:tcPr>
          <w:p>
            <w:pPr>
              <w:spacing w:after="40"/>
            </w:pPr>
            <w:r>
              <w:rPr>
                <w:color w:val="374151"/>
                <w:sz w:val="20"/>
              </w:rPr>
              <w:t>DW-HEALTHCARE-01</w:t>
            </w:r>
          </w:p>
        </w:tc>
      </w:tr>
      <w:tr>
        <w:tc>
          <w:tcPr>
            <w:tcW w:type="dxa" w:w="3168"/>
            <w:shd w:fill="F3F4F6"/>
            <w:tcMar>
              <w:top w:w="100" w:type="dxa"/>
              <w:bottom w:w="100" w:type="dxa"/>
              <w:left w:w="150" w:type="dxa"/>
              <w:right w:w="150" w:type="dxa"/>
            </w:tcMar>
          </w:tcPr>
          <w:p>
            <w:pPr>
              <w:spacing w:after="40"/>
            </w:pPr>
            <w:r>
              <w:rPr>
                <w:b/>
                <w:color w:val="1F2937"/>
                <w:sz w:val="20"/>
              </w:rPr>
              <w:t>Lĩnh vực (Domain):</w:t>
            </w:r>
          </w:p>
        </w:tc>
        <w:tc>
          <w:tcPr>
            <w:tcW w:type="dxa" w:w="6192"/>
            <w:shd w:fill="F9FAFB"/>
            <w:tcMar>
              <w:top w:w="100" w:type="dxa"/>
              <w:bottom w:w="100" w:type="dxa"/>
              <w:left w:w="150" w:type="dxa"/>
              <w:right w:w="150" w:type="dxa"/>
            </w:tcMar>
          </w:tcPr>
          <w:p>
            <w:pPr>
              <w:spacing w:after="40"/>
            </w:pPr>
            <w:r>
              <w:rPr>
                <w:color w:val="374151"/>
                <w:sz w:val="20"/>
              </w:rPr>
              <w:t>Y tế / Quản lý Bệnh viện (Healthcare &amp; Hospital Information System)</w:t>
            </w:r>
          </w:p>
        </w:tc>
      </w:tr>
      <w:tr>
        <w:tc>
          <w:tcPr>
            <w:tcW w:type="dxa" w:w="3168"/>
            <w:shd w:fill="F3F4F6"/>
            <w:tcMar>
              <w:top w:w="100" w:type="dxa"/>
              <w:bottom w:w="100" w:type="dxa"/>
              <w:left w:w="150" w:type="dxa"/>
              <w:right w:w="150" w:type="dxa"/>
            </w:tcMar>
          </w:tcPr>
          <w:p>
            <w:pPr>
              <w:spacing w:after="40"/>
            </w:pPr>
            <w:r>
              <w:rPr>
                <w:b/>
                <w:color w:val="1F2937"/>
                <w:sz w:val="20"/>
              </w:rPr>
              <w:t>Dữ liệu nguồn đính kèm:</w:t>
            </w:r>
          </w:p>
        </w:tc>
        <w:tc>
          <w:tcPr>
            <w:tcW w:type="dxa" w:w="6192"/>
            <w:shd w:fill="F9FAFB"/>
            <w:tcMar>
              <w:top w:w="100" w:type="dxa"/>
              <w:bottom w:w="100" w:type="dxa"/>
              <w:left w:w="150" w:type="dxa"/>
              <w:right w:w="150" w:type="dxa"/>
            </w:tcMar>
          </w:tcPr>
          <w:p>
            <w:pPr>
              <w:spacing w:after="40"/>
            </w:pPr>
            <w:r>
              <w:rPr>
                <w:color w:val="374151"/>
                <w:sz w:val="20"/>
              </w:rPr>
              <w:t>4 tệp CSV (DanhSachBenhNhan.csv, ThongTinBenhNhan.csv, ThongtinHoSoLuuTru.csv, DanhSachHoSoLuuTru.csv)</w:t>
            </w:r>
          </w:p>
        </w:tc>
      </w:tr>
    </w:tbl>
    <w:p>
      <w:pPr>
        <w:spacing w:after="160"/>
      </w:pPr>
    </w:p>
    <w:p>
      <w:pPr>
        <w:pStyle w:val="Heading1"/>
        <w:spacing w:before="240" w:after="120"/>
      </w:pPr>
      <w:r>
        <w:rPr>
          <w:rFonts w:ascii="Arial" w:hAnsi="Arial"/>
          <w:b/>
          <w:color w:val="1E3A8A"/>
          <w:sz w:val="27"/>
        </w:rPr>
        <w:t>1. Toàn Văn Yêu Cầu Nghiệp Vụ (Raw Requirements)</w:t>
      </w:r>
    </w:p>
    <w:p>
      <w:pPr>
        <w:spacing w:after="120"/>
      </w:pPr>
      <w:r>
        <w:t>Bệnh viện cần xây dựng Kho dữ liệu (Data Warehouse) để quản lý và phân tích hồ sơ bệnh án lưu trữ, phục vụ các mục tiêu chính sau đây:</w:t>
      </w:r>
    </w:p>
    <w:p>
      <w:pPr>
        <w:pStyle w:val="ListNumber"/>
        <w:spacing w:after="120"/>
      </w:pPr>
      <w:r>
        <w:rPr>
          <w:b/>
          <w:color w:val="111827"/>
        </w:rPr>
        <w:t xml:space="preserve">Phân tích tình hình khám chữa bệnh: </w:t>
      </w:r>
      <w:r>
        <w:t>Theo dõi số lượng bệnh nhân, thời gian điều trị trung bình (tính từ thời gian vào viện đến ngày ra viện) phân theo từng khoa phòng (vào từ khoa nào, ra từ khoa nào), nhóm tuổi và giới tính.</w:t>
      </w:r>
    </w:p>
    <w:p>
      <w:pPr>
        <w:pStyle w:val="ListNumber"/>
        <w:spacing w:after="120"/>
      </w:pPr>
      <w:r>
        <w:rPr>
          <w:b/>
          <w:color w:val="111827"/>
        </w:rPr>
        <w:t xml:space="preserve">Quản lý đối tượng bệnh nhân: </w:t>
      </w:r>
      <w:r>
        <w:t>Thống kê cơ cấu bệnh nhân theo diện chi trả (BHYT, BHYT Quân, Miễn phí, Dịch vụ) và loại hình điều trị (Nội trú, Ngoại trú).</w:t>
      </w:r>
    </w:p>
    <w:p>
      <w:pPr>
        <w:pStyle w:val="ListNumber"/>
        <w:spacing w:after="120"/>
      </w:pPr>
      <w:r>
        <w:rPr>
          <w:b/>
          <w:color w:val="111827"/>
        </w:rPr>
        <w:t xml:space="preserve">Tối ưu hóa công tác lưu trữ hồ sơ: </w:t>
      </w:r>
      <w:r>
        <w:t>Quản lý vị trí vật lý lưu trữ hồ sơ bệnh án (theo Kho, Tủ, Ngăn, Kệ, Ký hiệu) và trạng thái hồ sơ (đang lưu trữ, chờ đưa vào kho, cần bổ sung xét nghiệm) để phục vụ tra cứu nhanh chóng và bảo mật thông tin cá nhân của bệnh nhân.</w:t>
      </w:r>
    </w:p>
    <w:p>
      <w:pPr>
        <w:pStyle w:val="Heading1"/>
        <w:spacing w:before="280" w:after="120"/>
      </w:pPr>
      <w:r>
        <w:rPr>
          <w:rFonts w:ascii="Arial" w:hAnsi="Arial"/>
          <w:b/>
          <w:color w:val="1E3A8A"/>
          <w:sz w:val="27"/>
        </w:rPr>
        <w:t>2. Mục Tiêu Phân Tích Dữ Liệu (Analytical Goals)</w:t>
      </w:r>
    </w:p>
    <w:tbl>
      <w:tblPr>
        <w:tblW w:type="auto" w:w="0"/>
        <w:jc w:val="center"/>
        <w:tblLook w:firstColumn="1" w:firstRow="1" w:lastColumn="0" w:lastRow="0" w:noHBand="0" w:noVBand="1" w:val="04A0"/>
      </w:tblPr>
      <w:tblGrid>
        <w:gridCol w:w="2340"/>
        <w:gridCol w:w="2340"/>
        <w:gridCol w:w="2340"/>
        <w:gridCol w:w="2340"/>
      </w:tblGrid>
      <w:tr>
        <w:tc>
          <w:tcPr>
            <w:tcW w:type="dxa" w:w="2592"/>
            <w:tcMar>
              <w:top w:w="120" w:type="dxa"/>
              <w:bottom w:w="120" w:type="dxa"/>
              <w:left w:w="120" w:type="dxa"/>
              <w:right w:w="120" w:type="dxa"/>
            </w:tcMar>
            <w:shd w:fill="1E3A8A"/>
          </w:tcPr>
          <w:p>
            <w:pPr>
              <w:spacing w:after="40" w:before="40"/>
              <w:jc w:val="center"/>
            </w:pPr>
            <w:r>
              <w:rPr>
                <w:b/>
                <w:color w:val="FFFFFF"/>
                <w:sz w:val="20"/>
              </w:rPr>
              <w:t>Chỉ số đo lường</w:t>
              <w:br/>
              <w:t>(Metrics / Measures)</w:t>
            </w:r>
          </w:p>
        </w:tc>
        <w:tc>
          <w:tcPr>
            <w:tcW w:type="dxa" w:w="2592"/>
            <w:tcMar>
              <w:top w:w="120" w:type="dxa"/>
              <w:bottom w:w="120" w:type="dxa"/>
              <w:left w:w="120" w:type="dxa"/>
              <w:right w:w="120" w:type="dxa"/>
            </w:tcMar>
            <w:shd w:fill="1E3A8A"/>
          </w:tcPr>
          <w:p>
            <w:pPr>
              <w:spacing w:after="40" w:before="40"/>
              <w:jc w:val="center"/>
            </w:pPr>
            <w:r>
              <w:rPr>
                <w:b/>
                <w:color w:val="FFFFFF"/>
                <w:sz w:val="20"/>
              </w:rPr>
              <w:t>Chiều phân tích</w:t>
              <w:br/>
              <w:t>(Dimensions)</w:t>
            </w:r>
          </w:p>
        </w:tc>
        <w:tc>
          <w:tcPr>
            <w:tcW w:type="dxa" w:w="2016"/>
            <w:tcMar>
              <w:top w:w="120" w:type="dxa"/>
              <w:bottom w:w="120" w:type="dxa"/>
              <w:left w:w="120" w:type="dxa"/>
              <w:right w:w="120" w:type="dxa"/>
            </w:tcMar>
            <w:shd w:fill="1E3A8A"/>
          </w:tcPr>
          <w:p>
            <w:pPr>
              <w:spacing w:after="40" w:before="40"/>
              <w:jc w:val="center"/>
            </w:pPr>
            <w:r>
              <w:rPr>
                <w:b/>
                <w:color w:val="FFFFFF"/>
                <w:sz w:val="20"/>
              </w:rPr>
              <w:t>Mức độ chi tiết</w:t>
              <w:br/>
              <w:t>(Grain)</w:t>
            </w:r>
          </w:p>
        </w:tc>
        <w:tc>
          <w:tcPr>
            <w:tcW w:type="dxa" w:w="2160"/>
            <w:tcMar>
              <w:top w:w="120" w:type="dxa"/>
              <w:bottom w:w="120" w:type="dxa"/>
              <w:left w:w="120" w:type="dxa"/>
              <w:right w:w="120" w:type="dxa"/>
            </w:tcMar>
            <w:shd w:fill="1E3A8A"/>
          </w:tcPr>
          <w:p>
            <w:pPr>
              <w:spacing w:after="40" w:before="40"/>
              <w:jc w:val="center"/>
            </w:pPr>
            <w:r>
              <w:rPr>
                <w:b/>
                <w:color w:val="FFFFFF"/>
                <w:sz w:val="20"/>
              </w:rPr>
              <w:t>Phương thức tổng hợp</w:t>
              <w:br/>
              <w:t>(Aggregation)</w:t>
            </w:r>
          </w:p>
        </w:tc>
      </w:tr>
      <w:tr>
        <w:tc>
          <w:tcPr>
            <w:tcW w:type="dxa" w:w="2592"/>
            <w:tcMar>
              <w:top w:w="120" w:type="dxa"/>
              <w:bottom w:w="120" w:type="dxa"/>
              <w:left w:w="120" w:type="dxa"/>
              <w:right w:w="120" w:type="dxa"/>
            </w:tcMar>
            <w:shd w:fill="F9FAFB"/>
          </w:tcPr>
          <w:p>
            <w:pPr>
              <w:spacing w:after="40" w:before="40"/>
            </w:pPr>
            <w:r>
              <w:rPr>
                <w:b/>
                <w:color w:val="1F2937"/>
                <w:sz w:val="19"/>
              </w:rPr>
              <w:t>Thời gian điều trị trung bình (ngày)</w:t>
            </w:r>
          </w:p>
        </w:tc>
        <w:tc>
          <w:tcPr>
            <w:tcW w:type="dxa" w:w="2592"/>
            <w:tcMar>
              <w:top w:w="120" w:type="dxa"/>
              <w:bottom w:w="120" w:type="dxa"/>
              <w:left w:w="120" w:type="dxa"/>
              <w:right w:w="120" w:type="dxa"/>
            </w:tcMar>
            <w:shd w:fill="F9FAFB"/>
          </w:tcPr>
          <w:p>
            <w:pPr>
              <w:spacing w:after="40" w:before="40"/>
            </w:pPr>
            <w:r>
              <w:rPr>
                <w:color w:val="4B5563"/>
                <w:sz w:val="19"/>
              </w:rPr>
              <w:t>Khoa vào viện, Khoa ra viện, Nhóm tuổi, Giới tính</w:t>
            </w:r>
          </w:p>
        </w:tc>
        <w:tc>
          <w:tcPr>
            <w:tcW w:type="dxa" w:w="2016"/>
            <w:tcMar>
              <w:top w:w="120" w:type="dxa"/>
              <w:bottom w:w="120" w:type="dxa"/>
              <w:left w:w="120" w:type="dxa"/>
              <w:right w:w="120" w:type="dxa"/>
            </w:tcMar>
            <w:shd w:fill="F9FAFB"/>
          </w:tcPr>
          <w:p>
            <w:pPr>
              <w:spacing w:after="40" w:before="40"/>
            </w:pPr>
            <w:r>
              <w:rPr>
                <w:color w:val="4B5563"/>
                <w:sz w:val="19"/>
              </w:rPr>
              <w:t>Từng lượt điều trị / bệnh án</w:t>
            </w:r>
          </w:p>
        </w:tc>
        <w:tc>
          <w:tcPr>
            <w:tcW w:type="dxa" w:w="2160"/>
            <w:tcMar>
              <w:top w:w="120" w:type="dxa"/>
              <w:bottom w:w="120" w:type="dxa"/>
              <w:left w:w="120" w:type="dxa"/>
              <w:right w:w="120" w:type="dxa"/>
            </w:tcMar>
            <w:shd w:fill="F9FAFB"/>
          </w:tcPr>
          <w:p>
            <w:pPr>
              <w:spacing w:after="40" w:before="40"/>
            </w:pPr>
            <w:r>
              <w:rPr>
                <w:rFonts w:ascii="Consolas" w:hAnsi="Consolas"/>
                <w:color w:val="047857"/>
                <w:sz w:val="18"/>
              </w:rPr>
              <w:t>AVG(DATEDIFF(ngay_ra, ngay_vao))</w:t>
            </w:r>
          </w:p>
        </w:tc>
      </w:tr>
      <w:tr>
        <w:tc>
          <w:tcPr>
            <w:tcW w:type="dxa" w:w="2592"/>
            <w:tcMar>
              <w:top w:w="120" w:type="dxa"/>
              <w:bottom w:w="120" w:type="dxa"/>
              <w:left w:w="120" w:type="dxa"/>
              <w:right w:w="120" w:type="dxa"/>
            </w:tcMar>
            <w:shd w:fill="FFFFFF"/>
          </w:tcPr>
          <w:p>
            <w:pPr>
              <w:spacing w:after="40" w:before="40"/>
            </w:pPr>
            <w:r>
              <w:rPr>
                <w:b/>
                <w:color w:val="1F2937"/>
                <w:sz w:val="19"/>
              </w:rPr>
              <w:t>Số lượng bệnh nhân tiếp nhận</w:t>
            </w:r>
          </w:p>
        </w:tc>
        <w:tc>
          <w:tcPr>
            <w:tcW w:type="dxa" w:w="2592"/>
            <w:tcMar>
              <w:top w:w="120" w:type="dxa"/>
              <w:bottom w:w="120" w:type="dxa"/>
              <w:left w:w="120" w:type="dxa"/>
              <w:right w:w="120" w:type="dxa"/>
            </w:tcMar>
            <w:shd w:fill="FFFFFF"/>
          </w:tcPr>
          <w:p>
            <w:pPr>
              <w:spacing w:after="40" w:before="40"/>
            </w:pPr>
            <w:r>
              <w:rPr>
                <w:color w:val="4B5563"/>
                <w:sz w:val="19"/>
              </w:rPr>
              <w:t>Diện đối tượng chi trả, Loại hình điều trị (Nội/Ngoại trú)</w:t>
            </w:r>
          </w:p>
        </w:tc>
        <w:tc>
          <w:tcPr>
            <w:tcW w:type="dxa" w:w="2016"/>
            <w:tcMar>
              <w:top w:w="120" w:type="dxa"/>
              <w:bottom w:w="120" w:type="dxa"/>
              <w:left w:w="120" w:type="dxa"/>
              <w:right w:w="120" w:type="dxa"/>
            </w:tcMar>
            <w:shd w:fill="FFFFFF"/>
          </w:tcPr>
          <w:p>
            <w:pPr>
              <w:spacing w:after="40" w:before="40"/>
            </w:pPr>
            <w:r>
              <w:rPr>
                <w:color w:val="4B5563"/>
                <w:sz w:val="19"/>
              </w:rPr>
              <w:t>Từng bệnh nhân / Lượt vào viện</w:t>
            </w:r>
          </w:p>
        </w:tc>
        <w:tc>
          <w:tcPr>
            <w:tcW w:type="dxa" w:w="2160"/>
            <w:tcMar>
              <w:top w:w="120" w:type="dxa"/>
              <w:bottom w:w="120" w:type="dxa"/>
              <w:left w:w="120" w:type="dxa"/>
              <w:right w:w="120" w:type="dxa"/>
            </w:tcMar>
            <w:shd w:fill="FFFFFF"/>
          </w:tcPr>
          <w:p>
            <w:pPr>
              <w:spacing w:after="40" w:before="40"/>
            </w:pPr>
            <w:r>
              <w:rPr>
                <w:rFonts w:ascii="Consolas" w:hAnsi="Consolas"/>
                <w:color w:val="047857"/>
                <w:sz w:val="18"/>
              </w:rPr>
              <w:t>COUNT(DISTINCT so_ho_so)</w:t>
            </w:r>
          </w:p>
        </w:tc>
      </w:tr>
      <w:tr>
        <w:tc>
          <w:tcPr>
            <w:tcW w:type="dxa" w:w="2592"/>
            <w:tcMar>
              <w:top w:w="120" w:type="dxa"/>
              <w:bottom w:w="120" w:type="dxa"/>
              <w:left w:w="120" w:type="dxa"/>
              <w:right w:w="120" w:type="dxa"/>
            </w:tcMar>
            <w:shd w:fill="F9FAFB"/>
          </w:tcPr>
          <w:p>
            <w:pPr>
              <w:spacing w:after="40" w:before="40"/>
            </w:pPr>
            <w:r>
              <w:rPr>
                <w:b/>
                <w:color w:val="1F2937"/>
                <w:sz w:val="19"/>
              </w:rPr>
              <w:t>Số lượng hồ sơ lưu trữ theo trạng thái</w:t>
            </w:r>
          </w:p>
        </w:tc>
        <w:tc>
          <w:tcPr>
            <w:tcW w:type="dxa" w:w="2592"/>
            <w:tcMar>
              <w:top w:w="120" w:type="dxa"/>
              <w:bottom w:w="120" w:type="dxa"/>
              <w:left w:w="120" w:type="dxa"/>
              <w:right w:w="120" w:type="dxa"/>
            </w:tcMar>
            <w:shd w:fill="F9FAFB"/>
          </w:tcPr>
          <w:p>
            <w:pPr>
              <w:spacing w:after="40" w:before="40"/>
            </w:pPr>
            <w:r>
              <w:rPr>
                <w:color w:val="4B5563"/>
                <w:sz w:val="19"/>
              </w:rPr>
              <w:t>Trạng thái hồ sơ, Vị trí Kho, Tủ, Ngăn, Kệ</w:t>
            </w:r>
          </w:p>
        </w:tc>
        <w:tc>
          <w:tcPr>
            <w:tcW w:type="dxa" w:w="2016"/>
            <w:tcMar>
              <w:top w:w="120" w:type="dxa"/>
              <w:bottom w:w="120" w:type="dxa"/>
              <w:left w:w="120" w:type="dxa"/>
              <w:right w:w="120" w:type="dxa"/>
            </w:tcMar>
            <w:shd w:fill="F9FAFB"/>
          </w:tcPr>
          <w:p>
            <w:pPr>
              <w:spacing w:after="40" w:before="40"/>
            </w:pPr>
            <w:r>
              <w:rPr>
                <w:color w:val="4B5563"/>
                <w:sz w:val="19"/>
              </w:rPr>
              <w:t>Từng hồ sơ bệnh án lưu trữ</w:t>
            </w:r>
          </w:p>
        </w:tc>
        <w:tc>
          <w:tcPr>
            <w:tcW w:type="dxa" w:w="2160"/>
            <w:tcMar>
              <w:top w:w="120" w:type="dxa"/>
              <w:bottom w:w="120" w:type="dxa"/>
              <w:left w:w="120" w:type="dxa"/>
              <w:right w:w="120" w:type="dxa"/>
            </w:tcMar>
            <w:shd w:fill="F9FAFB"/>
          </w:tcPr>
          <w:p>
            <w:pPr>
              <w:spacing w:after="40" w:before="40"/>
            </w:pPr>
            <w:r>
              <w:rPr>
                <w:rFonts w:ascii="Consolas" w:hAnsi="Consolas"/>
                <w:color w:val="047857"/>
                <w:sz w:val="18"/>
              </w:rPr>
              <w:t>COUNT(so_benh_an)</w:t>
            </w:r>
          </w:p>
        </w:tc>
      </w:tr>
    </w:tbl>
    <w:p>
      <w:pPr>
        <w:pStyle w:val="Heading1"/>
        <w:spacing w:before="280" w:after="120"/>
      </w:pPr>
      <w:r>
        <w:rPr>
          <w:rFonts w:ascii="Arial" w:hAnsi="Arial"/>
          <w:b/>
          <w:color w:val="1E3A8A"/>
          <w:sz w:val="27"/>
        </w:rPr>
        <w:t>3. Yêu Cầu Kỹ Thuật &amp; Ràng Buộc Bảo Mật (Technical Constraints)</w:t>
      </w:r>
    </w:p>
    <w:p>
      <w:pPr>
        <w:pStyle w:val="ListBullet"/>
        <w:spacing w:after="120"/>
      </w:pPr>
      <w:r>
        <w:rPr>
          <w:b/>
          <w:color w:val="111827"/>
        </w:rPr>
        <w:t xml:space="preserve">Ẩn danh hóa dữ liệu nhạy cảm (PII Protection): </w:t>
      </w:r>
      <w:r>
        <w:t>Thông tin cá nhân nhạy cảm của bệnh nhân (Họ và tên, Địa chỉ chi tiết, Số định danh) phải được bộ lọc PII Guard tự động nhận diện và ẩn danh trước khi chuyển qua LLM API.</w:t>
      </w:r>
    </w:p>
    <w:p>
      <w:pPr>
        <w:pStyle w:val="ListBullet"/>
        <w:spacing w:after="120"/>
      </w:pPr>
      <w:r>
        <w:rPr>
          <w:b/>
          <w:color w:val="111827"/>
        </w:rPr>
        <w:t xml:space="preserve">Khóa thay thế (Surrogate Keys): </w:t>
      </w:r>
      <w:r>
        <w:t>Toàn bộ bảng Fact và Dimension trong Data Warehouse phải sử dụng Surrogate Key dạng số nguyên tự tăng hoặc chuỗi UUID (ví dụ: benhnhan_sk, khoa_sk, vitri_sk) làm Primary Key thay vì dùng trực tiếp số hồ sơ y tế tự nhiên.</w:t>
      </w:r>
    </w:p>
    <w:p>
      <w:pPr>
        <w:pStyle w:val="ListBullet"/>
        <w:spacing w:after="120"/>
      </w:pPr>
      <w:r>
        <w:rPr>
          <w:b/>
          <w:color w:val="111827"/>
        </w:rPr>
        <w:t xml:space="preserve">Chuẩn hóa mô hình chiều Kimball (Star Schema): </w:t>
      </w:r>
      <w:r>
        <w:t>Thiết kế theo mô hình hình sao (Star Schema) tối ưu hóa truy vấn phân tích đa chiều OLAP, liên kết rõ ràng giữa bảng Fact trung tâm và các bảng Dimension xung quanh.</w:t>
      </w:r>
    </w:p>
    <w:p>
      <w:pPr>
        <w:pStyle w:val="ListBullet"/>
        <w:spacing w:after="120"/>
      </w:pPr>
      <w:r>
        <w:rPr>
          <w:b/>
          <w:color w:val="111827"/>
        </w:rPr>
        <w:t xml:space="preserve">Môi trường kiểm thử cách ly (Sandbox Testing): </w:t>
      </w:r>
      <w:r>
        <w:t>Toàn bộ câu lệnh DDL SQL được sinh ra phải chạy thử nghiệm thành công trên sandbox_schema.* trước khi bàn giao cho người dùng duyệt.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