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House of the Wolfings is a romantically reconstructed portrait of the lives of the Germanic Gothic tribes, written in an archaic style and incorporating a large amount of poetry. Morris combines his own idealistic views with what was actually known at the time of his subjects' folkways and language. He portrays them as simple and hardworking, galvanized into heroic action to defend their families and liberty by the attacks of imperial Rome.</w:t>
      </w:r>
    </w:p>
    <w:p>
      <w:r>
        <w:t>Morris's Goths inhabit an area called the Mark on a river in the forest of Mirkwood, divided into the Upper-mark, the Mid-mark and the Nether-mark. They worship their gods Odin and Tyr by sacrificing horses, and rely on seers who foretell the future and serve as psychic news-gatherers.</w:t>
      </w:r>
    </w:p>
    <w:p>
      <w:r>
        <w:t>The men of the Mark choose two War Dukes to lead them against their enemies, one each from the House of the Wolfings and the House of the Laxings. The Wolfing war leader is Thiodolf, a man of mysterious and perhaps divine antecedents, whose ability to lead is threatened by his possession of a magnificent dwarf-made mail-shirt which, unknown to him, is cursed. He is supported by his lover the Wood Sun and their daughter the Hall Sun, who are related to the gods.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