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color w:val="1F3864"/>
          <w:sz w:val="36"/>
          <w:szCs w:val="36"/>
        </w:rPr>
        <w:t xml:space="preserve">BÀI TẬP 1 — PHÂN TÍCH HÀNH VI KHÁCH HÀNG</w:t>
      </w:r>
    </w:p>
    <w:p>
      <w:pPr>
        <w:pStyle w:val="Heading2"/>
        <w:spacing w:after="120" w:before="260"/>
      </w:pPr>
      <w:r>
        <w:rPr>
          <w:rFonts w:ascii="Times New Roman" w:cs="Times New Roman" w:eastAsia="Times New Roman" w:hAnsi="Times New Roman"/>
          <w:b/>
          <w:bCs/>
          <w:color w:val="2E5C9A"/>
          <w:sz w:val="25"/>
          <w:szCs w:val="25"/>
        </w:rPr>
        <w:t xml:space="preserve">Bộ dữ liệu: Global Superstore (</w:t>
      </w:r>
      <w:r>
        <w:rPr>
          <w:rFonts w:ascii="Consolas" w:cs="Consolas" w:eastAsia="Consolas" w:hAnsi="Consolas"/>
          <w:b/>
          <w:bCs/>
          <w:color w:val="2E5C9A"/>
          <w:sz w:val="23"/>
          <w:szCs w:val="23"/>
        </w:rPr>
        <w:t xml:space="preserve">Data.xlsx</w:t>
      </w:r>
      <w:r>
        <w:rPr>
          <w:rFonts w:ascii="Times New Roman" w:cs="Times New Roman" w:eastAsia="Times New Roman" w:hAnsi="Times New Roman"/>
          <w:b/>
          <w:bCs/>
          <w:color w:val="2E5C9A"/>
          <w:sz w:val="25"/>
          <w:szCs w:val="25"/>
        </w:rPr>
        <w:t xml:space="preserve">, sheet </w:t>
      </w:r>
      <w:r>
        <w:rPr>
          <w:rFonts w:ascii="Consolas" w:cs="Consolas" w:eastAsia="Consolas" w:hAnsi="Consolas"/>
          <w:b/>
          <w:bCs/>
          <w:color w:val="2E5C9A"/>
          <w:sz w:val="23"/>
          <w:szCs w:val="23"/>
        </w:rPr>
        <w:t xml:space="preserve">Orders</w:t>
      </w:r>
      <w:r>
        <w:rPr>
          <w:rFonts w:ascii="Times New Roman" w:cs="Times New Roman" w:eastAsia="Times New Roman" w:hAnsi="Times New Roman"/>
          <w:b/>
          <w:bCs/>
          <w:color w:val="2E5C9A"/>
          <w:sz w:val="25"/>
          <w:szCs w:val="25"/>
        </w:rPr>
        <w:t xml:space="preserve">)</w:t>
      </w:r>
    </w:p>
    <w:p>
      <w:pPr>
        <w:pStyle w:val="Heading1"/>
        <w:pBdr>
          <w:bottom w:val="single" w:color="1F3864" w:sz="12" w:space="6"/>
        </w:pBdr>
        <w:spacing w:after="160" w:before="160"/>
      </w:pPr>
      <w:r>
        <w:rPr>
          <w:rFonts w:ascii="Times New Roman" w:cs="Times New Roman" w:eastAsia="Times New Roman" w:hAnsi="Times New Roman"/>
          <w:b/>
          <w:bCs/>
          <w:color w:val="1F3864"/>
          <w:sz w:val="30"/>
          <w:szCs w:val="30"/>
        </w:rPr>
        <w:t xml:space="preserve">0. TỔNG QUAN DỮ LIỆU</w:t>
      </w:r>
    </w:p>
    <w:tbl>
      <w:tblPr>
        <w:tblW w:type="dxa" w:w="9746"/>
        <w:tblBorders>
          <w:top w:val="single" w:color="A6B4CC" w:sz="3"/>
          <w:left w:val="single" w:color="A6B4CC" w:sz="3"/>
          <w:bottom w:val="single" w:color="A6B4CC" w:sz="3"/>
          <w:right w:val="single" w:color="A6B4CC" w:sz="3"/>
          <w:insideH w:val="single" w:color="A6B4CC" w:sz="3"/>
          <w:insideV w:val="single" w:color="A6B4CC" w:sz="3"/>
        </w:tblBorders>
      </w:tblPr>
      <w:tblGrid>
        <w:gridCol w:w="3759"/>
        <w:gridCol w:w="5987"/>
      </w:tblGrid>
      <w:tr>
        <w:trPr>
          <w:tblHeader/>
        </w:trPr>
        <w:tc>
          <w:tcPr>
            <w:tcW w:type="dxa" w:w="3759"/>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Chỉ tiêu</w:t>
            </w:r>
          </w:p>
        </w:tc>
        <w:tc>
          <w:tcPr>
            <w:tcW w:type="dxa" w:w="5987"/>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Giá trị</w:t>
            </w:r>
          </w:p>
        </w:tc>
      </w:tr>
      <w:tr>
        <w:trPr>
          <w:cantSplit/>
        </w:trPr>
        <w:tc>
          <w:tcPr>
            <w:tcW w:type="dxa" w:w="3759"/>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Số dòng giao dịch</w:t>
            </w:r>
          </w:p>
        </w:tc>
        <w:tc>
          <w:tcPr>
            <w:tcW w:type="dxa" w:w="5987"/>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51.290</w:t>
            </w:r>
          </w:p>
        </w:tc>
      </w:tr>
      <w:tr>
        <w:trPr>
          <w:cantSplit/>
        </w:trPr>
        <w:tc>
          <w:tcPr>
            <w:tcW w:type="dxa" w:w="3759"/>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Số đơn hàng (Order ID)</w:t>
            </w:r>
          </w:p>
        </w:tc>
        <w:tc>
          <w:tcPr>
            <w:tcW w:type="dxa" w:w="5987"/>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25.728</w:t>
            </w:r>
          </w:p>
        </w:tc>
      </w:tr>
      <w:tr>
        <w:trPr>
          <w:cantSplit/>
        </w:trPr>
        <w:tc>
          <w:tcPr>
            <w:tcW w:type="dxa" w:w="3759"/>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Số khách hàng (Customer ID)</w:t>
            </w:r>
          </w:p>
        </w:tc>
        <w:tc>
          <w:tcPr>
            <w:tcW w:type="dxa" w:w="5987"/>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17.415</w:t>
            </w:r>
          </w:p>
        </w:tc>
      </w:tr>
      <w:tr>
        <w:trPr>
          <w:cantSplit/>
        </w:trPr>
        <w:tc>
          <w:tcPr>
            <w:tcW w:type="dxa" w:w="3759"/>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Số sản phẩm</w:t>
            </w:r>
          </w:p>
        </w:tc>
        <w:tc>
          <w:tcPr>
            <w:tcW w:type="dxa" w:w="5987"/>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3.788</w:t>
            </w:r>
          </w:p>
        </w:tc>
      </w:tr>
      <w:tr>
        <w:trPr>
          <w:cantSplit/>
        </w:trPr>
        <w:tc>
          <w:tcPr>
            <w:tcW w:type="dxa" w:w="3759"/>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Phạm vi địa lý</w:t>
            </w:r>
          </w:p>
        </w:tc>
        <w:tc>
          <w:tcPr>
            <w:tcW w:type="dxa" w:w="5987"/>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165 quốc gia, 3.650 thành phố, 5 thị trường</w:t>
            </w:r>
          </w:p>
        </w:tc>
      </w:tr>
      <w:tr>
        <w:trPr>
          <w:cantSplit/>
        </w:trPr>
        <w:tc>
          <w:tcPr>
            <w:tcW w:type="dxa" w:w="3759"/>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Khoảng thời gian</w:t>
            </w:r>
          </w:p>
        </w:tc>
        <w:tc>
          <w:tcPr>
            <w:tcW w:type="dxa" w:w="5987"/>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01/01/2014 – 31/12/2017 (4 năm)</w:t>
            </w:r>
          </w:p>
        </w:tc>
      </w:tr>
      <w:tr>
        <w:trPr>
          <w:cantSplit/>
        </w:trPr>
        <w:tc>
          <w:tcPr>
            <w:tcW w:type="dxa" w:w="3759"/>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Tổng doanh thu</w:t>
            </w:r>
          </w:p>
        </w:tc>
        <w:tc>
          <w:tcPr>
            <w:tcW w:type="dxa" w:w="5987"/>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12.642.502</w:t>
            </w:r>
          </w:p>
        </w:tc>
      </w:tr>
      <w:tr>
        <w:trPr>
          <w:cantSplit/>
        </w:trPr>
        <w:tc>
          <w:tcPr>
            <w:tcW w:type="dxa" w:w="3759"/>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Tổng lợi nhuận</w:t>
            </w:r>
          </w:p>
        </w:tc>
        <w:tc>
          <w:tcPr>
            <w:tcW w:type="dxa" w:w="5987"/>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1.467.457 (biên 11,6%)</w:t>
            </w:r>
          </w:p>
        </w:tc>
      </w:tr>
    </w:tbl>
    <w:p>
      <w:pPr>
        <w:spacing w:after="200"/>
      </w:pPr>
      <w:r>
        <w:rPr>
          <w:sz w:val="8"/>
          <w:szCs w:val="8"/>
        </w:rPr>
        <w:t xml:space="preserve"/>
      </w:r>
    </w:p>
    <w:p>
      <w:pPr>
        <w:spacing w:after="120" w:before="60" w:line="300"/>
        <w:jc w:val="both"/>
      </w:pPr>
      <w:r>
        <w:rPr>
          <w:rFonts w:ascii="Times New Roman" w:cs="Times New Roman" w:eastAsia="Times New Roman" w:hAnsi="Times New Roman"/>
          <w:b/>
          <w:bCs/>
          <w:sz w:val="22"/>
          <w:szCs w:val="22"/>
        </w:rPr>
        <w:t xml:space="preserve">Lưu ý phương pháp:</w:t>
      </w:r>
      <w:r>
        <w:rPr>
          <w:rFonts w:ascii="Times New Roman" w:cs="Times New Roman" w:eastAsia="Times New Roman" w:hAnsi="Times New Roman"/>
          <w:sz w:val="22"/>
          <w:szCs w:val="22"/>
        </w:rPr>
        <w:t xml:space="preserve"> cột </w:t>
      </w:r>
      <w:r>
        <w:rPr>
          <w:rFonts w:ascii="Consolas" w:cs="Consolas" w:eastAsia="Consolas" w:hAnsi="Consolas"/>
          <w:sz w:val="20"/>
          <w:szCs w:val="20"/>
        </w:rPr>
        <w:t xml:space="preserve">Return</w:t>
      </w:r>
      <w:r>
        <w:rPr>
          <w:rFonts w:ascii="Times New Roman" w:cs="Times New Roman" w:eastAsia="Times New Roman" w:hAnsi="Times New Roman"/>
          <w:sz w:val="22"/>
          <w:szCs w:val="22"/>
        </w:rPr>
        <w:t xml:space="preserve"> chỉ có giá trị </w:t>
      </w:r>
      <w:r>
        <w:rPr>
          <w:rFonts w:ascii="Consolas" w:cs="Consolas" w:eastAsia="Consolas" w:hAnsi="Consolas"/>
          <w:sz w:val="20"/>
          <w:szCs w:val="20"/>
        </w:rPr>
        <w:t xml:space="preserve">Yes</w:t>
      </w:r>
      <w:r>
        <w:rPr>
          <w:rFonts w:ascii="Times New Roman" w:cs="Times New Roman" w:eastAsia="Times New Roman" w:hAnsi="Times New Roman"/>
          <w:sz w:val="22"/>
          <w:szCs w:val="22"/>
        </w:rPr>
        <w:t xml:space="preserve"> (5.752 dòng) và rỗng/</w:t>
      </w:r>
      <w:r>
        <w:rPr>
          <w:rFonts w:ascii="Consolas" w:cs="Consolas" w:eastAsia="Consolas" w:hAnsi="Consolas"/>
          <w:sz w:val="20"/>
          <w:szCs w:val="20"/>
        </w:rPr>
        <w:t xml:space="preserve">#N/A</w:t>
      </w:r>
      <w:r>
        <w:rPr>
          <w:rFonts w:ascii="Times New Roman" w:cs="Times New Roman" w:eastAsia="Times New Roman" w:hAnsi="Times New Roman"/>
          <w:sz w:val="22"/>
          <w:szCs w:val="22"/>
        </w:rPr>
        <w:t xml:space="preserve">. Bài này coi rỗng = </w:t>
      </w:r>
      <w:r>
        <w:rPr>
          <w:rFonts w:ascii="Times New Roman" w:cs="Times New Roman" w:eastAsia="Times New Roman" w:hAnsi="Times New Roman"/>
          <w:i/>
          <w:iCs/>
          <w:sz w:val="22"/>
          <w:szCs w:val="22"/>
        </w:rPr>
        <w:t xml:space="preserve">không trả hàng</w:t>
      </w:r>
      <w:r>
        <w:rPr>
          <w:rFonts w:ascii="Times New Roman" w:cs="Times New Roman" w:eastAsia="Times New Roman" w:hAnsi="Times New Roman"/>
          <w:sz w:val="22"/>
          <w:szCs w:val="22"/>
        </w:rPr>
        <w:t xml:space="preserve">. Tỷ lệ trả hàng được tính ở </w:t>
      </w:r>
      <w:r>
        <w:rPr>
          <w:rFonts w:ascii="Times New Roman" w:cs="Times New Roman" w:eastAsia="Times New Roman" w:hAnsi="Times New Roman"/>
          <w:b/>
          <w:bCs/>
          <w:sz w:val="22"/>
          <w:szCs w:val="22"/>
        </w:rPr>
        <w:t xml:space="preserve">cấp đơn hàng</w:t>
      </w:r>
      <w:r>
        <w:rPr>
          <w:rFonts w:ascii="Times New Roman" w:cs="Times New Roman" w:eastAsia="Times New Roman" w:hAnsi="Times New Roman"/>
          <w:sz w:val="22"/>
          <w:szCs w:val="22"/>
        </w:rPr>
        <w:t xml:space="preserve"> (đã kiểm tra: cờ trả hàng luôn đồng nhất trong cùng một Order ID — 0/25.728 đơn bị mâu thuẫn).</w:t>
      </w:r>
    </w:p>
    <w:p>
      <w:r>
        <w:br w:type="page"/>
      </w:r>
    </w:p>
    <w:p>
      <w:pPr>
        <w:pStyle w:val="Heading1"/>
        <w:pBdr>
          <w:bottom w:val="single" w:color="1F3864" w:sz="12" w:space="6"/>
        </w:pBdr>
        <w:spacing w:after="160" w:before="160"/>
      </w:pPr>
      <w:r>
        <w:rPr>
          <w:rFonts w:ascii="Times New Roman" w:cs="Times New Roman" w:eastAsia="Times New Roman" w:hAnsi="Times New Roman"/>
          <w:b/>
          <w:bCs/>
          <w:color w:val="1F3864"/>
          <w:sz w:val="30"/>
          <w:szCs w:val="30"/>
        </w:rPr>
        <w:t xml:space="preserve">CÂU 1 — KHÁCH HÀNG TẬP TRUNG Ở ĐÂU?</w:t>
      </w:r>
    </w:p>
    <w:p>
      <w:pPr>
        <w:pStyle w:val="Heading2"/>
        <w:spacing w:after="120" w:before="260"/>
      </w:pPr>
      <w:r>
        <w:rPr>
          <w:rFonts w:ascii="Times New Roman" w:cs="Times New Roman" w:eastAsia="Times New Roman" w:hAnsi="Times New Roman"/>
          <w:b/>
          <w:bCs/>
          <w:color w:val="2E5C9A"/>
          <w:sz w:val="25"/>
          <w:szCs w:val="25"/>
        </w:rPr>
        <w:t xml:space="preserve">1.1. Theo thị trường (Market)</w:t>
      </w:r>
    </w:p>
    <w:tbl>
      <w:tblPr>
        <w:tblW w:type="dxa" w:w="9746"/>
        <w:tblBorders>
          <w:top w:val="single" w:color="A6B4CC" w:sz="3"/>
          <w:left w:val="single" w:color="A6B4CC" w:sz="3"/>
          <w:bottom w:val="single" w:color="A6B4CC" w:sz="3"/>
          <w:right w:val="single" w:color="A6B4CC" w:sz="3"/>
          <w:insideH w:val="single" w:color="A6B4CC" w:sz="3"/>
          <w:insideV w:val="single" w:color="A6B4CC" w:sz="3"/>
        </w:tblBorders>
      </w:tblPr>
      <w:tblGrid>
        <w:gridCol w:w="2208"/>
        <w:gridCol w:w="919"/>
        <w:gridCol w:w="919"/>
        <w:gridCol w:w="1103"/>
        <w:gridCol w:w="1655"/>
        <w:gridCol w:w="919"/>
        <w:gridCol w:w="736"/>
        <w:gridCol w:w="1287"/>
      </w:tblGrid>
      <w:tr>
        <w:trPr>
          <w:tblHeader/>
        </w:trPr>
        <w:tc>
          <w:tcPr>
            <w:tcW w:type="dxa" w:w="2208"/>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Market</w:t>
            </w:r>
          </w:p>
        </w:tc>
        <w:tc>
          <w:tcPr>
            <w:tcW w:type="dxa" w:w="919"/>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Số KH</w:t>
            </w:r>
          </w:p>
        </w:tc>
        <w:tc>
          <w:tcPr>
            <w:tcW w:type="dxa" w:w="919"/>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 KH</w:t>
            </w:r>
          </w:p>
        </w:tc>
        <w:tc>
          <w:tcPr>
            <w:tcW w:type="dxa" w:w="1103"/>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Số đơn</w:t>
            </w:r>
          </w:p>
        </w:tc>
        <w:tc>
          <w:tcPr>
            <w:tcW w:type="dxa" w:w="1655"/>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Doanh thu</w:t>
            </w:r>
          </w:p>
        </w:tc>
        <w:tc>
          <w:tcPr>
            <w:tcW w:type="dxa" w:w="919"/>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 DT</w:t>
            </w:r>
          </w:p>
        </w:tc>
        <w:tc>
          <w:tcPr>
            <w:tcW w:type="dxa" w:w="736"/>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AOV</w:t>
            </w:r>
          </w:p>
        </w:tc>
        <w:tc>
          <w:tcPr>
            <w:tcW w:type="dxa" w:w="1287"/>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Biên LN</w:t>
            </w:r>
          </w:p>
        </w:tc>
      </w:tr>
      <w:tr>
        <w:trPr>
          <w:cantSplit/>
        </w:trPr>
        <w:tc>
          <w:tcPr>
            <w:tcW w:type="dxa" w:w="2208"/>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Asia Pacific</w:t>
            </w:r>
          </w:p>
        </w:tc>
        <w:tc>
          <w:tcPr>
            <w:tcW w:type="dxa" w:w="919"/>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4.941</w:t>
            </w:r>
          </w:p>
        </w:tc>
        <w:tc>
          <w:tcPr>
            <w:tcW w:type="dxa" w:w="919"/>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28,4%</w:t>
            </w:r>
          </w:p>
        </w:tc>
        <w:tc>
          <w:tcPr>
            <w:tcW w:type="dxa" w:w="1103"/>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7.080</w:t>
            </w:r>
          </w:p>
        </w:tc>
        <w:tc>
          <w:tcPr>
            <w:tcW w:type="dxa" w:w="1655"/>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4.042.658</w:t>
            </w:r>
          </w:p>
        </w:tc>
        <w:tc>
          <w:tcPr>
            <w:tcW w:type="dxa" w:w="919"/>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sz w:val="19"/>
                <w:szCs w:val="19"/>
              </w:rPr>
              <w:t xml:space="preserve">32,0%</w:t>
            </w:r>
          </w:p>
        </w:tc>
        <w:tc>
          <w:tcPr>
            <w:tcW w:type="dxa" w:w="736"/>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571</w:t>
            </w:r>
          </w:p>
        </w:tc>
        <w:tc>
          <w:tcPr>
            <w:tcW w:type="dxa" w:w="1287"/>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10,0%</w:t>
            </w:r>
          </w:p>
        </w:tc>
      </w:tr>
      <w:tr>
        <w:trPr>
          <w:cantSplit/>
        </w:trPr>
        <w:tc>
          <w:tcPr>
            <w:tcW w:type="dxa" w:w="2208"/>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Europe</w:t>
            </w:r>
          </w:p>
        </w:tc>
        <w:tc>
          <w:tcPr>
            <w:tcW w:type="dxa" w:w="919"/>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4.035</w:t>
            </w:r>
          </w:p>
        </w:tc>
        <w:tc>
          <w:tcPr>
            <w:tcW w:type="dxa" w:w="919"/>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23,2%</w:t>
            </w:r>
          </w:p>
        </w:tc>
        <w:tc>
          <w:tcPr>
            <w:tcW w:type="dxa" w:w="1103"/>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6.013</w:t>
            </w:r>
          </w:p>
        </w:tc>
        <w:tc>
          <w:tcPr>
            <w:tcW w:type="dxa" w:w="1655"/>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3.287.336</w:t>
            </w:r>
          </w:p>
        </w:tc>
        <w:tc>
          <w:tcPr>
            <w:tcW w:type="dxa" w:w="919"/>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26,0%</w:t>
            </w:r>
          </w:p>
        </w:tc>
        <w:tc>
          <w:tcPr>
            <w:tcW w:type="dxa" w:w="736"/>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547</w:t>
            </w:r>
          </w:p>
        </w:tc>
        <w:tc>
          <w:tcPr>
            <w:tcW w:type="dxa" w:w="1287"/>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13,7%</w:t>
            </w:r>
          </w:p>
        </w:tc>
      </w:tr>
      <w:tr>
        <w:trPr>
          <w:cantSplit/>
        </w:trPr>
        <w:tc>
          <w:tcPr>
            <w:tcW w:type="dxa" w:w="2208"/>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USCA</w:t>
            </w:r>
          </w:p>
        </w:tc>
        <w:tc>
          <w:tcPr>
            <w:tcW w:type="dxa" w:w="919"/>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2.682</w:t>
            </w:r>
          </w:p>
        </w:tc>
        <w:tc>
          <w:tcPr>
            <w:tcW w:type="dxa" w:w="919"/>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15,4%</w:t>
            </w:r>
          </w:p>
        </w:tc>
        <w:tc>
          <w:tcPr>
            <w:tcW w:type="dxa" w:w="1103"/>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5.203</w:t>
            </w:r>
          </w:p>
        </w:tc>
        <w:tc>
          <w:tcPr>
            <w:tcW w:type="dxa" w:w="1655"/>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2.364.129</w:t>
            </w:r>
          </w:p>
        </w:tc>
        <w:tc>
          <w:tcPr>
            <w:tcW w:type="dxa" w:w="919"/>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18,7%</w:t>
            </w:r>
          </w:p>
        </w:tc>
        <w:tc>
          <w:tcPr>
            <w:tcW w:type="dxa" w:w="736"/>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454</w:t>
            </w:r>
          </w:p>
        </w:tc>
        <w:tc>
          <w:tcPr>
            <w:tcW w:type="dxa" w:w="1287"/>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12,9%</w:t>
            </w:r>
          </w:p>
        </w:tc>
      </w:tr>
      <w:tr>
        <w:trPr>
          <w:cantSplit/>
        </w:trPr>
        <w:tc>
          <w:tcPr>
            <w:tcW w:type="dxa" w:w="2208"/>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LATAM</w:t>
            </w:r>
          </w:p>
        </w:tc>
        <w:tc>
          <w:tcPr>
            <w:tcW w:type="dxa" w:w="919"/>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3.702</w:t>
            </w:r>
          </w:p>
        </w:tc>
        <w:tc>
          <w:tcPr>
            <w:tcW w:type="dxa" w:w="919"/>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21,3%</w:t>
            </w:r>
          </w:p>
        </w:tc>
        <w:tc>
          <w:tcPr>
            <w:tcW w:type="dxa" w:w="1103"/>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5.144</w:t>
            </w:r>
          </w:p>
        </w:tc>
        <w:tc>
          <w:tcPr>
            <w:tcW w:type="dxa" w:w="1655"/>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2.164.605</w:t>
            </w:r>
          </w:p>
        </w:tc>
        <w:tc>
          <w:tcPr>
            <w:tcW w:type="dxa" w:w="919"/>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17,1%</w:t>
            </w:r>
          </w:p>
        </w:tc>
        <w:tc>
          <w:tcPr>
            <w:tcW w:type="dxa" w:w="736"/>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421</w:t>
            </w:r>
          </w:p>
        </w:tc>
        <w:tc>
          <w:tcPr>
            <w:tcW w:type="dxa" w:w="1287"/>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10,2%</w:t>
            </w:r>
          </w:p>
        </w:tc>
      </w:tr>
      <w:tr>
        <w:trPr>
          <w:cantSplit/>
        </w:trPr>
        <w:tc>
          <w:tcPr>
            <w:tcW w:type="dxa" w:w="2208"/>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Africa</w:t>
            </w:r>
          </w:p>
        </w:tc>
        <w:tc>
          <w:tcPr>
            <w:tcW w:type="dxa" w:w="919"/>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2.055</w:t>
            </w:r>
          </w:p>
        </w:tc>
        <w:tc>
          <w:tcPr>
            <w:tcW w:type="dxa" w:w="919"/>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11,8%</w:t>
            </w:r>
          </w:p>
        </w:tc>
        <w:tc>
          <w:tcPr>
            <w:tcW w:type="dxa" w:w="1103"/>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2.288</w:t>
            </w:r>
          </w:p>
        </w:tc>
        <w:tc>
          <w:tcPr>
            <w:tcW w:type="dxa" w:w="1655"/>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783.773</w:t>
            </w:r>
          </w:p>
        </w:tc>
        <w:tc>
          <w:tcPr>
            <w:tcW w:type="dxa" w:w="919"/>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6,2%</w:t>
            </w:r>
          </w:p>
        </w:tc>
        <w:tc>
          <w:tcPr>
            <w:tcW w:type="dxa" w:w="736"/>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343</w:t>
            </w:r>
          </w:p>
        </w:tc>
        <w:tc>
          <w:tcPr>
            <w:tcW w:type="dxa" w:w="1287"/>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11,3%</w:t>
            </w:r>
          </w:p>
        </w:tc>
      </w:tr>
    </w:tbl>
    <w:p>
      <w:pPr>
        <w:spacing w:after="200"/>
      </w:pPr>
      <w:r>
        <w:rPr>
          <w:sz w:val="8"/>
          <w:szCs w:val="8"/>
        </w:rPr>
        <w:t xml:space="preserve"/>
      </w:r>
    </w:p>
    <w:p>
      <w:pPr>
        <w:pStyle w:val="Heading2"/>
        <w:spacing w:after="120" w:before="260"/>
      </w:pPr>
      <w:r>
        <w:rPr>
          <w:rFonts w:ascii="Times New Roman" w:cs="Times New Roman" w:eastAsia="Times New Roman" w:hAnsi="Times New Roman"/>
          <w:b/>
          <w:bCs/>
          <w:color w:val="2E5C9A"/>
          <w:sz w:val="25"/>
          <w:szCs w:val="25"/>
        </w:rPr>
        <w:t xml:space="preserve">1.2. Theo quốc gia — mức độ tập trung cao</w:t>
      </w:r>
    </w:p>
    <w:tbl>
      <w:tblPr>
        <w:tblW w:type="dxa" w:w="9746"/>
        <w:tblBorders>
          <w:top w:val="single" w:color="A6B4CC" w:sz="3"/>
          <w:left w:val="single" w:color="A6B4CC" w:sz="3"/>
          <w:bottom w:val="single" w:color="A6B4CC" w:sz="3"/>
          <w:right w:val="single" w:color="A6B4CC" w:sz="3"/>
          <w:insideH w:val="single" w:color="A6B4CC" w:sz="3"/>
          <w:insideV w:val="single" w:color="A6B4CC" w:sz="3"/>
        </w:tblBorders>
      </w:tblPr>
      <w:tblGrid>
        <w:gridCol w:w="537"/>
        <w:gridCol w:w="5724"/>
        <w:gridCol w:w="1702"/>
        <w:gridCol w:w="700"/>
        <w:gridCol w:w="1083"/>
      </w:tblGrid>
      <w:tr>
        <w:trPr>
          <w:tblHeader/>
        </w:trPr>
        <w:tc>
          <w:tcPr>
            <w:tcW w:type="dxa" w:w="537"/>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Hạng</w:t>
            </w:r>
          </w:p>
        </w:tc>
        <w:tc>
          <w:tcPr>
            <w:tcW w:type="dxa" w:w="5724"/>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Quốc gia</w:t>
            </w:r>
          </w:p>
        </w:tc>
        <w:tc>
          <w:tcPr>
            <w:tcW w:type="dxa" w:w="1702"/>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 Doanh thu</w:t>
            </w:r>
          </w:p>
        </w:tc>
        <w:tc>
          <w:tcPr>
            <w:tcW w:type="dxa" w:w="700"/>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AOV</w:t>
            </w:r>
          </w:p>
        </w:tc>
        <w:tc>
          <w:tcPr>
            <w:tcW w:type="dxa" w:w="1083"/>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Biên LN</w:t>
            </w:r>
          </w:p>
        </w:tc>
      </w:tr>
      <w:tr>
        <w:trPr>
          <w:cantSplit/>
        </w:trPr>
        <w:tc>
          <w:tcPr>
            <w:tcW w:type="dxa" w:w="537"/>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1</w:t>
            </w:r>
          </w:p>
        </w:tc>
        <w:tc>
          <w:tcPr>
            <w:tcW w:type="dxa" w:w="5724"/>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Hoa Kỳ</w:t>
            </w:r>
          </w:p>
        </w:tc>
        <w:tc>
          <w:tcPr>
            <w:tcW w:type="dxa" w:w="1702"/>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sz w:val="19"/>
                <w:szCs w:val="19"/>
              </w:rPr>
              <w:t xml:space="preserve">18,2%</w:t>
            </w:r>
          </w:p>
        </w:tc>
        <w:tc>
          <w:tcPr>
            <w:tcW w:type="dxa" w:w="700"/>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460</w:t>
            </w:r>
          </w:p>
        </w:tc>
        <w:tc>
          <w:tcPr>
            <w:tcW w:type="dxa" w:w="1083"/>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12,5%</w:t>
            </w:r>
          </w:p>
        </w:tc>
      </w:tr>
      <w:tr>
        <w:trPr>
          <w:cantSplit/>
        </w:trPr>
        <w:tc>
          <w:tcPr>
            <w:tcW w:type="dxa" w:w="537"/>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2</w:t>
            </w:r>
          </w:p>
        </w:tc>
        <w:tc>
          <w:tcPr>
            <w:tcW w:type="dxa" w:w="5724"/>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Úc</w:t>
            </w:r>
          </w:p>
        </w:tc>
        <w:tc>
          <w:tcPr>
            <w:tcW w:type="dxa" w:w="1702"/>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7,3%</w:t>
            </w:r>
          </w:p>
        </w:tc>
        <w:tc>
          <w:tcPr>
            <w:tcW w:type="dxa" w:w="700"/>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652</w:t>
            </w:r>
          </w:p>
        </w:tc>
        <w:tc>
          <w:tcPr>
            <w:tcW w:type="dxa" w:w="1083"/>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11,2%</w:t>
            </w:r>
          </w:p>
        </w:tc>
      </w:tr>
      <w:tr>
        <w:trPr>
          <w:cantSplit/>
        </w:trPr>
        <w:tc>
          <w:tcPr>
            <w:tcW w:type="dxa" w:w="537"/>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3</w:t>
            </w:r>
          </w:p>
        </w:tc>
        <w:tc>
          <w:tcPr>
            <w:tcW w:type="dxa" w:w="5724"/>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Pháp</w:t>
            </w:r>
          </w:p>
        </w:tc>
        <w:tc>
          <w:tcPr>
            <w:tcW w:type="dxa" w:w="1702"/>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6,8%</w:t>
            </w:r>
          </w:p>
        </w:tc>
        <w:tc>
          <w:tcPr>
            <w:tcW w:type="dxa" w:w="700"/>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583</w:t>
            </w:r>
          </w:p>
        </w:tc>
        <w:tc>
          <w:tcPr>
            <w:tcW w:type="dxa" w:w="1083"/>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12,7%</w:t>
            </w:r>
          </w:p>
        </w:tc>
      </w:tr>
      <w:tr>
        <w:trPr>
          <w:cantSplit/>
        </w:trPr>
        <w:tc>
          <w:tcPr>
            <w:tcW w:type="dxa" w:w="537"/>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4</w:t>
            </w:r>
          </w:p>
        </w:tc>
        <w:tc>
          <w:tcPr>
            <w:tcW w:type="dxa" w:w="5724"/>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Trung Quốc</w:t>
            </w:r>
          </w:p>
        </w:tc>
        <w:tc>
          <w:tcPr>
            <w:tcW w:type="dxa" w:w="1702"/>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5,5%</w:t>
            </w:r>
          </w:p>
        </w:tc>
        <w:tc>
          <w:tcPr>
            <w:tcW w:type="dxa" w:w="700"/>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757</w:t>
            </w:r>
          </w:p>
        </w:tc>
        <w:tc>
          <w:tcPr>
            <w:tcW w:type="dxa" w:w="1083"/>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sz w:val="19"/>
                <w:szCs w:val="19"/>
              </w:rPr>
              <w:t xml:space="preserve">21,5%</w:t>
            </w:r>
          </w:p>
        </w:tc>
      </w:tr>
      <w:tr>
        <w:trPr>
          <w:cantSplit/>
        </w:trPr>
        <w:tc>
          <w:tcPr>
            <w:tcW w:type="dxa" w:w="537"/>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5</w:t>
            </w:r>
          </w:p>
        </w:tc>
        <w:tc>
          <w:tcPr>
            <w:tcW w:type="dxa" w:w="5724"/>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Đức</w:t>
            </w:r>
          </w:p>
        </w:tc>
        <w:tc>
          <w:tcPr>
            <w:tcW w:type="dxa" w:w="1702"/>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5,0%</w:t>
            </w:r>
          </w:p>
        </w:tc>
        <w:tc>
          <w:tcPr>
            <w:tcW w:type="dxa" w:w="700"/>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617</w:t>
            </w:r>
          </w:p>
        </w:tc>
        <w:tc>
          <w:tcPr>
            <w:tcW w:type="dxa" w:w="1083"/>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17,1%</w:t>
            </w:r>
          </w:p>
        </w:tc>
      </w:tr>
      <w:tr>
        <w:trPr>
          <w:cantSplit/>
        </w:trPr>
        <w:tc>
          <w:tcPr>
            <w:tcW w:type="dxa" w:w="537"/>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6–10</w:t>
            </w:r>
          </w:p>
        </w:tc>
        <w:tc>
          <w:tcPr>
            <w:tcW w:type="dxa" w:w="5724"/>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Mexico, Ấn Độ, Anh, Indonesia, Brazil</w:t>
            </w:r>
          </w:p>
        </w:tc>
        <w:tc>
          <w:tcPr>
            <w:tcW w:type="dxa" w:w="1702"/>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19,8%</w:t>
            </w:r>
          </w:p>
        </w:tc>
        <w:tc>
          <w:tcPr>
            <w:tcW w:type="dxa" w:w="700"/>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w:t>
            </w:r>
          </w:p>
        </w:tc>
        <w:tc>
          <w:tcPr>
            <w:tcW w:type="dxa" w:w="1083"/>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w:t>
            </w:r>
          </w:p>
        </w:tc>
      </w:tr>
    </w:tbl>
    <w:p>
      <w:pPr>
        <w:spacing w:after="200"/>
      </w:pPr>
      <w:r>
        <w:rPr>
          <w:sz w:val="8"/>
          <w:szCs w:val="8"/>
        </w:rPr>
        <w:t xml:space="preserve"/>
      </w:r>
    </w:p>
    <w:p>
      <w:pPr>
        <w:pBdr>
          <w:left w:val="single" w:color="C8A020" w:sz="18" w:space="8"/>
        </w:pBdr>
        <w:shd w:fill="FDF3D8" w:color="auto" w:val="clear"/>
        <w:spacing w:after="40" w:before="60" w:line="290"/>
        <w:ind w:left="280" w:right="200"/>
      </w:pPr>
      <w:r>
        <w:rPr>
          <w:rFonts w:ascii="Times New Roman" w:cs="Times New Roman" w:eastAsia="Times New Roman" w:hAnsi="Times New Roman"/>
          <w:b/>
          <w:bCs/>
          <w:sz w:val="21"/>
          <w:szCs w:val="21"/>
        </w:rPr>
        <w:t xml:space="preserve">Top 5 quốc gia = 42,8% doanh thu; Top 10 = 62,6%</w:t>
      </w:r>
      <w:r>
        <w:rPr>
          <w:rFonts w:ascii="Times New Roman" w:cs="Times New Roman" w:eastAsia="Times New Roman" w:hAnsi="Times New Roman"/>
          <w:sz w:val="21"/>
          <w:szCs w:val="21"/>
        </w:rPr>
        <w:t xml:space="preserve"> trong khi có tới 165 quốc gia.</w:t>
      </w:r>
    </w:p>
    <w:p>
      <w:pPr>
        <w:pBdr>
          <w:left w:val="single" w:color="C8A020" w:sz="18" w:space="8"/>
        </w:pBdr>
        <w:shd w:fill="FDF3D8" w:color="auto" w:val="clear"/>
        <w:spacing w:after="60" w:before="40" w:line="290"/>
        <w:ind w:left="280" w:right="200"/>
      </w:pPr>
      <w:r>
        <w:rPr>
          <w:rFonts w:ascii="Times New Roman" w:cs="Times New Roman" w:eastAsia="Times New Roman" w:hAnsi="Times New Roman"/>
          <w:sz w:val="21"/>
          <w:szCs w:val="21"/>
        </w:rPr>
        <w:t xml:space="preserve">Đây là phân bố </w:t>
      </w:r>
      <w:r>
        <w:rPr>
          <w:rFonts w:ascii="Times New Roman" w:cs="Times New Roman" w:eastAsia="Times New Roman" w:hAnsi="Times New Roman"/>
          <w:b/>
          <w:bCs/>
          <w:sz w:val="21"/>
          <w:szCs w:val="21"/>
        </w:rPr>
        <w:t xml:space="preserve">"đầu dài – đuôi mỏng"</w:t>
      </w:r>
      <w:r>
        <w:rPr>
          <w:rFonts w:ascii="Times New Roman" w:cs="Times New Roman" w:eastAsia="Times New Roman" w:hAnsi="Times New Roman"/>
          <w:sz w:val="21"/>
          <w:szCs w:val="21"/>
        </w:rPr>
        <w:t xml:space="preserve"> rất rõ: doanh nghiệp phủ rộng nhưng doanh thu dồn vào một nhóm nhỏ thị trường lõi.</w:t>
      </w:r>
    </w:p>
    <w:p>
      <w:pPr>
        <w:spacing w:after="160"/>
      </w:pPr>
      <w:r>
        <w:rPr>
          <w:sz w:val="8"/>
          <w:szCs w:val="8"/>
        </w:rPr>
        <w:t xml:space="preserve"/>
      </w:r>
    </w:p>
    <w:p>
      <w:pPr>
        <w:pStyle w:val="Heading2"/>
        <w:spacing w:after="120" w:before="260"/>
      </w:pPr>
      <w:r>
        <w:rPr>
          <w:rFonts w:ascii="Times New Roman" w:cs="Times New Roman" w:eastAsia="Times New Roman" w:hAnsi="Times New Roman"/>
          <w:b/>
          <w:bCs/>
          <w:color w:val="2E5C9A"/>
          <w:sz w:val="25"/>
          <w:szCs w:val="25"/>
        </w:rPr>
        <w:t xml:space="preserve">1.3. Theo vùng (Region) — 3 vùng dẫn đầu</w:t>
      </w:r>
    </w:p>
    <w:p>
      <w:pPr>
        <w:pStyle w:val="ListParagraph"/>
        <w:numPr>
          <w:ilvl w:val="0"/>
          <w:numId w:val="2"/>
        </w:numPr>
        <w:spacing w:after="40" w:before="40" w:line="300"/>
      </w:pPr>
      <w:r>
        <w:rPr>
          <w:rFonts w:ascii="Times New Roman" w:cs="Times New Roman" w:eastAsia="Times New Roman" w:hAnsi="Times New Roman"/>
          <w:b/>
          <w:bCs/>
          <w:sz w:val="22"/>
          <w:szCs w:val="22"/>
        </w:rPr>
        <w:t xml:space="preserve">Western Europe</w:t>
      </w:r>
      <w:r>
        <w:rPr>
          <w:rFonts w:ascii="Times New Roman" w:cs="Times New Roman" w:eastAsia="Times New Roman" w:hAnsi="Times New Roman"/>
          <w:sz w:val="22"/>
          <w:szCs w:val="22"/>
        </w:rPr>
        <w:t xml:space="preserve"> — 13,7% DT (Pháp, Đức, Anh)</w:t>
      </w:r>
    </w:p>
    <w:p>
      <w:pPr>
        <w:pStyle w:val="ListParagraph"/>
        <w:numPr>
          <w:ilvl w:val="0"/>
          <w:numId w:val="2"/>
        </w:numPr>
        <w:spacing w:after="40" w:before="40" w:line="300"/>
      </w:pPr>
      <w:r>
        <w:rPr>
          <w:rFonts w:ascii="Times New Roman" w:cs="Times New Roman" w:eastAsia="Times New Roman" w:hAnsi="Times New Roman"/>
          <w:b/>
          <w:bCs/>
          <w:sz w:val="22"/>
          <w:szCs w:val="22"/>
        </w:rPr>
        <w:t xml:space="preserve">Central America</w:t>
      </w:r>
      <w:r>
        <w:rPr>
          <w:rFonts w:ascii="Times New Roman" w:cs="Times New Roman" w:eastAsia="Times New Roman" w:hAnsi="Times New Roman"/>
          <w:sz w:val="22"/>
          <w:szCs w:val="22"/>
        </w:rPr>
        <w:t xml:space="preserve"> — 9,7% DT (Mexico, El Salvador)</w:t>
      </w:r>
    </w:p>
    <w:p>
      <w:pPr>
        <w:pStyle w:val="ListParagraph"/>
        <w:numPr>
          <w:ilvl w:val="0"/>
          <w:numId w:val="2"/>
        </w:numPr>
        <w:spacing w:after="40" w:before="40" w:line="300"/>
      </w:pPr>
      <w:r>
        <w:rPr>
          <w:rFonts w:ascii="Times New Roman" w:cs="Times New Roman" w:eastAsia="Times New Roman" w:hAnsi="Times New Roman"/>
          <w:b/>
          <w:bCs/>
          <w:sz w:val="22"/>
          <w:szCs w:val="22"/>
        </w:rPr>
        <w:t xml:space="preserve">Oceania</w:t>
      </w:r>
      <w:r>
        <w:rPr>
          <w:rFonts w:ascii="Times New Roman" w:cs="Times New Roman" w:eastAsia="Times New Roman" w:hAnsi="Times New Roman"/>
          <w:sz w:val="22"/>
          <w:szCs w:val="22"/>
        </w:rPr>
        <w:t xml:space="preserve"> — 8,7% DT, AOV cao thứ nhì (631)</w:t>
      </w:r>
    </w:p>
    <w:p>
      <w:pPr>
        <w:spacing w:after="120" w:before="60" w:line="300"/>
        <w:jc w:val="both"/>
      </w:pPr>
      <w:r>
        <w:rPr>
          <w:rFonts w:ascii="Times New Roman" w:cs="Times New Roman" w:eastAsia="Times New Roman" w:hAnsi="Times New Roman"/>
          <w:sz w:val="22"/>
          <w:szCs w:val="22"/>
        </w:rPr>
        <w:t xml:space="preserve">Hai vùng có AOV cao nhất là </w:t>
      </w:r>
      <w:r>
        <w:rPr>
          <w:rFonts w:ascii="Times New Roman" w:cs="Times New Roman" w:eastAsia="Times New Roman" w:hAnsi="Times New Roman"/>
          <w:b/>
          <w:bCs/>
          <w:sz w:val="22"/>
          <w:szCs w:val="22"/>
        </w:rPr>
        <w:t xml:space="preserve">Eastern Asia (736)</w:t>
      </w:r>
      <w:r>
        <w:rPr>
          <w:rFonts w:ascii="Times New Roman" w:cs="Times New Roman" w:eastAsia="Times New Roman" w:hAnsi="Times New Roman"/>
          <w:sz w:val="22"/>
          <w:szCs w:val="22"/>
        </w:rPr>
        <w:t xml:space="preserve"> và </w:t>
      </w:r>
      <w:r>
        <w:rPr>
          <w:rFonts w:ascii="Times New Roman" w:cs="Times New Roman" w:eastAsia="Times New Roman" w:hAnsi="Times New Roman"/>
          <w:b/>
          <w:bCs/>
          <w:sz w:val="22"/>
          <w:szCs w:val="22"/>
        </w:rPr>
        <w:t xml:space="preserve">Southern Asia (644)</w:t>
      </w:r>
      <w:r>
        <w:rPr>
          <w:rFonts w:ascii="Times New Roman" w:cs="Times New Roman" w:eastAsia="Times New Roman" w:hAnsi="Times New Roman"/>
          <w:sz w:val="22"/>
          <w:szCs w:val="22"/>
        </w:rPr>
        <w:t xml:space="preserve">, đồng thời biên lợi nhuận tốt nhất (19,5% và 18,4%) → đây là vùng "chất lượng cao".</w:t>
      </w:r>
    </w:p>
    <w:p>
      <w:pPr>
        <w:pStyle w:val="Heading2"/>
        <w:spacing w:after="120" w:before="260"/>
      </w:pPr>
      <w:r>
        <w:rPr>
          <w:rFonts w:ascii="Times New Roman" w:cs="Times New Roman" w:eastAsia="Times New Roman" w:hAnsi="Times New Roman"/>
          <w:b/>
          <w:bCs/>
          <w:color w:val="2E5C9A"/>
          <w:sz w:val="25"/>
          <w:szCs w:val="25"/>
        </w:rPr>
        <w:t xml:space="preserve">1.4. Theo thành phố — phân tán, không có cụm đô thị thống trị</w:t>
      </w:r>
    </w:p>
    <w:tbl>
      <w:tblPr>
        <w:tblW w:type="dxa" w:w="9746"/>
        <w:tblBorders>
          <w:top w:val="single" w:color="A6B4CC" w:sz="3"/>
          <w:left w:val="single" w:color="A6B4CC" w:sz="3"/>
          <w:bottom w:val="single" w:color="A6B4CC" w:sz="3"/>
          <w:right w:val="single" w:color="A6B4CC" w:sz="3"/>
          <w:insideH w:val="single" w:color="A6B4CC" w:sz="3"/>
          <w:insideV w:val="single" w:color="A6B4CC" w:sz="3"/>
        </w:tblBorders>
      </w:tblPr>
      <w:tblGrid>
        <w:gridCol w:w="5279"/>
        <w:gridCol w:w="1624"/>
        <w:gridCol w:w="2843"/>
      </w:tblGrid>
      <w:tr>
        <w:trPr>
          <w:tblHeader/>
        </w:trPr>
        <w:tc>
          <w:tcPr>
            <w:tcW w:type="dxa" w:w="5279"/>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Thành phố</w:t>
            </w:r>
          </w:p>
        </w:tc>
        <w:tc>
          <w:tcPr>
            <w:tcW w:type="dxa" w:w="1624"/>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 DT</w:t>
            </w:r>
          </w:p>
        </w:tc>
        <w:tc>
          <w:tcPr>
            <w:tcW w:type="dxa" w:w="2843"/>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Biên LN</w:t>
            </w:r>
          </w:p>
        </w:tc>
      </w:tr>
      <w:tr>
        <w:trPr>
          <w:cantSplit/>
        </w:trPr>
        <w:tc>
          <w:tcPr>
            <w:tcW w:type="dxa" w:w="5279"/>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New York City</w:t>
            </w:r>
          </w:p>
        </w:tc>
        <w:tc>
          <w:tcPr>
            <w:tcW w:type="dxa" w:w="1624"/>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2,0%</w:t>
            </w:r>
          </w:p>
        </w:tc>
        <w:tc>
          <w:tcPr>
            <w:tcW w:type="dxa" w:w="2843"/>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24,2%</w:t>
            </w:r>
          </w:p>
        </w:tc>
      </w:tr>
      <w:tr>
        <w:trPr>
          <w:cantSplit/>
        </w:trPr>
        <w:tc>
          <w:tcPr>
            <w:tcW w:type="dxa" w:w="5279"/>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Los Angeles</w:t>
            </w:r>
          </w:p>
        </w:tc>
        <w:tc>
          <w:tcPr>
            <w:tcW w:type="dxa" w:w="1624"/>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1,4%</w:t>
            </w:r>
          </w:p>
        </w:tc>
        <w:tc>
          <w:tcPr>
            <w:tcW w:type="dxa" w:w="2843"/>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17,3%</w:t>
            </w:r>
          </w:p>
        </w:tc>
      </w:tr>
      <w:tr>
        <w:trPr>
          <w:cantSplit/>
        </w:trPr>
        <w:tc>
          <w:tcPr>
            <w:tcW w:type="dxa" w:w="5279"/>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Manila</w:t>
            </w:r>
          </w:p>
        </w:tc>
        <w:tc>
          <w:tcPr>
            <w:tcW w:type="dxa" w:w="1624"/>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1,0%</w:t>
            </w:r>
          </w:p>
        </w:tc>
        <w:tc>
          <w:tcPr>
            <w:tcW w:type="dxa" w:w="2843"/>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sz w:val="19"/>
                <w:szCs w:val="19"/>
              </w:rPr>
              <w:t xml:space="preserve">–9,2%</w:t>
            </w:r>
          </w:p>
        </w:tc>
      </w:tr>
      <w:tr>
        <w:trPr>
          <w:cantSplit/>
        </w:trPr>
        <w:tc>
          <w:tcPr>
            <w:tcW w:type="dxa" w:w="5279"/>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Seattle</w:t>
            </w:r>
          </w:p>
        </w:tc>
        <w:tc>
          <w:tcPr>
            <w:tcW w:type="dxa" w:w="1624"/>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0,9%</w:t>
            </w:r>
          </w:p>
        </w:tc>
        <w:tc>
          <w:tcPr>
            <w:tcW w:type="dxa" w:w="2843"/>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24,4%</w:t>
            </w:r>
          </w:p>
        </w:tc>
      </w:tr>
      <w:tr>
        <w:trPr>
          <w:cantSplit/>
        </w:trPr>
        <w:tc>
          <w:tcPr>
            <w:tcW w:type="dxa" w:w="5279"/>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San Francisco</w:t>
            </w:r>
          </w:p>
        </w:tc>
        <w:tc>
          <w:tcPr>
            <w:tcW w:type="dxa" w:w="1624"/>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0,9%</w:t>
            </w:r>
          </w:p>
        </w:tc>
        <w:tc>
          <w:tcPr>
            <w:tcW w:type="dxa" w:w="2843"/>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15,5%</w:t>
            </w:r>
          </w:p>
        </w:tc>
      </w:tr>
      <w:tr>
        <w:trPr>
          <w:cantSplit/>
        </w:trPr>
        <w:tc>
          <w:tcPr>
            <w:tcW w:type="dxa" w:w="5279"/>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Philadelphia</w:t>
            </w:r>
          </w:p>
        </w:tc>
        <w:tc>
          <w:tcPr>
            <w:tcW w:type="dxa" w:w="1624"/>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0,9%</w:t>
            </w:r>
          </w:p>
        </w:tc>
        <w:tc>
          <w:tcPr>
            <w:tcW w:type="dxa" w:w="2843"/>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sz w:val="19"/>
                <w:szCs w:val="19"/>
              </w:rPr>
              <w:t xml:space="preserve">–12,7%</w:t>
            </w:r>
          </w:p>
        </w:tc>
      </w:tr>
    </w:tbl>
    <w:p>
      <w:pPr>
        <w:spacing w:after="200"/>
      </w:pPr>
      <w:r>
        <w:rPr>
          <w:sz w:val="8"/>
          <w:szCs w:val="8"/>
        </w:rPr>
        <w:t xml:space="preserve"/>
      </w:r>
    </w:p>
    <w:p>
      <w:pPr>
        <w:pBdr>
          <w:left w:val="single" w:color="C8A020" w:sz="18" w:space="8"/>
        </w:pBdr>
        <w:shd w:fill="FDF3D8" w:color="auto" w:val="clear"/>
        <w:spacing w:after="40" w:before="60" w:line="290"/>
        <w:ind w:left="280" w:right="200"/>
      </w:pPr>
      <w:r>
        <w:rPr>
          <w:rFonts w:ascii="Times New Roman" w:cs="Times New Roman" w:eastAsia="Times New Roman" w:hAnsi="Times New Roman"/>
          <w:b/>
          <w:bCs/>
          <w:sz w:val="21"/>
          <w:szCs w:val="21"/>
        </w:rPr>
        <w:t xml:space="preserve">Top 10 thành phố chỉ chiếm 10,0% doanh thu, Top 50 chiếm 25,8%.</w:t>
      </w:r>
    </w:p>
    <w:p>
      <w:pPr>
        <w:pBdr>
          <w:left w:val="single" w:color="C8A020" w:sz="18" w:space="8"/>
        </w:pBdr>
        <w:shd w:fill="FDF3D8" w:color="auto" w:val="clear"/>
        <w:spacing w:after="60" w:before="40" w:line="290"/>
        <w:ind w:left="280" w:right="200"/>
      </w:pPr>
      <w:r>
        <w:rPr>
          <w:rFonts w:ascii="Times New Roman" w:cs="Times New Roman" w:eastAsia="Times New Roman" w:hAnsi="Times New Roman"/>
          <w:sz w:val="21"/>
          <w:szCs w:val="21"/>
        </w:rPr>
        <w:t xml:space="preserve">Ngược với cấp quốc gia, ở cấp thành phố khách hàng </w:t>
      </w:r>
      <w:r>
        <w:rPr>
          <w:rFonts w:ascii="Times New Roman" w:cs="Times New Roman" w:eastAsia="Times New Roman" w:hAnsi="Times New Roman"/>
          <w:b/>
          <w:bCs/>
          <w:sz w:val="21"/>
          <w:szCs w:val="21"/>
        </w:rPr>
        <w:t xml:space="preserve">rất phân tán</w:t>
      </w:r>
      <w:r>
        <w:rPr>
          <w:rFonts w:ascii="Times New Roman" w:cs="Times New Roman" w:eastAsia="Times New Roman" w:hAnsi="Times New Roman"/>
          <w:sz w:val="21"/>
          <w:szCs w:val="21"/>
        </w:rPr>
        <w:t xml:space="preserve">. Hàm ý: marketing nên nhắm theo </w:t>
      </w:r>
      <w:r>
        <w:rPr>
          <w:rFonts w:ascii="Times New Roman" w:cs="Times New Roman" w:eastAsia="Times New Roman" w:hAnsi="Times New Roman"/>
          <w:b/>
          <w:bCs/>
          <w:sz w:val="21"/>
          <w:szCs w:val="21"/>
        </w:rPr>
        <w:t xml:space="preserve">quốc gia/vùng</w:t>
      </w:r>
      <w:r>
        <w:rPr>
          <w:rFonts w:ascii="Times New Roman" w:cs="Times New Roman" w:eastAsia="Times New Roman" w:hAnsi="Times New Roman"/>
          <w:sz w:val="21"/>
          <w:szCs w:val="21"/>
        </w:rPr>
        <w:t xml:space="preserve">, không nên nhắm theo thành phố (trừ NYC và LA).</w:t>
      </w:r>
    </w:p>
    <w:p>
      <w:pPr>
        <w:spacing w:after="160"/>
      </w:pPr>
      <w:r>
        <w:rPr>
          <w:sz w:val="8"/>
          <w:szCs w:val="8"/>
        </w:rPr>
        <w:t xml:space="preserve"/>
      </w:r>
    </w:p>
    <w:p>
      <w:pPr>
        <w:pStyle w:val="Heading2"/>
        <w:spacing w:after="120" w:before="260"/>
      </w:pPr>
      <w:r>
        <w:rPr>
          <w:rFonts w:ascii="Times New Roman" w:cs="Times New Roman" w:eastAsia="Times New Roman" w:hAnsi="Times New Roman"/>
          <w:b/>
          <w:bCs/>
          <w:color w:val="2E5C9A"/>
          <w:sz w:val="25"/>
          <w:szCs w:val="25"/>
        </w:rPr>
        <w:t xml:space="preserve">1.5. Theo phân khúc (Segment)</w:t>
      </w:r>
    </w:p>
    <w:p>
      <w:pPr>
        <w:spacing w:after="120" w:before="60" w:line="300"/>
        <w:jc w:val="both"/>
      </w:pPr>
      <w:r>
        <w:rPr>
          <w:rFonts w:ascii="Times New Roman" w:cs="Times New Roman" w:eastAsia="Times New Roman" w:hAnsi="Times New Roman"/>
          <w:sz w:val="22"/>
          <w:szCs w:val="22"/>
        </w:rPr>
        <w:t xml:space="preserve">Consumer 51,6% KH – Corporate 30,0% – Home Office 18,4%. Tỷ trọng doanh thu </w:t>
      </w:r>
      <w:r>
        <w:rPr>
          <w:rFonts w:ascii="Times New Roman" w:cs="Times New Roman" w:eastAsia="Times New Roman" w:hAnsi="Times New Roman"/>
          <w:b/>
          <w:bCs/>
          <w:sz w:val="22"/>
          <w:szCs w:val="22"/>
        </w:rPr>
        <w:t xml:space="preserve">gần như trùng khớp</w:t>
      </w:r>
      <w:r>
        <w:rPr>
          <w:rFonts w:ascii="Times New Roman" w:cs="Times New Roman" w:eastAsia="Times New Roman" w:hAnsi="Times New Roman"/>
          <w:sz w:val="22"/>
          <w:szCs w:val="22"/>
        </w:rPr>
        <w:t xml:space="preserve"> tỷ trọng khách hàng (51,5% / 30,3% / 18,3%) và AOV gần bằng nhau (490–495) → </w:t>
      </w:r>
      <w:r>
        <w:rPr>
          <w:rFonts w:ascii="Times New Roman" w:cs="Times New Roman" w:eastAsia="Times New Roman" w:hAnsi="Times New Roman"/>
          <w:b/>
          <w:bCs/>
          <w:sz w:val="22"/>
          <w:szCs w:val="22"/>
        </w:rPr>
        <w:t xml:space="preserve">phân khúc không phải là biến phân hóa hành vi</w:t>
      </w:r>
      <w:r>
        <w:rPr>
          <w:rFonts w:ascii="Times New Roman" w:cs="Times New Roman" w:eastAsia="Times New Roman" w:hAnsi="Times New Roman"/>
          <w:sz w:val="22"/>
          <w:szCs w:val="22"/>
        </w:rPr>
        <w:t xml:space="preserve">.</w:t>
      </w:r>
    </w:p>
    <w:p>
      <w:pPr>
        <w:pStyle w:val="Heading2"/>
        <w:spacing w:after="120" w:before="260"/>
      </w:pPr>
      <w:r>
        <w:rPr>
          <w:rFonts w:ascii="Times New Roman" w:cs="Times New Roman" w:eastAsia="Times New Roman" w:hAnsi="Times New Roman"/>
          <w:b/>
          <w:bCs/>
          <w:color w:val="2E5C9A"/>
          <w:sz w:val="25"/>
          <w:szCs w:val="25"/>
        </w:rPr>
        <w:t xml:space="preserve">1.6. Cảnh báo: vùng tăng trưởng ≠ vùng sinh lời</w:t>
      </w:r>
    </w:p>
    <w:p>
      <w:pPr>
        <w:spacing w:after="120" w:before="60" w:line="300"/>
        <w:jc w:val="both"/>
      </w:pPr>
      <w:r>
        <w:rPr>
          <w:rFonts w:ascii="Times New Roman" w:cs="Times New Roman" w:eastAsia="Times New Roman" w:hAnsi="Times New Roman"/>
          <w:sz w:val="22"/>
          <w:szCs w:val="22"/>
        </w:rPr>
        <w:t xml:space="preserve">Các quốc gia </w:t>
      </w:r>
      <w:r>
        <w:rPr>
          <w:rFonts w:ascii="Times New Roman" w:cs="Times New Roman" w:eastAsia="Times New Roman" w:hAnsi="Times New Roman"/>
          <w:b/>
          <w:bCs/>
          <w:sz w:val="22"/>
          <w:szCs w:val="22"/>
        </w:rPr>
        <w:t xml:space="preserve">lỗ nặng nhất</w:t>
      </w:r>
      <w:r>
        <w:rPr>
          <w:rFonts w:ascii="Times New Roman" w:cs="Times New Roman" w:eastAsia="Times New Roman" w:hAnsi="Times New Roman"/>
          <w:sz w:val="22"/>
          <w:szCs w:val="22"/>
        </w:rPr>
        <w:t xml:space="preserve">: Thổ Nhĩ Kỳ (–98.447, biên –90,7%), Nigeria (–80.751, biên –148,6%), Hà Lan (–41.070), Honduras (–29.482). Southeastern Asia chỉ đạt biên 2,0% dù chiếm 7,0% doanh thu.</w:t>
      </w:r>
    </w:p>
    <w:p>
      <w:pPr>
        <w:spacing w:after="120" w:before="60" w:line="300"/>
        <w:jc w:val="both"/>
      </w:pPr>
      <w:r>
        <w:rPr>
          <w:rFonts w:ascii="Times New Roman" w:cs="Times New Roman" w:eastAsia="Times New Roman" w:hAnsi="Times New Roman"/>
          <w:b/>
          <w:bCs/>
          <w:sz w:val="22"/>
          <w:szCs w:val="22"/>
        </w:rPr>
        <w:t xml:space="preserve">➡️ Kết luận câu 1:</w:t>
      </w:r>
      <w:r>
        <w:rPr>
          <w:rFonts w:ascii="Times New Roman" w:cs="Times New Roman" w:eastAsia="Times New Roman" w:hAnsi="Times New Roman"/>
          <w:sz w:val="22"/>
          <w:szCs w:val="22"/>
        </w:rPr>
        <w:t xml:space="preserve"> Khách hàng tập trung ở </w:t>
      </w:r>
      <w:r>
        <w:rPr>
          <w:rFonts w:ascii="Times New Roman" w:cs="Times New Roman" w:eastAsia="Times New Roman" w:hAnsi="Times New Roman"/>
          <w:b/>
          <w:bCs/>
          <w:sz w:val="22"/>
          <w:szCs w:val="22"/>
        </w:rPr>
        <w:t xml:space="preserve">Asia Pacific và Europe (58% doanh thu)</w:t>
      </w:r>
      <w:r>
        <w:rPr>
          <w:rFonts w:ascii="Times New Roman" w:cs="Times New Roman" w:eastAsia="Times New Roman" w:hAnsi="Times New Roman"/>
          <w:sz w:val="22"/>
          <w:szCs w:val="22"/>
        </w:rPr>
        <w:t xml:space="preserve">, với </w:t>
      </w:r>
      <w:r>
        <w:rPr>
          <w:rFonts w:ascii="Times New Roman" w:cs="Times New Roman" w:eastAsia="Times New Roman" w:hAnsi="Times New Roman"/>
          <w:b/>
          <w:bCs/>
          <w:sz w:val="22"/>
          <w:szCs w:val="22"/>
        </w:rPr>
        <w:t xml:space="preserve">Hoa Kỳ là thị trường đơn lẻ lớn nhất (18,2%)</w:t>
      </w:r>
      <w:r>
        <w:rPr>
          <w:rFonts w:ascii="Times New Roman" w:cs="Times New Roman" w:eastAsia="Times New Roman" w:hAnsi="Times New Roman"/>
          <w:sz w:val="22"/>
          <w:szCs w:val="22"/>
        </w:rPr>
        <w:t xml:space="preserve">. Tập trung cao ở cấp quốc gia nhưng phân tán ở cấp thành phố. Nhóm thị trường "vừa lớn vừa lời" là Trung Quốc, Ấn Độ, Anh, Đức; nhóm cần rà soát giá/chi phí là Thổ Nhĩ Kỳ, Nigeria, Hà Lan.</w:t>
      </w:r>
    </w:p>
    <w:p>
      <w:r>
        <w:br w:type="page"/>
      </w:r>
    </w:p>
    <w:p>
      <w:pPr>
        <w:pStyle w:val="Heading1"/>
        <w:pBdr>
          <w:bottom w:val="single" w:color="1F3864" w:sz="12" w:space="6"/>
        </w:pBdr>
        <w:spacing w:after="160" w:before="160"/>
      </w:pPr>
      <w:r>
        <w:rPr>
          <w:rFonts w:ascii="Times New Roman" w:cs="Times New Roman" w:eastAsia="Times New Roman" w:hAnsi="Times New Roman"/>
          <w:b/>
          <w:bCs/>
          <w:color w:val="1F3864"/>
          <w:sz w:val="30"/>
          <w:szCs w:val="30"/>
        </w:rPr>
        <w:t xml:space="preserve">CÂU 2 — KHÁCH HÀNG THƯỜNG MUA GÌ?</w:t>
      </w:r>
    </w:p>
    <w:p>
      <w:pPr>
        <w:pStyle w:val="Heading2"/>
        <w:spacing w:after="120" w:before="260"/>
      </w:pPr>
      <w:r>
        <w:rPr>
          <w:rFonts w:ascii="Times New Roman" w:cs="Times New Roman" w:eastAsia="Times New Roman" w:hAnsi="Times New Roman"/>
          <w:b/>
          <w:bCs/>
          <w:color w:val="2E5C9A"/>
          <w:sz w:val="25"/>
          <w:szCs w:val="25"/>
        </w:rPr>
        <w:t xml:space="preserve">2.1. Theo danh mục (Category) — nghịch lý doanh thu vs sản lượng</w:t>
      </w:r>
    </w:p>
    <w:tbl>
      <w:tblPr>
        <w:tblW w:type="dxa" w:w="9746"/>
        <w:tblBorders>
          <w:top w:val="single" w:color="A6B4CC" w:sz="3"/>
          <w:left w:val="single" w:color="A6B4CC" w:sz="3"/>
          <w:bottom w:val="single" w:color="A6B4CC" w:sz="3"/>
          <w:right w:val="single" w:color="A6B4CC" w:sz="3"/>
          <w:insideH w:val="single" w:color="A6B4CC" w:sz="3"/>
          <w:insideV w:val="single" w:color="A6B4CC" w:sz="3"/>
        </w:tblBorders>
      </w:tblPr>
      <w:tblGrid>
        <w:gridCol w:w="2358"/>
        <w:gridCol w:w="1415"/>
        <w:gridCol w:w="1729"/>
        <w:gridCol w:w="1729"/>
        <w:gridCol w:w="1415"/>
        <w:gridCol w:w="1100"/>
      </w:tblGrid>
      <w:tr>
        <w:trPr>
          <w:tblHeader/>
        </w:trPr>
        <w:tc>
          <w:tcPr>
            <w:tcW w:type="dxa" w:w="2358"/>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Category</w:t>
            </w:r>
          </w:p>
        </w:tc>
        <w:tc>
          <w:tcPr>
            <w:tcW w:type="dxa" w:w="1415"/>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 số dòng</w:t>
            </w:r>
          </w:p>
        </w:tc>
        <w:tc>
          <w:tcPr>
            <w:tcW w:type="dxa" w:w="1729"/>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 sản lượng</w:t>
            </w:r>
          </w:p>
        </w:tc>
        <w:tc>
          <w:tcPr>
            <w:tcW w:type="dxa" w:w="1729"/>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 doanh thu</w:t>
            </w:r>
          </w:p>
        </w:tc>
        <w:tc>
          <w:tcPr>
            <w:tcW w:type="dxa" w:w="1415"/>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Giá TB/SP</w:t>
            </w:r>
          </w:p>
        </w:tc>
        <w:tc>
          <w:tcPr>
            <w:tcW w:type="dxa" w:w="1100"/>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Biên LN</w:t>
            </w:r>
          </w:p>
        </w:tc>
      </w:tr>
      <w:tr>
        <w:trPr>
          <w:cantSplit/>
        </w:trPr>
        <w:tc>
          <w:tcPr>
            <w:tcW w:type="dxa" w:w="2358"/>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Office Supplies</w:t>
            </w:r>
          </w:p>
        </w:tc>
        <w:tc>
          <w:tcPr>
            <w:tcW w:type="dxa" w:w="1415"/>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sz w:val="19"/>
                <w:szCs w:val="19"/>
              </w:rPr>
              <w:t xml:space="preserve">61,0%</w:t>
            </w:r>
          </w:p>
        </w:tc>
        <w:tc>
          <w:tcPr>
            <w:tcW w:type="dxa" w:w="1729"/>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sz w:val="19"/>
                <w:szCs w:val="19"/>
              </w:rPr>
              <w:t xml:space="preserve">60,7%</w:t>
            </w:r>
          </w:p>
        </w:tc>
        <w:tc>
          <w:tcPr>
            <w:tcW w:type="dxa" w:w="1729"/>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30,0%</w:t>
            </w:r>
          </w:p>
        </w:tc>
        <w:tc>
          <w:tcPr>
            <w:tcW w:type="dxa" w:w="1415"/>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35</w:t>
            </w:r>
          </w:p>
        </w:tc>
        <w:tc>
          <w:tcPr>
            <w:tcW w:type="dxa" w:w="1100"/>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13,7%</w:t>
            </w:r>
          </w:p>
        </w:tc>
      </w:tr>
      <w:tr>
        <w:trPr>
          <w:cantSplit/>
        </w:trPr>
        <w:tc>
          <w:tcPr>
            <w:tcW w:type="dxa" w:w="2358"/>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Technology</w:t>
            </w:r>
          </w:p>
        </w:tc>
        <w:tc>
          <w:tcPr>
            <w:tcW w:type="dxa" w:w="1415"/>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19,8%</w:t>
            </w:r>
          </w:p>
        </w:tc>
        <w:tc>
          <w:tcPr>
            <w:tcW w:type="dxa" w:w="1729"/>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19,7%</w:t>
            </w:r>
          </w:p>
        </w:tc>
        <w:tc>
          <w:tcPr>
            <w:tcW w:type="dxa" w:w="1729"/>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sz w:val="19"/>
                <w:szCs w:val="19"/>
              </w:rPr>
              <w:t xml:space="preserve">37,5%</w:t>
            </w:r>
          </w:p>
        </w:tc>
        <w:tc>
          <w:tcPr>
            <w:tcW w:type="dxa" w:w="1415"/>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135</w:t>
            </w:r>
          </w:p>
        </w:tc>
        <w:tc>
          <w:tcPr>
            <w:tcW w:type="dxa" w:w="1100"/>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sz w:val="19"/>
                <w:szCs w:val="19"/>
              </w:rPr>
              <w:t xml:space="preserve">14,0%</w:t>
            </w:r>
          </w:p>
        </w:tc>
      </w:tr>
      <w:tr>
        <w:trPr>
          <w:cantSplit/>
        </w:trPr>
        <w:tc>
          <w:tcPr>
            <w:tcW w:type="dxa" w:w="2358"/>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Furniture</w:t>
            </w:r>
          </w:p>
        </w:tc>
        <w:tc>
          <w:tcPr>
            <w:tcW w:type="dxa" w:w="1415"/>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19,2%</w:t>
            </w:r>
          </w:p>
        </w:tc>
        <w:tc>
          <w:tcPr>
            <w:tcW w:type="dxa" w:w="1729"/>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19,6%</w:t>
            </w:r>
          </w:p>
        </w:tc>
        <w:tc>
          <w:tcPr>
            <w:tcW w:type="dxa" w:w="1729"/>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32,5%</w:t>
            </w:r>
          </w:p>
        </w:tc>
        <w:tc>
          <w:tcPr>
            <w:tcW w:type="dxa" w:w="1415"/>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118</w:t>
            </w:r>
          </w:p>
        </w:tc>
        <w:tc>
          <w:tcPr>
            <w:tcW w:type="dxa" w:w="1100"/>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sz w:val="19"/>
                <w:szCs w:val="19"/>
              </w:rPr>
              <w:t xml:space="preserve">6,9%</w:t>
            </w:r>
          </w:p>
        </w:tc>
      </w:tr>
    </w:tbl>
    <w:p>
      <w:pPr>
        <w:spacing w:after="200"/>
      </w:pPr>
      <w:r>
        <w:rPr>
          <w:sz w:val="8"/>
          <w:szCs w:val="8"/>
        </w:rPr>
        <w:t xml:space="preserve"/>
      </w:r>
    </w:p>
    <w:p>
      <w:pPr>
        <w:pBdr>
          <w:left w:val="single" w:color="C8A020" w:sz="18" w:space="8"/>
        </w:pBdr>
        <w:shd w:fill="FDF3D8" w:color="auto" w:val="clear"/>
        <w:spacing w:after="40" w:before="60" w:line="290"/>
        <w:ind w:left="280" w:right="200"/>
      </w:pPr>
      <w:r>
        <w:rPr>
          <w:rFonts w:ascii="Times New Roman" w:cs="Times New Roman" w:eastAsia="Times New Roman" w:hAnsi="Times New Roman"/>
          <w:sz w:val="21"/>
          <w:szCs w:val="21"/>
        </w:rPr>
        <w:t xml:space="preserve">*</w:t>
      </w:r>
      <w:r>
        <w:rPr>
          <w:rFonts w:ascii="Times New Roman" w:cs="Times New Roman" w:eastAsia="Times New Roman" w:hAnsi="Times New Roman"/>
          <w:i/>
          <w:iCs/>
          <w:sz w:val="21"/>
          <w:szCs w:val="21"/>
        </w:rPr>
        <w:t xml:space="preserve">Office Supplies là thứ khách hàng mua </w:t>
      </w:r>
      <w:r>
        <w:rPr>
          <w:rFonts w:ascii="Times New Roman" w:cs="Times New Roman" w:eastAsia="Times New Roman" w:hAnsi="Times New Roman"/>
          <w:sz w:val="21"/>
          <w:szCs w:val="21"/>
        </w:rPr>
        <w:t xml:space="preserve">thường xuyên nhất*</w:t>
      </w:r>
      <w:r>
        <w:rPr>
          <w:rFonts w:ascii="Times New Roman" w:cs="Times New Roman" w:eastAsia="Times New Roman" w:hAnsi="Times New Roman"/>
          <w:b/>
          <w:bCs/>
          <w:sz w:val="21"/>
          <w:szCs w:val="21"/>
        </w:rPr>
        <w:t xml:space="preserve"> (6/10 mặt hàng bán ra) nhưng chỉ tạo 30% doanh thu — đây là nhóm </w:t>
      </w:r>
      <w:r>
        <w:rPr>
          <w:rFonts w:ascii="Times New Roman" w:cs="Times New Roman" w:eastAsia="Times New Roman" w:hAnsi="Times New Roman"/>
          <w:sz w:val="21"/>
          <w:szCs w:val="21"/>
        </w:rPr>
        <w:t xml:space="preserve">"kéo khách vào giỏ"**.</w:t>
      </w:r>
    </w:p>
    <w:p>
      <w:pPr>
        <w:pBdr>
          <w:left w:val="single" w:color="C8A020" w:sz="18" w:space="8"/>
        </w:pBdr>
        <w:shd w:fill="FDF3D8" w:color="auto" w:val="clear"/>
        <w:spacing w:after="40" w:before="40" w:line="290"/>
        <w:ind w:left="280" w:right="200"/>
      </w:pPr>
      <w:r>
        <w:rPr>
          <w:rFonts w:ascii="Times New Roman" w:cs="Times New Roman" w:eastAsia="Times New Roman" w:hAnsi="Times New Roman"/>
          <w:sz w:val="21"/>
          <w:szCs w:val="21"/>
        </w:rPr>
        <w:t xml:space="preserve">*</w:t>
      </w:r>
      <w:r>
        <w:rPr>
          <w:rFonts w:ascii="Times New Roman" w:cs="Times New Roman" w:eastAsia="Times New Roman" w:hAnsi="Times New Roman"/>
          <w:i/>
          <w:iCs/>
          <w:sz w:val="21"/>
          <w:szCs w:val="21"/>
        </w:rPr>
        <w:t xml:space="preserve">Technology là thứ tạo </w:t>
      </w:r>
      <w:r>
        <w:rPr>
          <w:rFonts w:ascii="Times New Roman" w:cs="Times New Roman" w:eastAsia="Times New Roman" w:hAnsi="Times New Roman"/>
          <w:sz w:val="21"/>
          <w:szCs w:val="21"/>
        </w:rPr>
        <w:t xml:space="preserve">tiền</w:t>
      </w:r>
      <w:r>
        <w:rPr>
          <w:rFonts w:ascii="Times New Roman" w:cs="Times New Roman" w:eastAsia="Times New Roman" w:hAnsi="Times New Roman"/>
          <w:i/>
          <w:iCs/>
          <w:sz w:val="21"/>
          <w:szCs w:val="21"/>
        </w:rPr>
        <w:t xml:space="preserve"> nhiều nhất</w:t>
      </w:r>
      <w:r>
        <w:rPr>
          <w:rFonts w:ascii="Times New Roman" w:cs="Times New Roman" w:eastAsia="Times New Roman" w:hAnsi="Times New Roman"/>
          <w:sz w:val="21"/>
          <w:szCs w:val="21"/>
        </w:rPr>
        <w:t xml:space="preserve">* (37,5% DT, biên 14,0%) dù tần suất thấp.</w:t>
      </w:r>
    </w:p>
    <w:p>
      <w:pPr>
        <w:pBdr>
          <w:left w:val="single" w:color="C8A020" w:sz="18" w:space="8"/>
        </w:pBdr>
        <w:shd w:fill="FDF3D8" w:color="auto" w:val="clear"/>
        <w:spacing w:after="60" w:before="40" w:line="290"/>
        <w:ind w:left="280" w:right="200"/>
      </w:pPr>
      <w:r>
        <w:rPr>
          <w:rFonts w:ascii="Times New Roman" w:cs="Times New Roman" w:eastAsia="Times New Roman" w:hAnsi="Times New Roman"/>
          <w:b/>
          <w:bCs/>
          <w:sz w:val="21"/>
          <w:szCs w:val="21"/>
        </w:rPr>
        <w:t xml:space="preserve">Furniture là điểm yếu</w:t>
      </w:r>
      <w:r>
        <w:rPr>
          <w:rFonts w:ascii="Times New Roman" w:cs="Times New Roman" w:eastAsia="Times New Roman" w:hAnsi="Times New Roman"/>
          <w:sz w:val="21"/>
          <w:szCs w:val="21"/>
        </w:rPr>
        <w:t xml:space="preserve">: doanh thu lớn thứ nhì nhưng biên chỉ 6,9% — bằng một nửa hai nhóm kia.</w:t>
      </w:r>
    </w:p>
    <w:p>
      <w:pPr>
        <w:spacing w:after="160"/>
      </w:pPr>
      <w:r>
        <w:rPr>
          <w:sz w:val="8"/>
          <w:szCs w:val="8"/>
        </w:rPr>
        <w:t xml:space="preserve"/>
      </w:r>
    </w:p>
    <w:p>
      <w:pPr>
        <w:pStyle w:val="Heading2"/>
        <w:spacing w:after="120" w:before="260"/>
      </w:pPr>
      <w:r>
        <w:rPr>
          <w:rFonts w:ascii="Times New Roman" w:cs="Times New Roman" w:eastAsia="Times New Roman" w:hAnsi="Times New Roman"/>
          <w:b/>
          <w:bCs/>
          <w:color w:val="2E5C9A"/>
          <w:sz w:val="25"/>
          <w:szCs w:val="25"/>
        </w:rPr>
        <w:t xml:space="preserve">2.2. Theo phân nhóm (Sub-Category)</w:t>
      </w:r>
    </w:p>
    <w:p>
      <w:pPr>
        <w:spacing w:after="120" w:before="60" w:line="300"/>
        <w:jc w:val="both"/>
      </w:pPr>
      <w:r>
        <w:rPr>
          <w:rFonts w:ascii="Times New Roman" w:cs="Times New Roman" w:eastAsia="Times New Roman" w:hAnsi="Times New Roman"/>
          <w:b/>
          <w:bCs/>
          <w:sz w:val="22"/>
          <w:szCs w:val="22"/>
        </w:rPr>
        <w:t xml:space="preserve">Xếp theo DOANH THU (nhóm tạo tiền):</w:t>
      </w:r>
    </w:p>
    <w:tbl>
      <w:tblPr>
        <w:tblW w:type="dxa" w:w="9746"/>
        <w:tblBorders>
          <w:top w:val="single" w:color="A6B4CC" w:sz="3"/>
          <w:left w:val="single" w:color="A6B4CC" w:sz="3"/>
          <w:bottom w:val="single" w:color="A6B4CC" w:sz="3"/>
          <w:right w:val="single" w:color="A6B4CC" w:sz="3"/>
          <w:insideH w:val="single" w:color="A6B4CC" w:sz="3"/>
          <w:insideV w:val="single" w:color="A6B4CC" w:sz="3"/>
        </w:tblBorders>
      </w:tblPr>
      <w:tblGrid>
        <w:gridCol w:w="2852"/>
        <w:gridCol w:w="1189"/>
        <w:gridCol w:w="1426"/>
        <w:gridCol w:w="1664"/>
        <w:gridCol w:w="2615"/>
      </w:tblGrid>
      <w:tr>
        <w:trPr>
          <w:tblHeader/>
        </w:trPr>
        <w:tc>
          <w:tcPr>
            <w:tcW w:type="dxa" w:w="2852"/>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Sub-Category</w:t>
            </w:r>
          </w:p>
        </w:tc>
        <w:tc>
          <w:tcPr>
            <w:tcW w:type="dxa" w:w="1189"/>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 DT</w:t>
            </w:r>
          </w:p>
        </w:tc>
        <w:tc>
          <w:tcPr>
            <w:tcW w:type="dxa" w:w="1426"/>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Giá TB</w:t>
            </w:r>
          </w:p>
        </w:tc>
        <w:tc>
          <w:tcPr>
            <w:tcW w:type="dxa" w:w="1664"/>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Biên LN</w:t>
            </w:r>
          </w:p>
        </w:tc>
        <w:tc>
          <w:tcPr>
            <w:tcW w:type="dxa" w:w="2615"/>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Giảm giá TB</w:t>
            </w:r>
          </w:p>
        </w:tc>
      </w:tr>
      <w:tr>
        <w:trPr>
          <w:cantSplit/>
        </w:trPr>
        <w:tc>
          <w:tcPr>
            <w:tcW w:type="dxa" w:w="2852"/>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Phones</w:t>
            </w:r>
          </w:p>
        </w:tc>
        <w:tc>
          <w:tcPr>
            <w:tcW w:type="dxa" w:w="1189"/>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13,5%</w:t>
            </w:r>
          </w:p>
        </w:tc>
        <w:tc>
          <w:tcPr>
            <w:tcW w:type="dxa" w:w="1426"/>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144</w:t>
            </w:r>
          </w:p>
        </w:tc>
        <w:tc>
          <w:tcPr>
            <w:tcW w:type="dxa" w:w="1664"/>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12,7%</w:t>
            </w:r>
          </w:p>
        </w:tc>
        <w:tc>
          <w:tcPr>
            <w:tcW w:type="dxa" w:w="2615"/>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15%</w:t>
            </w:r>
          </w:p>
        </w:tc>
      </w:tr>
      <w:tr>
        <w:trPr>
          <w:cantSplit/>
        </w:trPr>
        <w:tc>
          <w:tcPr>
            <w:tcW w:type="dxa" w:w="2852"/>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Copiers</w:t>
            </w:r>
          </w:p>
        </w:tc>
        <w:tc>
          <w:tcPr>
            <w:tcW w:type="dxa" w:w="1189"/>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11,9%</w:t>
            </w:r>
          </w:p>
        </w:tc>
        <w:tc>
          <w:tcPr>
            <w:tcW w:type="dxa" w:w="1426"/>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203</w:t>
            </w:r>
          </w:p>
        </w:tc>
        <w:tc>
          <w:tcPr>
            <w:tcW w:type="dxa" w:w="1664"/>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sz w:val="19"/>
                <w:szCs w:val="19"/>
              </w:rPr>
              <w:t xml:space="preserve">17,1%</w:t>
            </w:r>
          </w:p>
        </w:tc>
        <w:tc>
          <w:tcPr>
            <w:tcW w:type="dxa" w:w="2615"/>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12%</w:t>
            </w:r>
          </w:p>
        </w:tc>
      </w:tr>
      <w:tr>
        <w:trPr>
          <w:cantSplit/>
        </w:trPr>
        <w:tc>
          <w:tcPr>
            <w:tcW w:type="dxa" w:w="2852"/>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Chairs</w:t>
            </w:r>
          </w:p>
        </w:tc>
        <w:tc>
          <w:tcPr>
            <w:tcW w:type="dxa" w:w="1189"/>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11,9%</w:t>
            </w:r>
          </w:p>
        </w:tc>
        <w:tc>
          <w:tcPr>
            <w:tcW w:type="dxa" w:w="1426"/>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122</w:t>
            </w:r>
          </w:p>
        </w:tc>
        <w:tc>
          <w:tcPr>
            <w:tcW w:type="dxa" w:w="1664"/>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9,4%</w:t>
            </w:r>
          </w:p>
        </w:tc>
        <w:tc>
          <w:tcPr>
            <w:tcW w:type="dxa" w:w="2615"/>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16%</w:t>
            </w:r>
          </w:p>
        </w:tc>
      </w:tr>
      <w:tr>
        <w:trPr>
          <w:cantSplit/>
        </w:trPr>
        <w:tc>
          <w:tcPr>
            <w:tcW w:type="dxa" w:w="2852"/>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Bookcases</w:t>
            </w:r>
          </w:p>
        </w:tc>
        <w:tc>
          <w:tcPr>
            <w:tcW w:type="dxa" w:w="1189"/>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11,6%</w:t>
            </w:r>
          </w:p>
        </w:tc>
        <w:tc>
          <w:tcPr>
            <w:tcW w:type="dxa" w:w="1426"/>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176</w:t>
            </w:r>
          </w:p>
        </w:tc>
        <w:tc>
          <w:tcPr>
            <w:tcW w:type="dxa" w:w="1664"/>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11,0%</w:t>
            </w:r>
          </w:p>
        </w:tc>
        <w:tc>
          <w:tcPr>
            <w:tcW w:type="dxa" w:w="2615"/>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15%</w:t>
            </w:r>
          </w:p>
        </w:tc>
      </w:tr>
      <w:tr>
        <w:trPr>
          <w:cantSplit/>
        </w:trPr>
        <w:tc>
          <w:tcPr>
            <w:tcW w:type="dxa" w:w="2852"/>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Storage</w:t>
            </w:r>
          </w:p>
        </w:tc>
        <w:tc>
          <w:tcPr>
            <w:tcW w:type="dxa" w:w="1189"/>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8,9%</w:t>
            </w:r>
          </w:p>
        </w:tc>
        <w:tc>
          <w:tcPr>
            <w:tcW w:type="dxa" w:w="1426"/>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67</w:t>
            </w:r>
          </w:p>
        </w:tc>
        <w:tc>
          <w:tcPr>
            <w:tcW w:type="dxa" w:w="1664"/>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9,6%</w:t>
            </w:r>
          </w:p>
        </w:tc>
        <w:tc>
          <w:tcPr>
            <w:tcW w:type="dxa" w:w="2615"/>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14%</w:t>
            </w:r>
          </w:p>
        </w:tc>
      </w:tr>
      <w:tr>
        <w:trPr>
          <w:cantSplit/>
        </w:trPr>
        <w:tc>
          <w:tcPr>
            <w:tcW w:type="dxa" w:w="2852"/>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Appliances</w:t>
            </w:r>
          </w:p>
        </w:tc>
        <w:tc>
          <w:tcPr>
            <w:tcW w:type="dxa" w:w="1189"/>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8,0%</w:t>
            </w:r>
          </w:p>
        </w:tc>
        <w:tc>
          <w:tcPr>
            <w:tcW w:type="dxa" w:w="1426"/>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168</w:t>
            </w:r>
          </w:p>
        </w:tc>
        <w:tc>
          <w:tcPr>
            <w:tcW w:type="dxa" w:w="1664"/>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14,0%</w:t>
            </w:r>
          </w:p>
        </w:tc>
        <w:tc>
          <w:tcPr>
            <w:tcW w:type="dxa" w:w="2615"/>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14%</w:t>
            </w:r>
          </w:p>
        </w:tc>
      </w:tr>
      <w:tr>
        <w:trPr>
          <w:cantSplit/>
        </w:trPr>
        <w:tc>
          <w:tcPr>
            <w:tcW w:type="dxa" w:w="2852"/>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b/>
                <w:bCs/>
                <w:sz w:val="19"/>
                <w:szCs w:val="19"/>
              </w:rPr>
              <w:t xml:space="preserve">Tables</w:t>
            </w:r>
          </w:p>
        </w:tc>
        <w:tc>
          <w:tcPr>
            <w:tcW w:type="dxa" w:w="1189"/>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6,0%</w:t>
            </w:r>
          </w:p>
        </w:tc>
        <w:tc>
          <w:tcPr>
            <w:tcW w:type="dxa" w:w="1426"/>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246</w:t>
            </w:r>
          </w:p>
        </w:tc>
        <w:tc>
          <w:tcPr>
            <w:tcW w:type="dxa" w:w="1664"/>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sz w:val="19"/>
                <w:szCs w:val="19"/>
              </w:rPr>
              <w:t xml:space="preserve">–8,5%</w:t>
            </w:r>
          </w:p>
        </w:tc>
        <w:tc>
          <w:tcPr>
            <w:tcW w:type="dxa" w:w="2615"/>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sz w:val="19"/>
                <w:szCs w:val="19"/>
              </w:rPr>
              <w:t xml:space="preserve">29%</w:t>
            </w:r>
          </w:p>
        </w:tc>
      </w:tr>
    </w:tbl>
    <w:p>
      <w:pPr>
        <w:spacing w:after="200"/>
      </w:pPr>
      <w:r>
        <w:rPr>
          <w:sz w:val="8"/>
          <w:szCs w:val="8"/>
        </w:rPr>
        <w:t xml:space="preserve"/>
      </w:r>
    </w:p>
    <w:p>
      <w:pPr>
        <w:spacing w:after="120" w:before="60" w:line="300"/>
        <w:jc w:val="both"/>
      </w:pPr>
      <w:r>
        <w:rPr>
          <w:rFonts w:ascii="Times New Roman" w:cs="Times New Roman" w:eastAsia="Times New Roman" w:hAnsi="Times New Roman"/>
          <w:b/>
          <w:bCs/>
          <w:sz w:val="22"/>
          <w:szCs w:val="22"/>
        </w:rPr>
        <w:t xml:space="preserve">Xếp theo TẦN SUẤT (nhóm kéo khách):</w:t>
      </w:r>
    </w:p>
    <w:tbl>
      <w:tblPr>
        <w:tblW w:type="dxa" w:w="9746"/>
        <w:tblBorders>
          <w:top w:val="single" w:color="A6B4CC" w:sz="3"/>
          <w:left w:val="single" w:color="A6B4CC" w:sz="3"/>
          <w:bottom w:val="single" w:color="A6B4CC" w:sz="3"/>
          <w:right w:val="single" w:color="A6B4CC" w:sz="3"/>
          <w:insideH w:val="single" w:color="A6B4CC" w:sz="3"/>
          <w:insideV w:val="single" w:color="A6B4CC" w:sz="3"/>
        </w:tblBorders>
      </w:tblPr>
      <w:tblGrid>
        <w:gridCol w:w="2785"/>
        <w:gridCol w:w="4177"/>
        <w:gridCol w:w="1160"/>
        <w:gridCol w:w="1624"/>
      </w:tblGrid>
      <w:tr>
        <w:trPr>
          <w:tblHeader/>
        </w:trPr>
        <w:tc>
          <w:tcPr>
            <w:tcW w:type="dxa" w:w="2785"/>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Sub-Category</w:t>
            </w:r>
          </w:p>
        </w:tc>
        <w:tc>
          <w:tcPr>
            <w:tcW w:type="dxa" w:w="4177"/>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Có mặt trong % đơn</w:t>
            </w:r>
          </w:p>
        </w:tc>
        <w:tc>
          <w:tcPr>
            <w:tcW w:type="dxa" w:w="1160"/>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 DT</w:t>
            </w:r>
          </w:p>
        </w:tc>
        <w:tc>
          <w:tcPr>
            <w:tcW w:type="dxa" w:w="1624"/>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Biên LN</w:t>
            </w:r>
          </w:p>
        </w:tc>
      </w:tr>
      <w:tr>
        <w:trPr>
          <w:cantSplit/>
        </w:trPr>
        <w:tc>
          <w:tcPr>
            <w:tcW w:type="dxa" w:w="2785"/>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Binders</w:t>
            </w:r>
          </w:p>
        </w:tc>
        <w:tc>
          <w:tcPr>
            <w:tcW w:type="dxa" w:w="4177"/>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sz w:val="19"/>
                <w:szCs w:val="19"/>
              </w:rPr>
              <w:t xml:space="preserve">21,1%</w:t>
            </w:r>
          </w:p>
        </w:tc>
        <w:tc>
          <w:tcPr>
            <w:tcW w:type="dxa" w:w="1160"/>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3,7%</w:t>
            </w:r>
          </w:p>
        </w:tc>
        <w:tc>
          <w:tcPr>
            <w:tcW w:type="dxa" w:w="1624"/>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15,7%</w:t>
            </w:r>
          </w:p>
        </w:tc>
      </w:tr>
      <w:tr>
        <w:trPr>
          <w:cantSplit/>
        </w:trPr>
        <w:tc>
          <w:tcPr>
            <w:tcW w:type="dxa" w:w="2785"/>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Storage</w:t>
            </w:r>
          </w:p>
        </w:tc>
        <w:tc>
          <w:tcPr>
            <w:tcW w:type="dxa" w:w="4177"/>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17,7%</w:t>
            </w:r>
          </w:p>
        </w:tc>
        <w:tc>
          <w:tcPr>
            <w:tcW w:type="dxa" w:w="1160"/>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8,9%</w:t>
            </w:r>
          </w:p>
        </w:tc>
        <w:tc>
          <w:tcPr>
            <w:tcW w:type="dxa" w:w="1624"/>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9,6%</w:t>
            </w:r>
          </w:p>
        </w:tc>
      </w:tr>
      <w:tr>
        <w:trPr>
          <w:cantSplit/>
        </w:trPr>
        <w:tc>
          <w:tcPr>
            <w:tcW w:type="dxa" w:w="2785"/>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Art</w:t>
            </w:r>
          </w:p>
        </w:tc>
        <w:tc>
          <w:tcPr>
            <w:tcW w:type="dxa" w:w="4177"/>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17,1%</w:t>
            </w:r>
          </w:p>
        </w:tc>
        <w:tc>
          <w:tcPr>
            <w:tcW w:type="dxa" w:w="1160"/>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2,9%</w:t>
            </w:r>
          </w:p>
        </w:tc>
        <w:tc>
          <w:tcPr>
            <w:tcW w:type="dxa" w:w="1624"/>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15,6%</w:t>
            </w:r>
          </w:p>
        </w:tc>
      </w:tr>
      <w:tr>
        <w:trPr>
          <w:cantSplit/>
        </w:trPr>
        <w:tc>
          <w:tcPr>
            <w:tcW w:type="dxa" w:w="2785"/>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Paper</w:t>
            </w:r>
          </w:p>
        </w:tc>
        <w:tc>
          <w:tcPr>
            <w:tcW w:type="dxa" w:w="4177"/>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12,4%</w:t>
            </w:r>
          </w:p>
        </w:tc>
        <w:tc>
          <w:tcPr>
            <w:tcW w:type="dxa" w:w="1160"/>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1,9%</w:t>
            </w:r>
          </w:p>
        </w:tc>
        <w:tc>
          <w:tcPr>
            <w:tcW w:type="dxa" w:w="1624"/>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sz w:val="19"/>
                <w:szCs w:val="19"/>
              </w:rPr>
              <w:t xml:space="preserve">24,0%</w:t>
            </w:r>
          </w:p>
        </w:tc>
      </w:tr>
      <w:tr>
        <w:trPr>
          <w:cantSplit/>
        </w:trPr>
        <w:tc>
          <w:tcPr>
            <w:tcW w:type="dxa" w:w="2785"/>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Chairs</w:t>
            </w:r>
          </w:p>
        </w:tc>
        <w:tc>
          <w:tcPr>
            <w:tcW w:type="dxa" w:w="4177"/>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12,4%</w:t>
            </w:r>
          </w:p>
        </w:tc>
        <w:tc>
          <w:tcPr>
            <w:tcW w:type="dxa" w:w="1160"/>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11,9%</w:t>
            </w:r>
          </w:p>
        </w:tc>
        <w:tc>
          <w:tcPr>
            <w:tcW w:type="dxa" w:w="1624"/>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9,4%</w:t>
            </w:r>
          </w:p>
        </w:tc>
      </w:tr>
      <w:tr>
        <w:trPr>
          <w:cantSplit/>
        </w:trPr>
        <w:tc>
          <w:tcPr>
            <w:tcW w:type="dxa" w:w="2785"/>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Phones</w:t>
            </w:r>
          </w:p>
        </w:tc>
        <w:tc>
          <w:tcPr>
            <w:tcW w:type="dxa" w:w="4177"/>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12,2%</w:t>
            </w:r>
          </w:p>
        </w:tc>
        <w:tc>
          <w:tcPr>
            <w:tcW w:type="dxa" w:w="1160"/>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13,5%</w:t>
            </w:r>
          </w:p>
        </w:tc>
        <w:tc>
          <w:tcPr>
            <w:tcW w:type="dxa" w:w="1624"/>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12,7%</w:t>
            </w:r>
          </w:p>
        </w:tc>
      </w:tr>
    </w:tbl>
    <w:p>
      <w:pPr>
        <w:spacing w:after="200"/>
      </w:pPr>
      <w:r>
        <w:rPr>
          <w:sz w:val="8"/>
          <w:szCs w:val="8"/>
        </w:rPr>
        <w:t xml:space="preserve"/>
      </w:r>
    </w:p>
    <w:p>
      <w:pPr>
        <w:pBdr>
          <w:left w:val="single" w:color="C8A020" w:sz="18" w:space="8"/>
        </w:pBdr>
        <w:shd w:fill="FDF3D8" w:color="auto" w:val="clear"/>
        <w:spacing w:after="60" w:before="60" w:line="290"/>
        <w:ind w:left="280" w:right="200"/>
      </w:pPr>
      <w:r>
        <w:rPr>
          <w:rFonts w:ascii="Times New Roman" w:cs="Times New Roman" w:eastAsia="Times New Roman" w:hAnsi="Times New Roman"/>
          <w:b/>
          <w:bCs/>
          <w:sz w:val="21"/>
          <w:szCs w:val="21"/>
        </w:rPr>
        <w:t xml:space="preserve">Hai danh sách gần như không giao nhau.</w:t>
      </w:r>
      <w:r>
        <w:rPr>
          <w:rFonts w:ascii="Times New Roman" w:cs="Times New Roman" w:eastAsia="Times New Roman" w:hAnsi="Times New Roman"/>
          <w:sz w:val="21"/>
          <w:szCs w:val="21"/>
        </w:rPr>
        <w:t xml:space="preserve"> Thứ khách mua </w:t>
      </w:r>
      <w:r>
        <w:rPr>
          <w:rFonts w:ascii="Times New Roman" w:cs="Times New Roman" w:eastAsia="Times New Roman" w:hAnsi="Times New Roman"/>
          <w:i/>
          <w:iCs/>
          <w:sz w:val="21"/>
          <w:szCs w:val="21"/>
        </w:rPr>
        <w:t xml:space="preserve">nhiều lần</w:t>
      </w:r>
      <w:r>
        <w:rPr>
          <w:rFonts w:ascii="Times New Roman" w:cs="Times New Roman" w:eastAsia="Times New Roman" w:hAnsi="Times New Roman"/>
          <w:sz w:val="21"/>
          <w:szCs w:val="21"/>
        </w:rPr>
        <w:t xml:space="preserve"> (Binders, Art, Paper, Labels — giá 8–23/đơn vị) khác hoàn toàn thứ khách </w:t>
      </w:r>
      <w:r>
        <w:rPr>
          <w:rFonts w:ascii="Times New Roman" w:cs="Times New Roman" w:eastAsia="Times New Roman" w:hAnsi="Times New Roman"/>
          <w:i/>
          <w:iCs/>
          <w:sz w:val="21"/>
          <w:szCs w:val="21"/>
        </w:rPr>
        <w:t xml:space="preserve">chi nhiều tiền</w:t>
      </w:r>
      <w:r>
        <w:rPr>
          <w:rFonts w:ascii="Times New Roman" w:cs="Times New Roman" w:eastAsia="Times New Roman" w:hAnsi="Times New Roman"/>
          <w:sz w:val="21"/>
          <w:szCs w:val="21"/>
        </w:rPr>
        <w:t xml:space="preserve"> (Phones, Copiers, Chairs, Bookcases). Chỉ có </w:t>
      </w:r>
      <w:r>
        <w:rPr>
          <w:rFonts w:ascii="Times New Roman" w:cs="Times New Roman" w:eastAsia="Times New Roman" w:hAnsi="Times New Roman"/>
          <w:b/>
          <w:bCs/>
          <w:sz w:val="21"/>
          <w:szCs w:val="21"/>
        </w:rPr>
        <w:t xml:space="preserve">Phones, Chairs và Storage</w:t>
      </w:r>
      <w:r>
        <w:rPr>
          <w:rFonts w:ascii="Times New Roman" w:cs="Times New Roman" w:eastAsia="Times New Roman" w:hAnsi="Times New Roman"/>
          <w:sz w:val="21"/>
          <w:szCs w:val="21"/>
        </w:rPr>
        <w:t xml:space="preserve"> nằm ở cả hai nhóm.</w:t>
      </w:r>
    </w:p>
    <w:p>
      <w:pPr>
        <w:spacing w:after="160"/>
      </w:pPr>
      <w:r>
        <w:rPr>
          <w:sz w:val="8"/>
          <w:szCs w:val="8"/>
        </w:rPr>
        <w:t xml:space="preserve"/>
      </w:r>
    </w:p>
    <w:p>
      <w:pPr>
        <w:pStyle w:val="Heading2"/>
        <w:spacing w:after="120" w:before="260"/>
      </w:pPr>
      <w:r>
        <w:rPr>
          <w:rFonts w:ascii="Times New Roman" w:cs="Times New Roman" w:eastAsia="Times New Roman" w:hAnsi="Times New Roman"/>
          <w:b/>
          <w:bCs/>
          <w:color w:val="2E5C9A"/>
          <w:sz w:val="25"/>
          <w:szCs w:val="25"/>
        </w:rPr>
        <w:t xml:space="preserve">2.3. Sản phẩm cụ thể</w:t>
      </w:r>
    </w:p>
    <w:p>
      <w:pPr>
        <w:spacing w:after="120" w:before="60" w:line="300"/>
        <w:jc w:val="both"/>
      </w:pPr>
      <w:r>
        <w:rPr>
          <w:rFonts w:ascii="Times New Roman" w:cs="Times New Roman" w:eastAsia="Times New Roman" w:hAnsi="Times New Roman"/>
          <w:b/>
          <w:bCs/>
          <w:sz w:val="22"/>
          <w:szCs w:val="22"/>
        </w:rPr>
        <w:t xml:space="preserve">Top doanh thu</w:t>
      </w:r>
      <w:r>
        <w:rPr>
          <w:rFonts w:ascii="Times New Roman" w:cs="Times New Roman" w:eastAsia="Times New Roman" w:hAnsi="Times New Roman"/>
          <w:sz w:val="22"/>
          <w:szCs w:val="22"/>
        </w:rPr>
        <w:t xml:space="preserve"> bị chiếm gần như trọn vẹn bởi 2 dòng sản phẩm:</w:t>
      </w:r>
    </w:p>
    <w:p>
      <w:pPr>
        <w:pStyle w:val="ListParagraph"/>
        <w:numPr>
          <w:ilvl w:val="0"/>
          <w:numId w:val="2"/>
        </w:numPr>
        <w:spacing w:after="40" w:before="40" w:line="300"/>
      </w:pPr>
      <w:r>
        <w:rPr>
          <w:rFonts w:ascii="Times New Roman" w:cs="Times New Roman" w:eastAsia="Times New Roman" w:hAnsi="Times New Roman"/>
          <w:b/>
          <w:bCs/>
          <w:sz w:val="22"/>
          <w:szCs w:val="22"/>
        </w:rPr>
        <w:t xml:space="preserve">Điện thoại thông minh</w:t>
      </w:r>
      <w:r>
        <w:rPr>
          <w:rFonts w:ascii="Times New Roman" w:cs="Times New Roman" w:eastAsia="Times New Roman" w:hAnsi="Times New Roman"/>
          <w:sz w:val="22"/>
          <w:szCs w:val="22"/>
        </w:rPr>
        <w:t xml:space="preserve"> (Apple 86.936 · Cisco 76.442 · Motorola 73.156 · Nokia 71.905)</w:t>
      </w:r>
    </w:p>
    <w:p>
      <w:pPr>
        <w:pStyle w:val="ListParagraph"/>
        <w:numPr>
          <w:ilvl w:val="0"/>
          <w:numId w:val="2"/>
        </w:numPr>
        <w:spacing w:after="40" w:before="40" w:line="300"/>
      </w:pPr>
      <w:r>
        <w:rPr>
          <w:rFonts w:ascii="Times New Roman" w:cs="Times New Roman" w:eastAsia="Times New Roman" w:hAnsi="Times New Roman"/>
          <w:b/>
          <w:bCs/>
          <w:sz w:val="22"/>
          <w:szCs w:val="22"/>
        </w:rPr>
        <w:t xml:space="preserve">Ghế da điều hành</w:t>
      </w:r>
      <w:r>
        <w:rPr>
          <w:rFonts w:ascii="Times New Roman" w:cs="Times New Roman" w:eastAsia="Times New Roman" w:hAnsi="Times New Roman"/>
          <w:sz w:val="22"/>
          <w:szCs w:val="22"/>
        </w:rPr>
        <w:t xml:space="preserve"> (Hon 58.193 · Office Star 50.662 · Harbour Creations 50.122)</w:t>
      </w:r>
    </w:p>
    <w:p>
      <w:pPr>
        <w:pStyle w:val="ListParagraph"/>
        <w:numPr>
          <w:ilvl w:val="0"/>
          <w:numId w:val="2"/>
        </w:numPr>
        <w:spacing w:after="40" w:before="40" w:line="300"/>
      </w:pPr>
      <w:r>
        <w:rPr>
          <w:rFonts w:ascii="Times New Roman" w:cs="Times New Roman" w:eastAsia="Times New Roman" w:hAnsi="Times New Roman"/>
          <w:sz w:val="22"/>
          <w:szCs w:val="22"/>
        </w:rPr>
        <w:t xml:space="preserve">Ngoại lệ đáng chú ý: </w:t>
      </w:r>
      <w:r>
        <w:rPr>
          <w:rFonts w:ascii="Times New Roman" w:cs="Times New Roman" w:eastAsia="Times New Roman" w:hAnsi="Times New Roman"/>
          <w:i/>
          <w:iCs/>
          <w:sz w:val="22"/>
          <w:szCs w:val="22"/>
        </w:rPr>
        <w:t xml:space="preserve">Canon imageCLASS 2200 Copier</w:t>
      </w:r>
      <w:r>
        <w:rPr>
          <w:rFonts w:ascii="Times New Roman" w:cs="Times New Roman" w:eastAsia="Times New Roman" w:hAnsi="Times New Roman"/>
          <w:sz w:val="22"/>
          <w:szCs w:val="22"/>
        </w:rPr>
        <w:t xml:space="preserve"> — chỉ </w:t>
      </w:r>
      <w:r>
        <w:rPr>
          <w:rFonts w:ascii="Times New Roman" w:cs="Times New Roman" w:eastAsia="Times New Roman" w:hAnsi="Times New Roman"/>
          <w:b/>
          <w:bCs/>
          <w:sz w:val="22"/>
          <w:szCs w:val="22"/>
        </w:rPr>
        <w:t xml:space="preserve">5 đơn hàng</w:t>
      </w:r>
      <w:r>
        <w:rPr>
          <w:rFonts w:ascii="Times New Roman" w:cs="Times New Roman" w:eastAsia="Times New Roman" w:hAnsi="Times New Roman"/>
          <w:sz w:val="22"/>
          <w:szCs w:val="22"/>
        </w:rPr>
        <w:t xml:space="preserve"> nhưng tạo </w:t>
      </w:r>
      <w:r>
        <w:rPr>
          <w:rFonts w:ascii="Times New Roman" w:cs="Times New Roman" w:eastAsia="Times New Roman" w:hAnsi="Times New Roman"/>
          <w:b/>
          <w:bCs/>
          <w:sz w:val="22"/>
          <w:szCs w:val="22"/>
        </w:rPr>
        <w:t xml:space="preserve">61.600 doanh thu và 25.200 lợi nhuận</w:t>
      </w:r>
      <w:r>
        <w:rPr>
          <w:rFonts w:ascii="Times New Roman" w:cs="Times New Roman" w:eastAsia="Times New Roman" w:hAnsi="Times New Roman"/>
          <w:sz w:val="22"/>
          <w:szCs w:val="22"/>
        </w:rPr>
        <w:t xml:space="preserve"> (sản phẩm có LN tuyệt đối cao nhất toàn bộ danh mục).</w:t>
      </w:r>
    </w:p>
    <w:p>
      <w:pPr>
        <w:spacing w:after="120" w:before="60" w:line="300"/>
        <w:jc w:val="both"/>
      </w:pPr>
      <w:r>
        <w:rPr>
          <w:rFonts w:ascii="Times New Roman" w:cs="Times New Roman" w:eastAsia="Times New Roman" w:hAnsi="Times New Roman"/>
          <w:b/>
          <w:bCs/>
          <w:sz w:val="22"/>
          <w:szCs w:val="22"/>
        </w:rPr>
        <w:t xml:space="preserve">Top tần suất</w:t>
      </w:r>
      <w:r>
        <w:rPr>
          <w:rFonts w:ascii="Times New Roman" w:cs="Times New Roman" w:eastAsia="Times New Roman" w:hAnsi="Times New Roman"/>
          <w:sz w:val="22"/>
          <w:szCs w:val="22"/>
        </w:rPr>
        <w:t xml:space="preserve"> lại là hàng văn phòng phẩm giá rẻ: </w:t>
      </w:r>
      <w:r>
        <w:rPr>
          <w:rFonts w:ascii="Times New Roman" w:cs="Times New Roman" w:eastAsia="Times New Roman" w:hAnsi="Times New Roman"/>
          <w:i/>
          <w:iCs/>
          <w:sz w:val="22"/>
          <w:szCs w:val="22"/>
        </w:rPr>
        <w:t xml:space="preserve">Staples</w:t>
      </w:r>
      <w:r>
        <w:rPr>
          <w:rFonts w:ascii="Times New Roman" w:cs="Times New Roman" w:eastAsia="Times New Roman" w:hAnsi="Times New Roman"/>
          <w:sz w:val="22"/>
          <w:szCs w:val="22"/>
        </w:rPr>
        <w:t xml:space="preserve"> (222 đơn, chỉ 7.008 DT), </w:t>
      </w:r>
      <w:r>
        <w:rPr>
          <w:rFonts w:ascii="Times New Roman" w:cs="Times New Roman" w:eastAsia="Times New Roman" w:hAnsi="Times New Roman"/>
          <w:i/>
          <w:iCs/>
          <w:sz w:val="22"/>
          <w:szCs w:val="22"/>
        </w:rPr>
        <w:t xml:space="preserve">Cardinal Index Tab</w:t>
      </w:r>
      <w:r>
        <w:rPr>
          <w:rFonts w:ascii="Times New Roman" w:cs="Times New Roman" w:eastAsia="Times New Roman" w:hAnsi="Times New Roman"/>
          <w:sz w:val="22"/>
          <w:szCs w:val="22"/>
        </w:rPr>
        <w:t xml:space="preserve"> (92 đơn), </w:t>
      </w:r>
      <w:r>
        <w:rPr>
          <w:rFonts w:ascii="Times New Roman" w:cs="Times New Roman" w:eastAsia="Times New Roman" w:hAnsi="Times New Roman"/>
          <w:i/>
          <w:iCs/>
          <w:sz w:val="22"/>
          <w:szCs w:val="22"/>
        </w:rPr>
        <w:t xml:space="preserve">Eldon File Cart</w:t>
      </w:r>
      <w:r>
        <w:rPr>
          <w:rFonts w:ascii="Times New Roman" w:cs="Times New Roman" w:eastAsia="Times New Roman" w:hAnsi="Times New Roman"/>
          <w:sz w:val="22"/>
          <w:szCs w:val="22"/>
        </w:rPr>
        <w:t xml:space="preserve"> (90 đơn).</w:t>
      </w:r>
    </w:p>
    <w:p>
      <w:pPr>
        <w:spacing w:after="120" w:before="60" w:line="300"/>
        <w:jc w:val="both"/>
      </w:pPr>
      <w:r>
        <w:rPr>
          <w:rFonts w:ascii="Times New Roman" w:cs="Times New Roman" w:eastAsia="Times New Roman" w:hAnsi="Times New Roman"/>
          <w:b/>
          <w:bCs/>
          <w:sz w:val="22"/>
          <w:szCs w:val="22"/>
        </w:rPr>
        <w:t xml:space="preserve">Sản phẩm phá hoại lợi nhuận:</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Cubify CubeX 3D Printer</w:t>
      </w:r>
      <w:r>
        <w:rPr>
          <w:rFonts w:ascii="Times New Roman" w:cs="Times New Roman" w:eastAsia="Times New Roman" w:hAnsi="Times New Roman"/>
          <w:sz w:val="22"/>
          <w:szCs w:val="22"/>
        </w:rPr>
        <w:t xml:space="preserve"> (–8.880 chỉ với 3 đơn), </w:t>
      </w:r>
      <w:r>
        <w:rPr>
          <w:rFonts w:ascii="Times New Roman" w:cs="Times New Roman" w:eastAsia="Times New Roman" w:hAnsi="Times New Roman"/>
          <w:i/>
          <w:iCs/>
          <w:sz w:val="22"/>
          <w:szCs w:val="22"/>
        </w:rPr>
        <w:t xml:space="preserve">Lexmark MX611dhe</w:t>
      </w:r>
      <w:r>
        <w:rPr>
          <w:rFonts w:ascii="Times New Roman" w:cs="Times New Roman" w:eastAsia="Times New Roman" w:hAnsi="Times New Roman"/>
          <w:sz w:val="22"/>
          <w:szCs w:val="22"/>
        </w:rPr>
        <w:t xml:space="preserve"> (–4.590), </w:t>
      </w:r>
      <w:r>
        <w:rPr>
          <w:rFonts w:ascii="Times New Roman" w:cs="Times New Roman" w:eastAsia="Times New Roman" w:hAnsi="Times New Roman"/>
          <w:i/>
          <w:iCs/>
          <w:sz w:val="22"/>
          <w:szCs w:val="22"/>
        </w:rPr>
        <w:t xml:space="preserve">Motorola Smart Phone Cordless</w:t>
      </w:r>
      <w:r>
        <w:rPr>
          <w:rFonts w:ascii="Times New Roman" w:cs="Times New Roman" w:eastAsia="Times New Roman" w:hAnsi="Times New Roman"/>
          <w:sz w:val="22"/>
          <w:szCs w:val="22"/>
        </w:rPr>
        <w:t xml:space="preserve"> (–4.447).</w:t>
      </w:r>
    </w:p>
    <w:p>
      <w:pPr>
        <w:pStyle w:val="Heading2"/>
        <w:spacing w:after="120" w:before="260"/>
      </w:pPr>
      <w:r>
        <w:rPr>
          <w:rFonts w:ascii="Times New Roman" w:cs="Times New Roman" w:eastAsia="Times New Roman" w:hAnsi="Times New Roman"/>
          <w:b/>
          <w:bCs/>
          <w:color w:val="2E5C9A"/>
          <w:sz w:val="25"/>
          <w:szCs w:val="25"/>
        </w:rPr>
        <w:t xml:space="preserve">2.4. Cơ cấu giỏ hàng gần như đồng nhất mọi nơi</w:t>
      </w:r>
    </w:p>
    <w:p>
      <w:pPr>
        <w:spacing w:after="120" w:before="60" w:line="300"/>
        <w:jc w:val="both"/>
      </w:pPr>
      <w:r>
        <w:rPr>
          <w:rFonts w:ascii="Times New Roman" w:cs="Times New Roman" w:eastAsia="Times New Roman" w:hAnsi="Times New Roman"/>
          <w:sz w:val="22"/>
          <w:szCs w:val="22"/>
        </w:rPr>
        <w:t xml:space="preserve">Tỷ trọng Technology theo thị trường dao động rất hẹp: 36,4% (LATAM) → 41,1% (Africa). Theo phân khúc: 37,1% → 39,0%.</w:t>
      </w:r>
    </w:p>
    <w:p>
      <w:pPr>
        <w:spacing w:after="120" w:before="60" w:line="300"/>
        <w:jc w:val="both"/>
      </w:pPr>
      <w:r>
        <w:rPr>
          <w:rFonts w:ascii="Times New Roman" w:cs="Times New Roman" w:eastAsia="Times New Roman" w:hAnsi="Times New Roman"/>
          <w:b/>
          <w:bCs/>
          <w:sz w:val="22"/>
          <w:szCs w:val="22"/>
        </w:rPr>
        <w:t xml:space="preserve">➡️ Không cần chiến lược sản phẩm riêng theo vùng/phân khúc</w:t>
      </w:r>
      <w:r>
        <w:rPr>
          <w:rFonts w:ascii="Times New Roman" w:cs="Times New Roman" w:eastAsia="Times New Roman" w:hAnsi="Times New Roman"/>
          <w:sz w:val="22"/>
          <w:szCs w:val="22"/>
        </w:rPr>
        <w:t xml:space="preserve"> — khác biệt thực sự nằm ở </w:t>
      </w:r>
      <w:r>
        <w:rPr>
          <w:rFonts w:ascii="Times New Roman" w:cs="Times New Roman" w:eastAsia="Times New Roman" w:hAnsi="Times New Roman"/>
          <w:i/>
          <w:iCs/>
          <w:sz w:val="22"/>
          <w:szCs w:val="22"/>
        </w:rPr>
        <w:t xml:space="preserve">quy mô</w:t>
      </w:r>
      <w:r>
        <w:rPr>
          <w:rFonts w:ascii="Times New Roman" w:cs="Times New Roman" w:eastAsia="Times New Roman" w:hAnsi="Times New Roman"/>
          <w:sz w:val="22"/>
          <w:szCs w:val="22"/>
        </w:rPr>
        <w:t xml:space="preserve">, không phải </w:t>
      </w:r>
      <w:r>
        <w:rPr>
          <w:rFonts w:ascii="Times New Roman" w:cs="Times New Roman" w:eastAsia="Times New Roman" w:hAnsi="Times New Roman"/>
          <w:i/>
          <w:iCs/>
          <w:sz w:val="22"/>
          <w:szCs w:val="22"/>
        </w:rPr>
        <w:t xml:space="preserve">sở thích</w:t>
      </w:r>
      <w:r>
        <w:rPr>
          <w:rFonts w:ascii="Times New Roman" w:cs="Times New Roman" w:eastAsia="Times New Roman" w:hAnsi="Times New Roman"/>
          <w:sz w:val="22"/>
          <w:szCs w:val="22"/>
        </w:rPr>
        <w:t xml:space="preserve">.</w:t>
      </w:r>
    </w:p>
    <w:p>
      <w:pPr>
        <w:spacing w:after="120" w:before="60" w:line="300"/>
        <w:jc w:val="both"/>
      </w:pPr>
      <w:r>
        <w:rPr>
          <w:rFonts w:ascii="Times New Roman" w:cs="Times New Roman" w:eastAsia="Times New Roman" w:hAnsi="Times New Roman"/>
          <w:b/>
          <w:bCs/>
          <w:sz w:val="22"/>
          <w:szCs w:val="22"/>
        </w:rPr>
        <w:t xml:space="preserve">➡️ Kết luận câu 2:</w:t>
      </w:r>
      <w:r>
        <w:rPr>
          <w:rFonts w:ascii="Times New Roman" w:cs="Times New Roman" w:eastAsia="Times New Roman" w:hAnsi="Times New Roman"/>
          <w:sz w:val="22"/>
          <w:szCs w:val="22"/>
        </w:rPr>
        <w:t xml:space="preserve"> Khách hàng mua </w:t>
      </w:r>
      <w:r>
        <w:rPr>
          <w:rFonts w:ascii="Times New Roman" w:cs="Times New Roman" w:eastAsia="Times New Roman" w:hAnsi="Times New Roman"/>
          <w:b/>
          <w:bCs/>
          <w:sz w:val="22"/>
          <w:szCs w:val="22"/>
        </w:rPr>
        <w:t xml:space="preserve">văn phòng phẩm với tần suất cao và giá trị thấp</w:t>
      </w:r>
      <w:r>
        <w:rPr>
          <w:rFonts w:ascii="Times New Roman" w:cs="Times New Roman" w:eastAsia="Times New Roman" w:hAnsi="Times New Roman"/>
          <w:sz w:val="22"/>
          <w:szCs w:val="22"/>
        </w:rPr>
        <w:t xml:space="preserve"> (Binders, Art, Paper), nhưng doanh thu đến từ </w:t>
      </w:r>
      <w:r>
        <w:rPr>
          <w:rFonts w:ascii="Times New Roman" w:cs="Times New Roman" w:eastAsia="Times New Roman" w:hAnsi="Times New Roman"/>
          <w:b/>
          <w:bCs/>
          <w:sz w:val="22"/>
          <w:szCs w:val="22"/>
        </w:rPr>
        <w:t xml:space="preserve">Technology và Furniture giá trị cao mua thưa</w:t>
      </w:r>
      <w:r>
        <w:rPr>
          <w:rFonts w:ascii="Times New Roman" w:cs="Times New Roman" w:eastAsia="Times New Roman" w:hAnsi="Times New Roman"/>
          <w:sz w:val="22"/>
          <w:szCs w:val="22"/>
        </w:rPr>
        <w:t xml:space="preserve"> (Phones, Copiers, Chairs, Bookcases). Cần bảo vệ Technology (biên tốt nhất) và </w:t>
      </w:r>
      <w:r>
        <w:rPr>
          <w:rFonts w:ascii="Times New Roman" w:cs="Times New Roman" w:eastAsia="Times New Roman" w:hAnsi="Times New Roman"/>
          <w:b/>
          <w:bCs/>
          <w:sz w:val="22"/>
          <w:szCs w:val="22"/>
        </w:rPr>
        <w:t xml:space="preserve">xử lý gấp Tables</w:t>
      </w:r>
      <w:r>
        <w:rPr>
          <w:rFonts w:ascii="Times New Roman" w:cs="Times New Roman" w:eastAsia="Times New Roman" w:hAnsi="Times New Roman"/>
          <w:sz w:val="22"/>
          <w:szCs w:val="22"/>
        </w:rPr>
        <w:t xml:space="preserve"> — nhóm duy nhất lỗ, nguyên nhân là mức giảm giá trung bình 29%, gấp đôi mặt bằng chung.</w:t>
      </w:r>
    </w:p>
    <w:p>
      <w:r>
        <w:br w:type="page"/>
      </w:r>
    </w:p>
    <w:p>
      <w:pPr>
        <w:pStyle w:val="Heading1"/>
        <w:pBdr>
          <w:bottom w:val="single" w:color="1F3864" w:sz="12" w:space="6"/>
        </w:pBdr>
        <w:spacing w:after="160" w:before="160"/>
      </w:pPr>
      <w:r>
        <w:rPr>
          <w:rFonts w:ascii="Times New Roman" w:cs="Times New Roman" w:eastAsia="Times New Roman" w:hAnsi="Times New Roman"/>
          <w:b/>
          <w:bCs/>
          <w:color w:val="1F3864"/>
          <w:sz w:val="30"/>
          <w:szCs w:val="30"/>
        </w:rPr>
        <w:t xml:space="preserve">CÂU 3 — KHÁCH HÀNG CHI BAO NHIÊU MỖI LẦN ĐẶT?</w:t>
      </w:r>
    </w:p>
    <w:p>
      <w:pPr>
        <w:pStyle w:val="Heading2"/>
        <w:spacing w:after="120" w:before="260"/>
      </w:pPr>
      <w:r>
        <w:rPr>
          <w:rFonts w:ascii="Times New Roman" w:cs="Times New Roman" w:eastAsia="Times New Roman" w:hAnsi="Times New Roman"/>
          <w:b/>
          <w:bCs/>
          <w:color w:val="2E5C9A"/>
          <w:sz w:val="25"/>
          <w:szCs w:val="25"/>
        </w:rPr>
        <w:t xml:space="preserve">3.1. Phân bố giá trị đơn hàng</w:t>
      </w:r>
    </w:p>
    <w:tbl>
      <w:tblPr>
        <w:tblW w:type="dxa" w:w="9746"/>
        <w:tblBorders>
          <w:top w:val="single" w:color="A6B4CC" w:sz="3"/>
          <w:left w:val="single" w:color="A6B4CC" w:sz="3"/>
          <w:bottom w:val="single" w:color="A6B4CC" w:sz="3"/>
          <w:right w:val="single" w:color="A6B4CC" w:sz="3"/>
          <w:insideH w:val="single" w:color="A6B4CC" w:sz="3"/>
          <w:insideV w:val="single" w:color="A6B4CC" w:sz="3"/>
        </w:tblBorders>
      </w:tblPr>
      <w:tblGrid>
        <w:gridCol w:w="6497"/>
        <w:gridCol w:w="3249"/>
      </w:tblGrid>
      <w:tr>
        <w:trPr>
          <w:tblHeader/>
        </w:trPr>
        <w:tc>
          <w:tcPr>
            <w:tcW w:type="dxa" w:w="6497"/>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Thống kê</w:t>
            </w:r>
          </w:p>
        </w:tc>
        <w:tc>
          <w:tcPr>
            <w:tcW w:type="dxa" w:w="3249"/>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Giá trị</w:t>
            </w:r>
          </w:p>
        </w:tc>
      </w:tr>
      <w:tr>
        <w:trPr>
          <w:cantSplit/>
        </w:trPr>
        <w:tc>
          <w:tcPr>
            <w:tcW w:type="dxa" w:w="6497"/>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Trung bình (AOV)</w:t>
            </w:r>
          </w:p>
        </w:tc>
        <w:tc>
          <w:tcPr>
            <w:tcW w:type="dxa" w:w="3249"/>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sz w:val="19"/>
                <w:szCs w:val="19"/>
              </w:rPr>
              <w:t xml:space="preserve">491,4</w:t>
            </w:r>
          </w:p>
        </w:tc>
      </w:tr>
      <w:tr>
        <w:trPr>
          <w:cantSplit/>
        </w:trPr>
        <w:tc>
          <w:tcPr>
            <w:tcW w:type="dxa" w:w="6497"/>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b/>
                <w:bCs/>
                <w:sz w:val="19"/>
                <w:szCs w:val="19"/>
              </w:rPr>
              <w:t xml:space="preserve">Trung vị</w:t>
            </w:r>
          </w:p>
        </w:tc>
        <w:tc>
          <w:tcPr>
            <w:tcW w:type="dxa" w:w="3249"/>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sz w:val="19"/>
                <w:szCs w:val="19"/>
              </w:rPr>
              <w:t xml:space="preserve">201,6</w:t>
            </w:r>
          </w:p>
        </w:tc>
      </w:tr>
      <w:tr>
        <w:trPr>
          <w:cantSplit/>
        </w:trPr>
        <w:tc>
          <w:tcPr>
            <w:tcW w:type="dxa" w:w="6497"/>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Phân vị 25%</w:t>
            </w:r>
          </w:p>
        </w:tc>
        <w:tc>
          <w:tcPr>
            <w:tcW w:type="dxa" w:w="3249"/>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62,2</w:t>
            </w:r>
          </w:p>
        </w:tc>
      </w:tr>
      <w:tr>
        <w:trPr>
          <w:cantSplit/>
        </w:trPr>
        <w:tc>
          <w:tcPr>
            <w:tcW w:type="dxa" w:w="6497"/>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Phân vị 75%</w:t>
            </w:r>
          </w:p>
        </w:tc>
        <w:tc>
          <w:tcPr>
            <w:tcW w:type="dxa" w:w="3249"/>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597,8</w:t>
            </w:r>
          </w:p>
        </w:tc>
      </w:tr>
      <w:tr>
        <w:trPr>
          <w:cantSplit/>
        </w:trPr>
        <w:tc>
          <w:tcPr>
            <w:tcW w:type="dxa" w:w="6497"/>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Phân vị 90%</w:t>
            </w:r>
          </w:p>
        </w:tc>
        <w:tc>
          <w:tcPr>
            <w:tcW w:type="dxa" w:w="3249"/>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1.283,7</w:t>
            </w:r>
          </w:p>
        </w:tc>
      </w:tr>
      <w:tr>
        <w:trPr>
          <w:cantSplit/>
        </w:trPr>
        <w:tc>
          <w:tcPr>
            <w:tcW w:type="dxa" w:w="6497"/>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Phân vị 99%</w:t>
            </w:r>
          </w:p>
        </w:tc>
        <w:tc>
          <w:tcPr>
            <w:tcW w:type="dxa" w:w="3249"/>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3.725,5</w:t>
            </w:r>
          </w:p>
        </w:tc>
      </w:tr>
      <w:tr>
        <w:trPr>
          <w:cantSplit/>
        </w:trPr>
        <w:tc>
          <w:tcPr>
            <w:tcW w:type="dxa" w:w="6497"/>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Lớn nhất</w:t>
            </w:r>
          </w:p>
        </w:tc>
        <w:tc>
          <w:tcPr>
            <w:tcW w:type="dxa" w:w="3249"/>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23.661,2</w:t>
            </w:r>
          </w:p>
        </w:tc>
      </w:tr>
      <w:tr>
        <w:trPr>
          <w:cantSplit/>
        </w:trPr>
        <w:tc>
          <w:tcPr>
            <w:tcW w:type="dxa" w:w="6497"/>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Độ lệch chuẩn</w:t>
            </w:r>
          </w:p>
        </w:tc>
        <w:tc>
          <w:tcPr>
            <w:tcW w:type="dxa" w:w="3249"/>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789,6</w:t>
            </w:r>
          </w:p>
        </w:tc>
      </w:tr>
    </w:tbl>
    <w:p>
      <w:pPr>
        <w:spacing w:after="200"/>
      </w:pPr>
      <w:r>
        <w:rPr>
          <w:sz w:val="8"/>
          <w:szCs w:val="8"/>
        </w:rPr>
        <w:t xml:space="preserve"/>
      </w:r>
    </w:p>
    <w:p>
      <w:pPr>
        <w:pBdr>
          <w:left w:val="single" w:color="C8A020" w:sz="18" w:space="8"/>
        </w:pBdr>
        <w:shd w:fill="FDF3D8" w:color="auto" w:val="clear"/>
        <w:spacing w:after="60" w:before="60" w:line="290"/>
        <w:ind w:left="280" w:right="200"/>
      </w:pPr>
      <w:r>
        <w:rPr>
          <w:rFonts w:ascii="Times New Roman" w:cs="Times New Roman" w:eastAsia="Times New Roman" w:hAnsi="Times New Roman"/>
          <w:b/>
          <w:bCs/>
          <w:sz w:val="21"/>
          <w:szCs w:val="21"/>
        </w:rPr>
        <w:t xml:space="preserve">Trung bình (491) gấp 2,4 lần trung vị (202)</w:t>
      </w:r>
      <w:r>
        <w:rPr>
          <w:rFonts w:ascii="Times New Roman" w:cs="Times New Roman" w:eastAsia="Times New Roman" w:hAnsi="Times New Roman"/>
          <w:sz w:val="21"/>
          <w:szCs w:val="21"/>
        </w:rPr>
        <w:t xml:space="preserve"> → phân phối </w:t>
      </w:r>
      <w:r>
        <w:rPr>
          <w:rFonts w:ascii="Times New Roman" w:cs="Times New Roman" w:eastAsia="Times New Roman" w:hAnsi="Times New Roman"/>
          <w:b/>
          <w:bCs/>
          <w:sz w:val="21"/>
          <w:szCs w:val="21"/>
        </w:rPr>
        <w:t xml:space="preserve">lệch phải rất mạnh</w:t>
      </w:r>
      <w:r>
        <w:rPr>
          <w:rFonts w:ascii="Times New Roman" w:cs="Times New Roman" w:eastAsia="Times New Roman" w:hAnsi="Times New Roman"/>
          <w:sz w:val="21"/>
          <w:szCs w:val="21"/>
        </w:rPr>
        <w:t xml:space="preserve">. Con số "AOV 491" gây hiểu nhầm: </w:t>
      </w:r>
      <w:r>
        <w:rPr>
          <w:rFonts w:ascii="Times New Roman" w:cs="Times New Roman" w:eastAsia="Times New Roman" w:hAnsi="Times New Roman"/>
          <w:b/>
          <w:bCs/>
          <w:sz w:val="21"/>
          <w:szCs w:val="21"/>
        </w:rPr>
        <w:t xml:space="preserve">hơn một nửa số đơn thực tế dưới 202</w:t>
      </w:r>
      <w:r>
        <w:rPr>
          <w:rFonts w:ascii="Times New Roman" w:cs="Times New Roman" w:eastAsia="Times New Roman" w:hAnsi="Times New Roman"/>
          <w:sz w:val="21"/>
          <w:szCs w:val="21"/>
        </w:rPr>
        <w:t xml:space="preserve">. Khi viết luận nên dùng </w:t>
      </w:r>
      <w:r>
        <w:rPr>
          <w:rFonts w:ascii="Times New Roman" w:cs="Times New Roman" w:eastAsia="Times New Roman" w:hAnsi="Times New Roman"/>
          <w:b/>
          <w:bCs/>
          <w:sz w:val="21"/>
          <w:szCs w:val="21"/>
        </w:rPr>
        <w:t xml:space="preserve">trung vị</w:t>
      </w:r>
      <w:r>
        <w:rPr>
          <w:rFonts w:ascii="Times New Roman" w:cs="Times New Roman" w:eastAsia="Times New Roman" w:hAnsi="Times New Roman"/>
          <w:sz w:val="21"/>
          <w:szCs w:val="21"/>
        </w:rPr>
        <w:t xml:space="preserve"> làm đại diện.</w:t>
      </w:r>
    </w:p>
    <w:p>
      <w:pPr>
        <w:spacing w:after="160"/>
      </w:pPr>
      <w:r>
        <w:rPr>
          <w:sz w:val="8"/>
          <w:szCs w:val="8"/>
        </w:rPr>
        <w:t xml:space="preserve"/>
      </w:r>
    </w:p>
    <w:p>
      <w:pPr>
        <w:spacing w:after="120" w:before="60" w:line="300"/>
        <w:jc w:val="both"/>
      </w:pPr>
      <w:r>
        <w:rPr>
          <w:rFonts w:ascii="Times New Roman" w:cs="Times New Roman" w:eastAsia="Times New Roman" w:hAnsi="Times New Roman"/>
          <w:sz w:val="22"/>
          <w:szCs w:val="22"/>
        </w:rPr>
        <w:t xml:space="preserve">Quy mô giỏ hàng: trung bình </w:t>
      </w:r>
      <w:r>
        <w:rPr>
          <w:rFonts w:ascii="Times New Roman" w:cs="Times New Roman" w:eastAsia="Times New Roman" w:hAnsi="Times New Roman"/>
          <w:b/>
          <w:bCs/>
          <w:sz w:val="22"/>
          <w:szCs w:val="22"/>
        </w:rPr>
        <w:t xml:space="preserve">1,99 dòng/đơn</w:t>
      </w:r>
      <w:r>
        <w:rPr>
          <w:rFonts w:ascii="Times New Roman" w:cs="Times New Roman" w:eastAsia="Times New Roman" w:hAnsi="Times New Roman"/>
          <w:sz w:val="22"/>
          <w:szCs w:val="22"/>
        </w:rPr>
        <w:t xml:space="preserve"> nhưng </w:t>
      </w:r>
      <w:r>
        <w:rPr>
          <w:rFonts w:ascii="Times New Roman" w:cs="Times New Roman" w:eastAsia="Times New Roman" w:hAnsi="Times New Roman"/>
          <w:b/>
          <w:bCs/>
          <w:sz w:val="22"/>
          <w:szCs w:val="22"/>
        </w:rPr>
        <w:t xml:space="preserve">trung vị chỉ 1 dòng</w:t>
      </w:r>
      <w:r>
        <w:rPr>
          <w:rFonts w:ascii="Times New Roman" w:cs="Times New Roman" w:eastAsia="Times New Roman" w:hAnsi="Times New Roman"/>
          <w:sz w:val="22"/>
          <w:szCs w:val="22"/>
        </w:rPr>
        <w:t xml:space="preserve"> — đa số đơn chỉ mua đúng một sản phẩm. Trung bình 6,9 đơn vị sản phẩm/đơn.</w:t>
      </w:r>
    </w:p>
    <w:p>
      <w:pPr>
        <w:pStyle w:val="Heading2"/>
        <w:spacing w:after="120" w:before="260"/>
      </w:pPr>
      <w:r>
        <w:rPr>
          <w:rFonts w:ascii="Times New Roman" w:cs="Times New Roman" w:eastAsia="Times New Roman" w:hAnsi="Times New Roman"/>
          <w:b/>
          <w:bCs/>
          <w:color w:val="2E5C9A"/>
          <w:sz w:val="25"/>
          <w:szCs w:val="25"/>
        </w:rPr>
        <w:t xml:space="preserve">3.2. Phân khúc giá trị đơn — quy luật Pareto</w:t>
      </w:r>
    </w:p>
    <w:tbl>
      <w:tblPr>
        <w:tblW w:type="dxa" w:w="9746"/>
        <w:tblBorders>
          <w:top w:val="single" w:color="A6B4CC" w:sz="3"/>
          <w:left w:val="single" w:color="A6B4CC" w:sz="3"/>
          <w:bottom w:val="single" w:color="A6B4CC" w:sz="3"/>
          <w:right w:val="single" w:color="A6B4CC" w:sz="3"/>
          <w:insideH w:val="single" w:color="A6B4CC" w:sz="3"/>
          <w:insideV w:val="single" w:color="A6B4CC" w:sz="3"/>
        </w:tblBorders>
      </w:tblPr>
      <w:tblGrid>
        <w:gridCol w:w="3411"/>
        <w:gridCol w:w="1949"/>
        <w:gridCol w:w="2680"/>
        <w:gridCol w:w="1706"/>
      </w:tblGrid>
      <w:tr>
        <w:trPr>
          <w:tblHeader/>
        </w:trPr>
        <w:tc>
          <w:tcPr>
            <w:tcW w:type="dxa" w:w="3411"/>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Khoảng giá trị</w:t>
            </w:r>
          </w:p>
        </w:tc>
        <w:tc>
          <w:tcPr>
            <w:tcW w:type="dxa" w:w="1949"/>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 số đơn</w:t>
            </w:r>
          </w:p>
        </w:tc>
        <w:tc>
          <w:tcPr>
            <w:tcW w:type="dxa" w:w="2680"/>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 doanh thu</w:t>
            </w:r>
          </w:p>
        </w:tc>
        <w:tc>
          <w:tcPr>
            <w:tcW w:type="dxa" w:w="1706"/>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Biên LN</w:t>
            </w:r>
          </w:p>
        </w:tc>
      </w:tr>
      <w:tr>
        <w:trPr>
          <w:cantSplit/>
        </w:trPr>
        <w:tc>
          <w:tcPr>
            <w:tcW w:type="dxa" w:w="3411"/>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&lt; 100</w:t>
            </w:r>
          </w:p>
        </w:tc>
        <w:tc>
          <w:tcPr>
            <w:tcW w:type="dxa" w:w="1949"/>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sz w:val="19"/>
                <w:szCs w:val="19"/>
              </w:rPr>
              <w:t xml:space="preserve">34,1%</w:t>
            </w:r>
          </w:p>
        </w:tc>
        <w:tc>
          <w:tcPr>
            <w:tcW w:type="dxa" w:w="2680"/>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3,0%</w:t>
            </w:r>
          </w:p>
        </w:tc>
        <w:tc>
          <w:tcPr>
            <w:tcW w:type="dxa" w:w="1706"/>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sz w:val="19"/>
                <w:szCs w:val="19"/>
              </w:rPr>
              <w:t xml:space="preserve">1,8%</w:t>
            </w:r>
          </w:p>
        </w:tc>
      </w:tr>
      <w:tr>
        <w:trPr>
          <w:cantSplit/>
        </w:trPr>
        <w:tc>
          <w:tcPr>
            <w:tcW w:type="dxa" w:w="3411"/>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100 – 250</w:t>
            </w:r>
          </w:p>
        </w:tc>
        <w:tc>
          <w:tcPr>
            <w:tcW w:type="dxa" w:w="1949"/>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20,8%</w:t>
            </w:r>
          </w:p>
        </w:tc>
        <w:tc>
          <w:tcPr>
            <w:tcW w:type="dxa" w:w="2680"/>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7,0%</w:t>
            </w:r>
          </w:p>
        </w:tc>
        <w:tc>
          <w:tcPr>
            <w:tcW w:type="dxa" w:w="1706"/>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4,9%</w:t>
            </w:r>
          </w:p>
        </w:tc>
      </w:tr>
      <w:tr>
        <w:trPr>
          <w:cantSplit/>
        </w:trPr>
        <w:tc>
          <w:tcPr>
            <w:tcW w:type="dxa" w:w="3411"/>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250 – 500</w:t>
            </w:r>
          </w:p>
        </w:tc>
        <w:tc>
          <w:tcPr>
            <w:tcW w:type="dxa" w:w="1949"/>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16,2%</w:t>
            </w:r>
          </w:p>
        </w:tc>
        <w:tc>
          <w:tcPr>
            <w:tcW w:type="dxa" w:w="2680"/>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11,8%</w:t>
            </w:r>
          </w:p>
        </w:tc>
        <w:tc>
          <w:tcPr>
            <w:tcW w:type="dxa" w:w="1706"/>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5,8%</w:t>
            </w:r>
          </w:p>
        </w:tc>
      </w:tr>
      <w:tr>
        <w:trPr>
          <w:cantSplit/>
        </w:trPr>
        <w:tc>
          <w:tcPr>
            <w:tcW w:type="dxa" w:w="3411"/>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500 – 1.000</w:t>
            </w:r>
          </w:p>
        </w:tc>
        <w:tc>
          <w:tcPr>
            <w:tcW w:type="dxa" w:w="1949"/>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14,9%</w:t>
            </w:r>
          </w:p>
        </w:tc>
        <w:tc>
          <w:tcPr>
            <w:tcW w:type="dxa" w:w="2680"/>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21,6%</w:t>
            </w:r>
          </w:p>
        </w:tc>
        <w:tc>
          <w:tcPr>
            <w:tcW w:type="dxa" w:w="1706"/>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9,9%</w:t>
            </w:r>
          </w:p>
        </w:tc>
      </w:tr>
      <w:tr>
        <w:trPr>
          <w:cantSplit/>
        </w:trPr>
        <w:tc>
          <w:tcPr>
            <w:tcW w:type="dxa" w:w="3411"/>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1.000 – 2.500</w:t>
            </w:r>
          </w:p>
        </w:tc>
        <w:tc>
          <w:tcPr>
            <w:tcW w:type="dxa" w:w="1949"/>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11,2%</w:t>
            </w:r>
          </w:p>
        </w:tc>
        <w:tc>
          <w:tcPr>
            <w:tcW w:type="dxa" w:w="2680"/>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sz w:val="19"/>
                <w:szCs w:val="19"/>
              </w:rPr>
              <w:t xml:space="preserve">34,4%</w:t>
            </w:r>
          </w:p>
        </w:tc>
        <w:tc>
          <w:tcPr>
            <w:tcW w:type="dxa" w:w="1706"/>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12,5%</w:t>
            </w:r>
          </w:p>
        </w:tc>
      </w:tr>
      <w:tr>
        <w:trPr>
          <w:cantSplit/>
        </w:trPr>
        <w:tc>
          <w:tcPr>
            <w:tcW w:type="dxa" w:w="3411"/>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&gt; 2.500</w:t>
            </w:r>
          </w:p>
        </w:tc>
        <w:tc>
          <w:tcPr>
            <w:tcW w:type="dxa" w:w="1949"/>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2,9%</w:t>
            </w:r>
          </w:p>
        </w:tc>
        <w:tc>
          <w:tcPr>
            <w:tcW w:type="dxa" w:w="2680"/>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22,3%</w:t>
            </w:r>
          </w:p>
        </w:tc>
        <w:tc>
          <w:tcPr>
            <w:tcW w:type="dxa" w:w="1706"/>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sz w:val="19"/>
                <w:szCs w:val="19"/>
              </w:rPr>
              <w:t xml:space="preserve">18,4%</w:t>
            </w:r>
          </w:p>
        </w:tc>
      </w:tr>
    </w:tbl>
    <w:p>
      <w:pPr>
        <w:spacing w:after="200"/>
      </w:pPr>
      <w:r>
        <w:rPr>
          <w:sz w:val="8"/>
          <w:szCs w:val="8"/>
        </w:rPr>
        <w:t xml:space="preserve"/>
      </w:r>
    </w:p>
    <w:p>
      <w:pPr>
        <w:pBdr>
          <w:left w:val="single" w:color="C8A020" w:sz="18" w:space="8"/>
        </w:pBdr>
        <w:shd w:fill="FDF3D8" w:color="auto" w:val="clear"/>
        <w:spacing w:after="40" w:before="60" w:line="290"/>
        <w:ind w:left="280" w:right="200"/>
      </w:pPr>
      <w:r>
        <w:rPr>
          <w:rFonts w:ascii="Times New Roman" w:cs="Times New Roman" w:eastAsia="Times New Roman" w:hAnsi="Times New Roman"/>
          <w:b/>
          <w:bCs/>
          <w:sz w:val="21"/>
          <w:szCs w:val="21"/>
        </w:rPr>
        <w:t xml:space="preserve">20% đơn hàng lớn nhất tạo 67,0% doanh thu.</w:t>
      </w:r>
    </w:p>
    <w:p>
      <w:pPr>
        <w:pBdr>
          <w:left w:val="single" w:color="C8A020" w:sz="18" w:space="8"/>
        </w:pBdr>
        <w:shd w:fill="FDF3D8" w:color="auto" w:val="clear"/>
        <w:spacing w:after="40" w:before="40" w:line="290"/>
        <w:ind w:left="280" w:right="200"/>
      </w:pPr>
      <w:r>
        <w:rPr>
          <w:rFonts w:ascii="Times New Roman" w:cs="Times New Roman" w:eastAsia="Times New Roman" w:hAnsi="Times New Roman"/>
          <w:b/>
          <w:bCs/>
          <w:sz w:val="21"/>
          <w:szCs w:val="21"/>
        </w:rPr>
        <w:t xml:space="preserve">Phát hiện quan trọng:</w:t>
      </w:r>
      <w:r>
        <w:rPr>
          <w:rFonts w:ascii="Times New Roman" w:cs="Times New Roman" w:eastAsia="Times New Roman" w:hAnsi="Times New Roman"/>
          <w:sz w:val="21"/>
          <w:szCs w:val="21"/>
        </w:rPr>
        <w:t xml:space="preserve"> 34% số đơn (giá trị &lt;100) chỉ đóng góp 3% doanh thu với biên lợi nhuận </w:t>
      </w:r>
      <w:r>
        <w:rPr>
          <w:rFonts w:ascii="Times New Roman" w:cs="Times New Roman" w:eastAsia="Times New Roman" w:hAnsi="Times New Roman"/>
          <w:b/>
          <w:bCs/>
          <w:sz w:val="21"/>
          <w:szCs w:val="21"/>
        </w:rPr>
        <w:t xml:space="preserve">1,8%</w:t>
      </w:r>
      <w:r>
        <w:rPr>
          <w:rFonts w:ascii="Times New Roman" w:cs="Times New Roman" w:eastAsia="Times New Roman" w:hAnsi="Times New Roman"/>
          <w:sz w:val="21"/>
          <w:szCs w:val="21"/>
        </w:rPr>
        <w:t xml:space="preserve"> — sau khi trừ chi phí xử lý và vận chuyển, nhóm này gần như chắc chắn </w:t>
      </w:r>
      <w:r>
        <w:rPr>
          <w:rFonts w:ascii="Times New Roman" w:cs="Times New Roman" w:eastAsia="Times New Roman" w:hAnsi="Times New Roman"/>
          <w:b/>
          <w:bCs/>
          <w:sz w:val="21"/>
          <w:szCs w:val="21"/>
        </w:rPr>
        <w:t xml:space="preserve">lỗ</w:t>
      </w:r>
      <w:r>
        <w:rPr>
          <w:rFonts w:ascii="Times New Roman" w:cs="Times New Roman" w:eastAsia="Times New Roman" w:hAnsi="Times New Roman"/>
          <w:sz w:val="21"/>
          <w:szCs w:val="21"/>
        </w:rPr>
        <w:t xml:space="preserve">. Ngược lại, đơn &gt;2.500 có biên 18,4%, gấp 10 lần.</w:t>
      </w:r>
    </w:p>
    <w:p>
      <w:pPr>
        <w:pBdr>
          <w:left w:val="single" w:color="C8A020" w:sz="18" w:space="8"/>
        </w:pBdr>
        <w:shd w:fill="FDF3D8" w:color="auto" w:val="clear"/>
        <w:spacing w:after="60" w:before="40" w:line="290"/>
        <w:ind w:left="280" w:right="200"/>
      </w:pPr>
      <w:r>
        <w:rPr>
          <w:rFonts w:ascii="Times New Roman" w:cs="Times New Roman" w:eastAsia="Times New Roman" w:hAnsi="Times New Roman"/>
          <w:sz w:val="21"/>
          <w:szCs w:val="21"/>
        </w:rPr>
        <w:t xml:space="preserve">Biên lợi nhuận </w:t>
      </w:r>
      <w:r>
        <w:rPr>
          <w:rFonts w:ascii="Times New Roman" w:cs="Times New Roman" w:eastAsia="Times New Roman" w:hAnsi="Times New Roman"/>
          <w:b/>
          <w:bCs/>
          <w:sz w:val="21"/>
          <w:szCs w:val="21"/>
        </w:rPr>
        <w:t xml:space="preserve">tăng đơn điệu</w:t>
      </w:r>
      <w:r>
        <w:rPr>
          <w:rFonts w:ascii="Times New Roman" w:cs="Times New Roman" w:eastAsia="Times New Roman" w:hAnsi="Times New Roman"/>
          <w:sz w:val="21"/>
          <w:szCs w:val="21"/>
        </w:rPr>
        <w:t xml:space="preserve"> theo giá trị đơn → đây là bằng chứng mạnh cho chính sách </w:t>
      </w:r>
      <w:r>
        <w:rPr>
          <w:rFonts w:ascii="Times New Roman" w:cs="Times New Roman" w:eastAsia="Times New Roman" w:hAnsi="Times New Roman"/>
          <w:b/>
          <w:bCs/>
          <w:sz w:val="21"/>
          <w:szCs w:val="21"/>
        </w:rPr>
        <w:t xml:space="preserve">giá trị đơn tối thiểu</w:t>
      </w:r>
      <w:r>
        <w:rPr>
          <w:rFonts w:ascii="Times New Roman" w:cs="Times New Roman" w:eastAsia="Times New Roman" w:hAnsi="Times New Roman"/>
          <w:sz w:val="21"/>
          <w:szCs w:val="21"/>
        </w:rPr>
        <w:t xml:space="preserve"> hoặc </w:t>
      </w:r>
      <w:r>
        <w:rPr>
          <w:rFonts w:ascii="Times New Roman" w:cs="Times New Roman" w:eastAsia="Times New Roman" w:hAnsi="Times New Roman"/>
          <w:b/>
          <w:bCs/>
          <w:sz w:val="21"/>
          <w:szCs w:val="21"/>
        </w:rPr>
        <w:t xml:space="preserve">phí xử lý đơn nhỏ</w:t>
      </w:r>
      <w:r>
        <w:rPr>
          <w:rFonts w:ascii="Times New Roman" w:cs="Times New Roman" w:eastAsia="Times New Roman" w:hAnsi="Times New Roman"/>
          <w:sz w:val="21"/>
          <w:szCs w:val="21"/>
        </w:rPr>
        <w:t xml:space="preserve">.</w:t>
      </w:r>
    </w:p>
    <w:p>
      <w:pPr>
        <w:spacing w:after="160"/>
      </w:pPr>
      <w:r>
        <w:rPr>
          <w:sz w:val="8"/>
          <w:szCs w:val="8"/>
        </w:rPr>
        <w:t xml:space="preserve"/>
      </w:r>
    </w:p>
    <w:p>
      <w:pPr>
        <w:pStyle w:val="Heading2"/>
        <w:spacing w:after="120" w:before="260"/>
      </w:pPr>
      <w:r>
        <w:rPr>
          <w:rFonts w:ascii="Times New Roman" w:cs="Times New Roman" w:eastAsia="Times New Roman" w:hAnsi="Times New Roman"/>
          <w:b/>
          <w:bCs/>
          <w:color w:val="2E5C9A"/>
          <w:sz w:val="25"/>
          <w:szCs w:val="25"/>
        </w:rPr>
        <w:t xml:space="preserve">3.3. Khác biệt theo thị trường</w:t>
      </w:r>
    </w:p>
    <w:tbl>
      <w:tblPr>
        <w:tblW w:type="dxa" w:w="9746"/>
        <w:tblBorders>
          <w:top w:val="single" w:color="A6B4CC" w:sz="3"/>
          <w:left w:val="single" w:color="A6B4CC" w:sz="3"/>
          <w:bottom w:val="single" w:color="A6B4CC" w:sz="3"/>
          <w:right w:val="single" w:color="A6B4CC" w:sz="3"/>
          <w:insideH w:val="single" w:color="A6B4CC" w:sz="3"/>
          <w:insideV w:val="single" w:color="A6B4CC" w:sz="3"/>
        </w:tblBorders>
      </w:tblPr>
      <w:tblGrid>
        <w:gridCol w:w="4873"/>
        <w:gridCol w:w="1624"/>
        <w:gridCol w:w="3249"/>
      </w:tblGrid>
      <w:tr>
        <w:trPr>
          <w:tblHeader/>
        </w:trPr>
        <w:tc>
          <w:tcPr>
            <w:tcW w:type="dxa" w:w="4873"/>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Market</w:t>
            </w:r>
          </w:p>
        </w:tc>
        <w:tc>
          <w:tcPr>
            <w:tcW w:type="dxa" w:w="1624"/>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AOV</w:t>
            </w:r>
          </w:p>
        </w:tc>
        <w:tc>
          <w:tcPr>
            <w:tcW w:type="dxa" w:w="3249"/>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Trung vị</w:t>
            </w:r>
          </w:p>
        </w:tc>
      </w:tr>
      <w:tr>
        <w:trPr>
          <w:cantSplit/>
        </w:trPr>
        <w:tc>
          <w:tcPr>
            <w:tcW w:type="dxa" w:w="4873"/>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Asia Pacific</w:t>
            </w:r>
          </w:p>
        </w:tc>
        <w:tc>
          <w:tcPr>
            <w:tcW w:type="dxa" w:w="1624"/>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571</w:t>
            </w:r>
          </w:p>
        </w:tc>
        <w:tc>
          <w:tcPr>
            <w:tcW w:type="dxa" w:w="3249"/>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240</w:t>
            </w:r>
          </w:p>
        </w:tc>
      </w:tr>
      <w:tr>
        <w:trPr>
          <w:cantSplit/>
        </w:trPr>
        <w:tc>
          <w:tcPr>
            <w:tcW w:type="dxa" w:w="4873"/>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Europe</w:t>
            </w:r>
          </w:p>
        </w:tc>
        <w:tc>
          <w:tcPr>
            <w:tcW w:type="dxa" w:w="1624"/>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547</w:t>
            </w:r>
          </w:p>
        </w:tc>
        <w:tc>
          <w:tcPr>
            <w:tcW w:type="dxa" w:w="3249"/>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256</w:t>
            </w:r>
          </w:p>
        </w:tc>
      </w:tr>
      <w:tr>
        <w:trPr>
          <w:cantSplit/>
        </w:trPr>
        <w:tc>
          <w:tcPr>
            <w:tcW w:type="dxa" w:w="4873"/>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USCA</w:t>
            </w:r>
          </w:p>
        </w:tc>
        <w:tc>
          <w:tcPr>
            <w:tcW w:type="dxa" w:w="1624"/>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454</w:t>
            </w:r>
          </w:p>
        </w:tc>
        <w:tc>
          <w:tcPr>
            <w:tcW w:type="dxa" w:w="3249"/>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150</w:t>
            </w:r>
          </w:p>
        </w:tc>
      </w:tr>
      <w:tr>
        <w:trPr>
          <w:cantSplit/>
        </w:trPr>
        <w:tc>
          <w:tcPr>
            <w:tcW w:type="dxa" w:w="4873"/>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LATAM</w:t>
            </w:r>
          </w:p>
        </w:tc>
        <w:tc>
          <w:tcPr>
            <w:tcW w:type="dxa" w:w="1624"/>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421</w:t>
            </w:r>
          </w:p>
        </w:tc>
        <w:tc>
          <w:tcPr>
            <w:tcW w:type="dxa" w:w="3249"/>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194</w:t>
            </w:r>
          </w:p>
        </w:tc>
      </w:tr>
      <w:tr>
        <w:trPr>
          <w:cantSplit/>
        </w:trPr>
        <w:tc>
          <w:tcPr>
            <w:tcW w:type="dxa" w:w="4873"/>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Africa</w:t>
            </w:r>
          </w:p>
        </w:tc>
        <w:tc>
          <w:tcPr>
            <w:tcW w:type="dxa" w:w="1624"/>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343</w:t>
            </w:r>
          </w:p>
        </w:tc>
        <w:tc>
          <w:tcPr>
            <w:tcW w:type="dxa" w:w="3249"/>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130</w:t>
            </w:r>
          </w:p>
        </w:tc>
      </w:tr>
    </w:tbl>
    <w:p>
      <w:pPr>
        <w:spacing w:after="200"/>
      </w:pPr>
      <w:r>
        <w:rPr>
          <w:sz w:val="8"/>
          <w:szCs w:val="8"/>
        </w:rPr>
        <w:t xml:space="preserve"/>
      </w:r>
    </w:p>
    <w:p>
      <w:pPr>
        <w:spacing w:after="120" w:before="60" w:line="300"/>
        <w:jc w:val="both"/>
      </w:pPr>
      <w:r>
        <w:rPr>
          <w:rFonts w:ascii="Times New Roman" w:cs="Times New Roman" w:eastAsia="Times New Roman" w:hAnsi="Times New Roman"/>
          <w:sz w:val="22"/>
          <w:szCs w:val="22"/>
        </w:rPr>
        <w:t xml:space="preserve">USCA đông đơn nhưng giá trị mỗi đơn thấp (trung vị 150); APAC/Europe ít đơn hơn nhưng mỗi đơn lớn hơn ~70%.</w:t>
      </w:r>
    </w:p>
    <w:p>
      <w:pPr>
        <w:spacing w:after="120" w:before="60" w:line="300"/>
        <w:jc w:val="both"/>
      </w:pPr>
      <w:r>
        <w:rPr>
          <w:rFonts w:ascii="Times New Roman" w:cs="Times New Roman" w:eastAsia="Times New Roman" w:hAnsi="Times New Roman"/>
          <w:sz w:val="22"/>
          <w:szCs w:val="22"/>
        </w:rPr>
        <w:t xml:space="preserve">Theo phân khúc: Consumer 490 – Corporate 495 – Home Office 490 → </w:t>
      </w:r>
      <w:r>
        <w:rPr>
          <w:rFonts w:ascii="Times New Roman" w:cs="Times New Roman" w:eastAsia="Times New Roman" w:hAnsi="Times New Roman"/>
          <w:b/>
          <w:bCs/>
          <w:sz w:val="22"/>
          <w:szCs w:val="22"/>
        </w:rPr>
        <w:t xml:space="preserve">không khác biệt</w:t>
      </w:r>
      <w:r>
        <w:rPr>
          <w:rFonts w:ascii="Times New Roman" w:cs="Times New Roman" w:eastAsia="Times New Roman" w:hAnsi="Times New Roman"/>
          <w:sz w:val="22"/>
          <w:szCs w:val="22"/>
        </w:rPr>
        <w:t xml:space="preserve">.</w:t>
      </w:r>
    </w:p>
    <w:p>
      <w:pPr>
        <w:pStyle w:val="Heading2"/>
        <w:spacing w:after="120" w:before="260"/>
      </w:pPr>
      <w:r>
        <w:rPr>
          <w:rFonts w:ascii="Times New Roman" w:cs="Times New Roman" w:eastAsia="Times New Roman" w:hAnsi="Times New Roman"/>
          <w:b/>
          <w:bCs/>
          <w:color w:val="2E5C9A"/>
          <w:sz w:val="25"/>
          <w:szCs w:val="25"/>
        </w:rPr>
        <w:t xml:space="preserve">3.4. AOV đi ngang suốt 4 năm</w:t>
      </w:r>
    </w:p>
    <w:p>
      <w:pPr>
        <w:spacing w:after="120" w:before="60" w:line="300"/>
        <w:jc w:val="both"/>
      </w:pPr>
      <w:r>
        <w:rPr>
          <w:rFonts w:ascii="Times New Roman" w:cs="Times New Roman" w:eastAsia="Times New Roman" w:hAnsi="Times New Roman"/>
          <w:sz w:val="22"/>
          <w:szCs w:val="22"/>
        </w:rPr>
        <w:t xml:space="preserve">2014: 500 → 2015: 489 → 2016: 495 → 2017: 486. Trung vị dao động 199–204.</w:t>
      </w:r>
    </w:p>
    <w:p>
      <w:pPr>
        <w:spacing w:after="120" w:before="60" w:line="300"/>
        <w:jc w:val="both"/>
      </w:pP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 Toàn bộ tăng trưởng của doanh nghiệp đến từ </w:t>
      </w:r>
      <w:r>
        <w:rPr>
          <w:rFonts w:ascii="Times New Roman" w:cs="Times New Roman" w:eastAsia="Times New Roman" w:hAnsi="Times New Roman"/>
          <w:sz w:val="22"/>
          <w:szCs w:val="22"/>
        </w:rPr>
        <w:t xml:space="preserve">số lượng đơn</w:t>
      </w:r>
      <w:r>
        <w:rPr>
          <w:rFonts w:ascii="Times New Roman" w:cs="Times New Roman" w:eastAsia="Times New Roman" w:hAnsi="Times New Roman"/>
          <w:i/>
          <w:iCs/>
          <w:sz w:val="22"/>
          <w:szCs w:val="22"/>
        </w:rPr>
        <w:t xml:space="preserve">, không phải từ việc khách chi nhiều hơn.</w:t>
      </w:r>
      <w:r>
        <w:rPr>
          <w:rFonts w:ascii="Times New Roman" w:cs="Times New Roman" w:eastAsia="Times New Roman" w:hAnsi="Times New Roman"/>
          <w:sz w:val="22"/>
          <w:szCs w:val="22"/>
        </w:rPr>
        <w:t xml:space="preserve">* Đây là dư địa chưa khai thác: chỉ cần nâng AOV 10% là có thêm ~1,26 triệu doanh thu mà không cần thêm một khách hàng nào.</w:t>
      </w:r>
    </w:p>
    <w:p>
      <w:pPr>
        <w:spacing w:after="120" w:before="60" w:line="300"/>
        <w:jc w:val="both"/>
      </w:pPr>
      <w:r>
        <w:rPr>
          <w:rFonts w:ascii="Times New Roman" w:cs="Times New Roman" w:eastAsia="Times New Roman" w:hAnsi="Times New Roman"/>
          <w:b/>
          <w:bCs/>
          <w:sz w:val="22"/>
          <w:szCs w:val="22"/>
        </w:rPr>
        <w:t xml:space="preserve">➡️ Kết luận câu 3:</w:t>
      </w:r>
      <w:r>
        <w:rPr>
          <w:rFonts w:ascii="Times New Roman" w:cs="Times New Roman" w:eastAsia="Times New Roman" w:hAnsi="Times New Roman"/>
          <w:sz w:val="22"/>
          <w:szCs w:val="22"/>
        </w:rPr>
        <w:t xml:space="preserve"> Khách hàng điển hình chi </w:t>
      </w:r>
      <w:r>
        <w:rPr>
          <w:rFonts w:ascii="Times New Roman" w:cs="Times New Roman" w:eastAsia="Times New Roman" w:hAnsi="Times New Roman"/>
          <w:b/>
          <w:bCs/>
          <w:sz w:val="22"/>
          <w:szCs w:val="22"/>
        </w:rPr>
        <w:t xml:space="preserve">~202 mỗi lần đặt</w:t>
      </w:r>
      <w:r>
        <w:rPr>
          <w:rFonts w:ascii="Times New Roman" w:cs="Times New Roman" w:eastAsia="Times New Roman" w:hAnsi="Times New Roman"/>
          <w:sz w:val="22"/>
          <w:szCs w:val="22"/>
        </w:rPr>
        <w:t xml:space="preserve"> (không phải 491), mua </w:t>
      </w:r>
      <w:r>
        <w:rPr>
          <w:rFonts w:ascii="Times New Roman" w:cs="Times New Roman" w:eastAsia="Times New Roman" w:hAnsi="Times New Roman"/>
          <w:b/>
          <w:bCs/>
          <w:sz w:val="22"/>
          <w:szCs w:val="22"/>
        </w:rPr>
        <w:t xml:space="preserve">1 sản phẩm</w:t>
      </w:r>
      <w:r>
        <w:rPr>
          <w:rFonts w:ascii="Times New Roman" w:cs="Times New Roman" w:eastAsia="Times New Roman" w:hAnsi="Times New Roman"/>
          <w:sz w:val="22"/>
          <w:szCs w:val="22"/>
        </w:rPr>
        <w:t xml:space="preserve">, với ~7 đơn vị. Cấu trúc phân cực: một đuôi dài đơn nhỏ gần như không sinh lời và một nhóm nhỏ đơn lớn gánh toàn bộ lợi nhuận.</w:t>
      </w:r>
    </w:p>
    <w:p>
      <w:r>
        <w:br w:type="page"/>
      </w:r>
    </w:p>
    <w:p>
      <w:pPr>
        <w:pStyle w:val="Heading1"/>
        <w:pBdr>
          <w:bottom w:val="single" w:color="1F3864" w:sz="12" w:space="6"/>
        </w:pBdr>
        <w:spacing w:after="160" w:before="160"/>
      </w:pPr>
      <w:r>
        <w:rPr>
          <w:rFonts w:ascii="Times New Roman" w:cs="Times New Roman" w:eastAsia="Times New Roman" w:hAnsi="Times New Roman"/>
          <w:b/>
          <w:bCs/>
          <w:color w:val="1F3864"/>
          <w:sz w:val="30"/>
          <w:szCs w:val="30"/>
        </w:rPr>
        <w:t xml:space="preserve">CÂU 4 — XU HƯỚNG MUA HÀNG THEO THỜI GIAN</w:t>
      </w:r>
    </w:p>
    <w:p>
      <w:pPr>
        <w:pStyle w:val="Heading2"/>
        <w:spacing w:after="120" w:before="260"/>
      </w:pPr>
      <w:r>
        <w:rPr>
          <w:rFonts w:ascii="Times New Roman" w:cs="Times New Roman" w:eastAsia="Times New Roman" w:hAnsi="Times New Roman"/>
          <w:b/>
          <w:bCs/>
          <w:color w:val="2E5C9A"/>
          <w:sz w:val="25"/>
          <w:szCs w:val="25"/>
        </w:rPr>
        <w:t xml:space="preserve">4.1. Tăng trưởng theo năm</w:t>
      </w:r>
    </w:p>
    <w:tbl>
      <w:tblPr>
        <w:tblW w:type="dxa" w:w="9746"/>
        <w:tblBorders>
          <w:top w:val="single" w:color="A6B4CC" w:sz="3"/>
          <w:left w:val="single" w:color="A6B4CC" w:sz="3"/>
          <w:bottom w:val="single" w:color="A6B4CC" w:sz="3"/>
          <w:right w:val="single" w:color="A6B4CC" w:sz="3"/>
          <w:insideH w:val="single" w:color="A6B4CC" w:sz="3"/>
          <w:insideV w:val="single" w:color="A6B4CC" w:sz="3"/>
        </w:tblBorders>
      </w:tblPr>
      <w:tblGrid>
        <w:gridCol w:w="780"/>
        <w:gridCol w:w="1170"/>
        <w:gridCol w:w="975"/>
        <w:gridCol w:w="1754"/>
        <w:gridCol w:w="1364"/>
        <w:gridCol w:w="1559"/>
        <w:gridCol w:w="780"/>
        <w:gridCol w:w="1364"/>
      </w:tblGrid>
      <w:tr>
        <w:trPr>
          <w:tblHeader/>
        </w:trPr>
        <w:tc>
          <w:tcPr>
            <w:tcW w:type="dxa" w:w="780"/>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Năm</w:t>
            </w:r>
          </w:p>
        </w:tc>
        <w:tc>
          <w:tcPr>
            <w:tcW w:type="dxa" w:w="1170"/>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Số đơn</w:t>
            </w:r>
          </w:p>
        </w:tc>
        <w:tc>
          <w:tcPr>
            <w:tcW w:type="dxa" w:w="975"/>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Số KH</w:t>
            </w:r>
          </w:p>
        </w:tc>
        <w:tc>
          <w:tcPr>
            <w:tcW w:type="dxa" w:w="1754"/>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Doanh thu</w:t>
            </w:r>
          </w:p>
        </w:tc>
        <w:tc>
          <w:tcPr>
            <w:tcW w:type="dxa" w:w="1364"/>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Tăng DT</w:t>
            </w:r>
          </w:p>
        </w:tc>
        <w:tc>
          <w:tcPr>
            <w:tcW w:type="dxa" w:w="1559"/>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Tăng đơn</w:t>
            </w:r>
          </w:p>
        </w:tc>
        <w:tc>
          <w:tcPr>
            <w:tcW w:type="dxa" w:w="780"/>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AOV</w:t>
            </w:r>
          </w:p>
        </w:tc>
        <w:tc>
          <w:tcPr>
            <w:tcW w:type="dxa" w:w="1364"/>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Biên LN</w:t>
            </w:r>
          </w:p>
        </w:tc>
      </w:tr>
      <w:tr>
        <w:trPr>
          <w:cantSplit/>
        </w:trPr>
        <w:tc>
          <w:tcPr>
            <w:tcW w:type="dxa" w:w="780"/>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2014</w:t>
            </w:r>
          </w:p>
        </w:tc>
        <w:tc>
          <w:tcPr>
            <w:tcW w:type="dxa" w:w="1170"/>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4.515</w:t>
            </w:r>
          </w:p>
        </w:tc>
        <w:tc>
          <w:tcPr>
            <w:tcW w:type="dxa" w:w="975"/>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4.163</w:t>
            </w:r>
          </w:p>
        </w:tc>
        <w:tc>
          <w:tcPr>
            <w:tcW w:type="dxa" w:w="1754"/>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2.259.451</w:t>
            </w:r>
          </w:p>
        </w:tc>
        <w:tc>
          <w:tcPr>
            <w:tcW w:type="dxa" w:w="1364"/>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w:t>
            </w:r>
          </w:p>
        </w:tc>
        <w:tc>
          <w:tcPr>
            <w:tcW w:type="dxa" w:w="1559"/>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w:t>
            </w:r>
          </w:p>
        </w:tc>
        <w:tc>
          <w:tcPr>
            <w:tcW w:type="dxa" w:w="780"/>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500</w:t>
            </w:r>
          </w:p>
        </w:tc>
        <w:tc>
          <w:tcPr>
            <w:tcW w:type="dxa" w:w="1364"/>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11,0%</w:t>
            </w:r>
          </w:p>
        </w:tc>
      </w:tr>
      <w:tr>
        <w:trPr>
          <w:cantSplit/>
        </w:trPr>
        <w:tc>
          <w:tcPr>
            <w:tcW w:type="dxa" w:w="780"/>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2015</w:t>
            </w:r>
          </w:p>
        </w:tc>
        <w:tc>
          <w:tcPr>
            <w:tcW w:type="dxa" w:w="1170"/>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5.473</w:t>
            </w:r>
          </w:p>
        </w:tc>
        <w:tc>
          <w:tcPr>
            <w:tcW w:type="dxa" w:w="975"/>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4.946</w:t>
            </w:r>
          </w:p>
        </w:tc>
        <w:tc>
          <w:tcPr>
            <w:tcW w:type="dxa" w:w="1754"/>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2.677.439</w:t>
            </w:r>
          </w:p>
        </w:tc>
        <w:tc>
          <w:tcPr>
            <w:tcW w:type="dxa" w:w="1364"/>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+18,5%</w:t>
            </w:r>
          </w:p>
        </w:tc>
        <w:tc>
          <w:tcPr>
            <w:tcW w:type="dxa" w:w="1559"/>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+21,2%</w:t>
            </w:r>
          </w:p>
        </w:tc>
        <w:tc>
          <w:tcPr>
            <w:tcW w:type="dxa" w:w="780"/>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489</w:t>
            </w:r>
          </w:p>
        </w:tc>
        <w:tc>
          <w:tcPr>
            <w:tcW w:type="dxa" w:w="1364"/>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11,5%</w:t>
            </w:r>
          </w:p>
        </w:tc>
      </w:tr>
      <w:tr>
        <w:trPr>
          <w:cantSplit/>
        </w:trPr>
        <w:tc>
          <w:tcPr>
            <w:tcW w:type="dxa" w:w="780"/>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2016</w:t>
            </w:r>
          </w:p>
        </w:tc>
        <w:tc>
          <w:tcPr>
            <w:tcW w:type="dxa" w:w="1170"/>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6.883</w:t>
            </w:r>
          </w:p>
        </w:tc>
        <w:tc>
          <w:tcPr>
            <w:tcW w:type="dxa" w:w="975"/>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6.111</w:t>
            </w:r>
          </w:p>
        </w:tc>
        <w:tc>
          <w:tcPr>
            <w:tcW w:type="dxa" w:w="1754"/>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3.405.746</w:t>
            </w:r>
          </w:p>
        </w:tc>
        <w:tc>
          <w:tcPr>
            <w:tcW w:type="dxa" w:w="1364"/>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+27,2%</w:t>
            </w:r>
          </w:p>
        </w:tc>
        <w:tc>
          <w:tcPr>
            <w:tcW w:type="dxa" w:w="1559"/>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+25,8%</w:t>
            </w:r>
          </w:p>
        </w:tc>
        <w:tc>
          <w:tcPr>
            <w:tcW w:type="dxa" w:w="780"/>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495</w:t>
            </w:r>
          </w:p>
        </w:tc>
        <w:tc>
          <w:tcPr>
            <w:tcW w:type="dxa" w:w="1364"/>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12,0%</w:t>
            </w:r>
          </w:p>
        </w:tc>
      </w:tr>
      <w:tr>
        <w:trPr>
          <w:cantSplit/>
        </w:trPr>
        <w:tc>
          <w:tcPr>
            <w:tcW w:type="dxa" w:w="780"/>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2017</w:t>
            </w:r>
          </w:p>
        </w:tc>
        <w:tc>
          <w:tcPr>
            <w:tcW w:type="dxa" w:w="1170"/>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8.857</w:t>
            </w:r>
          </w:p>
        </w:tc>
        <w:tc>
          <w:tcPr>
            <w:tcW w:type="dxa" w:w="975"/>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7.621</w:t>
            </w:r>
          </w:p>
        </w:tc>
        <w:tc>
          <w:tcPr>
            <w:tcW w:type="dxa" w:w="1754"/>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4.299.866</w:t>
            </w:r>
          </w:p>
        </w:tc>
        <w:tc>
          <w:tcPr>
            <w:tcW w:type="dxa" w:w="1364"/>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+26,3%</w:t>
            </w:r>
          </w:p>
        </w:tc>
        <w:tc>
          <w:tcPr>
            <w:tcW w:type="dxa" w:w="1559"/>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+28,7%</w:t>
            </w:r>
          </w:p>
        </w:tc>
        <w:tc>
          <w:tcPr>
            <w:tcW w:type="dxa" w:w="780"/>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485</w:t>
            </w:r>
          </w:p>
        </w:tc>
        <w:tc>
          <w:tcPr>
            <w:tcW w:type="dxa" w:w="1364"/>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11,7%</w:t>
            </w:r>
          </w:p>
        </w:tc>
      </w:tr>
    </w:tbl>
    <w:p>
      <w:pPr>
        <w:spacing w:after="200"/>
      </w:pPr>
      <w:r>
        <w:rPr>
          <w:sz w:val="8"/>
          <w:szCs w:val="8"/>
        </w:rPr>
        <w:t xml:space="preserve"/>
      </w:r>
    </w:p>
    <w:p>
      <w:pPr>
        <w:pBdr>
          <w:left w:val="single" w:color="C8A020" w:sz="18" w:space="8"/>
        </w:pBdr>
        <w:shd w:fill="FDF3D8" w:color="auto" w:val="clear"/>
        <w:spacing w:after="40" w:before="60" w:line="290"/>
        <w:ind w:left="280" w:right="200"/>
      </w:pPr>
      <w:r>
        <w:rPr>
          <w:rFonts w:ascii="Times New Roman" w:cs="Times New Roman" w:eastAsia="Times New Roman" w:hAnsi="Times New Roman"/>
          <w:b/>
          <w:bCs/>
          <w:sz w:val="21"/>
          <w:szCs w:val="21"/>
        </w:rPr>
        <w:t xml:space="preserve">CAGR doanh thu 23,9%/năm; CAGR số đơn 25,2%/năm.</w:t>
      </w:r>
    </w:p>
    <w:p>
      <w:pPr>
        <w:pBdr>
          <w:left w:val="single" w:color="C8A020" w:sz="18" w:space="8"/>
        </w:pBdr>
        <w:shd w:fill="FDF3D8" w:color="auto" w:val="clear"/>
        <w:spacing w:after="40" w:before="40" w:line="290"/>
        <w:ind w:left="280" w:right="200"/>
      </w:pPr>
      <w:r>
        <w:rPr>
          <w:rFonts w:ascii="Times New Roman" w:cs="Times New Roman" w:eastAsia="Times New Roman" w:hAnsi="Times New Roman"/>
          <w:sz w:val="21"/>
          <w:szCs w:val="21"/>
        </w:rPr>
        <w:t xml:space="preserve">Số đơn tăng </w:t>
      </w:r>
      <w:r>
        <w:rPr>
          <w:rFonts w:ascii="Times New Roman" w:cs="Times New Roman" w:eastAsia="Times New Roman" w:hAnsi="Times New Roman"/>
          <w:b/>
          <w:bCs/>
          <w:sz w:val="21"/>
          <w:szCs w:val="21"/>
        </w:rPr>
        <w:t xml:space="preserve">nhanh hơn</w:t>
      </w:r>
      <w:r>
        <w:rPr>
          <w:rFonts w:ascii="Times New Roman" w:cs="Times New Roman" w:eastAsia="Times New Roman" w:hAnsi="Times New Roman"/>
          <w:sz w:val="21"/>
          <w:szCs w:val="21"/>
        </w:rPr>
        <w:t xml:space="preserve"> doanh thu → AOV giảm nhẹ. Doanh nghiệp đang </w:t>
      </w:r>
      <w:r>
        <w:rPr>
          <w:rFonts w:ascii="Times New Roman" w:cs="Times New Roman" w:eastAsia="Times New Roman" w:hAnsi="Times New Roman"/>
          <w:b/>
          <w:bCs/>
          <w:sz w:val="21"/>
          <w:szCs w:val="21"/>
        </w:rPr>
        <w:t xml:space="preserve">tăng trưởng theo chiều rộng</w:t>
      </w:r>
      <w:r>
        <w:rPr>
          <w:rFonts w:ascii="Times New Roman" w:cs="Times New Roman" w:eastAsia="Times New Roman" w:hAnsi="Times New Roman"/>
          <w:sz w:val="21"/>
          <w:szCs w:val="21"/>
        </w:rPr>
        <w:t xml:space="preserve"> (thêm khách, thêm đơn) chứ không theo chiều sâu.</w:t>
      </w:r>
    </w:p>
    <w:p>
      <w:pPr>
        <w:pBdr>
          <w:left w:val="single" w:color="C8A020" w:sz="18" w:space="8"/>
        </w:pBdr>
        <w:shd w:fill="FDF3D8" w:color="auto" w:val="clear"/>
        <w:spacing w:after="60" w:before="40" w:line="290"/>
        <w:ind w:left="280" w:right="200"/>
      </w:pPr>
      <w:r>
        <w:rPr>
          <w:rFonts w:ascii="Times New Roman" w:cs="Times New Roman" w:eastAsia="Times New Roman" w:hAnsi="Times New Roman"/>
          <w:sz w:val="21"/>
          <w:szCs w:val="21"/>
        </w:rPr>
        <w:t xml:space="preserve">Biên lợi nhuận </w:t>
      </w:r>
      <w:r>
        <w:rPr>
          <w:rFonts w:ascii="Times New Roman" w:cs="Times New Roman" w:eastAsia="Times New Roman" w:hAnsi="Times New Roman"/>
          <w:b/>
          <w:bCs/>
          <w:sz w:val="21"/>
          <w:szCs w:val="21"/>
        </w:rPr>
        <w:t xml:space="preserve">ổn định 11–12%</w:t>
      </w:r>
      <w:r>
        <w:rPr>
          <w:rFonts w:ascii="Times New Roman" w:cs="Times New Roman" w:eastAsia="Times New Roman" w:hAnsi="Times New Roman"/>
          <w:sz w:val="21"/>
          <w:szCs w:val="21"/>
        </w:rPr>
        <w:t xml:space="preserve"> qua cả 4 năm → tăng trưởng không đánh đổi bằng lợi nhuận. Đây là tín hiệu lành mạnh.</w:t>
      </w:r>
    </w:p>
    <w:p>
      <w:pPr>
        <w:spacing w:after="160"/>
      </w:pPr>
      <w:r>
        <w:rPr>
          <w:sz w:val="8"/>
          <w:szCs w:val="8"/>
        </w:rPr>
        <w:t xml:space="preserve"/>
      </w:r>
    </w:p>
    <w:p>
      <w:pPr>
        <w:pStyle w:val="Heading2"/>
        <w:spacing w:after="120" w:before="260"/>
      </w:pPr>
      <w:r>
        <w:rPr>
          <w:rFonts w:ascii="Times New Roman" w:cs="Times New Roman" w:eastAsia="Times New Roman" w:hAnsi="Times New Roman"/>
          <w:b/>
          <w:bCs/>
          <w:color w:val="2E5C9A"/>
          <w:sz w:val="25"/>
          <w:szCs w:val="25"/>
        </w:rPr>
        <w:t xml:space="preserve">4.2. Tính mùa vụ rất rõ rệt</w:t>
      </w:r>
    </w:p>
    <w:tbl>
      <w:tblPr>
        <w:tblW w:type="dxa" w:w="9746"/>
        <w:tblBorders>
          <w:top w:val="single" w:color="A6B4CC" w:sz="3"/>
          <w:left w:val="single" w:color="A6B4CC" w:sz="3"/>
          <w:bottom w:val="single" w:color="A6B4CC" w:sz="3"/>
          <w:right w:val="single" w:color="A6B4CC" w:sz="3"/>
          <w:insideH w:val="single" w:color="A6B4CC" w:sz="3"/>
          <w:insideV w:val="single" w:color="A6B4CC" w:sz="3"/>
        </w:tblBorders>
      </w:tblPr>
      <w:tblGrid>
        <w:gridCol w:w="1134"/>
        <w:gridCol w:w="3853"/>
        <w:gridCol w:w="1133"/>
        <w:gridCol w:w="3626"/>
      </w:tblGrid>
      <w:tr>
        <w:trPr>
          <w:tblHeader/>
        </w:trPr>
        <w:tc>
          <w:tcPr>
            <w:tcW w:type="dxa" w:w="1134"/>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Tháng</w:t>
            </w:r>
          </w:p>
        </w:tc>
        <w:tc>
          <w:tcPr>
            <w:tcW w:type="dxa" w:w="3853"/>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Chỉ số mùa vụ</w:t>
            </w:r>
          </w:p>
        </w:tc>
        <w:tc>
          <w:tcPr>
            <w:tcW w:type="dxa" w:w="1133"/>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Tháng</w:t>
            </w:r>
          </w:p>
        </w:tc>
        <w:tc>
          <w:tcPr>
            <w:tcW w:type="dxa" w:w="3626"/>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Chỉ số mùa vụ</w:t>
            </w:r>
          </w:p>
        </w:tc>
      </w:tr>
      <w:tr>
        <w:trPr>
          <w:cantSplit/>
        </w:trPr>
        <w:tc>
          <w:tcPr>
            <w:tcW w:type="dxa" w:w="1134"/>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1</w:t>
            </w:r>
          </w:p>
        </w:tc>
        <w:tc>
          <w:tcPr>
            <w:tcW w:type="dxa" w:w="3853"/>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0,64</w:t>
            </w:r>
          </w:p>
        </w:tc>
        <w:tc>
          <w:tcPr>
            <w:tcW w:type="dxa" w:w="1133"/>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7</w:t>
            </w:r>
          </w:p>
        </w:tc>
        <w:tc>
          <w:tcPr>
            <w:tcW w:type="dxa" w:w="3626"/>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0,71</w:t>
            </w:r>
          </w:p>
        </w:tc>
      </w:tr>
      <w:tr>
        <w:trPr>
          <w:cantSplit/>
        </w:trPr>
        <w:tc>
          <w:tcPr>
            <w:tcW w:type="dxa" w:w="1134"/>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b/>
                <w:bCs/>
                <w:sz w:val="19"/>
                <w:szCs w:val="19"/>
              </w:rPr>
              <w:t xml:space="preserve">2</w:t>
            </w:r>
          </w:p>
        </w:tc>
        <w:tc>
          <w:tcPr>
            <w:tcW w:type="dxa" w:w="3853"/>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b/>
                <w:bCs/>
                <w:sz w:val="19"/>
                <w:szCs w:val="19"/>
              </w:rPr>
              <w:t xml:space="preserve">0,53</w:t>
            </w:r>
            <w:r>
              <w:rPr>
                <w:rFonts w:ascii="Times New Roman" w:cs="Times New Roman" w:eastAsia="Times New Roman" w:hAnsi="Times New Roman"/>
                <w:sz w:val="19"/>
                <w:szCs w:val="19"/>
              </w:rPr>
              <w:t xml:space="preserve"> ⬇️ thấp nhất</w:t>
            </w:r>
          </w:p>
        </w:tc>
        <w:tc>
          <w:tcPr>
            <w:tcW w:type="dxa" w:w="1133"/>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8</w:t>
            </w:r>
          </w:p>
        </w:tc>
        <w:tc>
          <w:tcPr>
            <w:tcW w:type="dxa" w:w="3626"/>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1,23</w:t>
            </w:r>
          </w:p>
        </w:tc>
      </w:tr>
      <w:tr>
        <w:trPr>
          <w:cantSplit/>
        </w:trPr>
        <w:tc>
          <w:tcPr>
            <w:tcW w:type="dxa" w:w="1134"/>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3</w:t>
            </w:r>
          </w:p>
        </w:tc>
        <w:tc>
          <w:tcPr>
            <w:tcW w:type="dxa" w:w="3853"/>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0,72</w:t>
            </w:r>
          </w:p>
        </w:tc>
        <w:tc>
          <w:tcPr>
            <w:tcW w:type="dxa" w:w="1133"/>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sz w:val="19"/>
                <w:szCs w:val="19"/>
              </w:rPr>
              <w:t xml:space="preserve">9</w:t>
            </w:r>
          </w:p>
        </w:tc>
        <w:tc>
          <w:tcPr>
            <w:tcW w:type="dxa" w:w="3626"/>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sz w:val="19"/>
                <w:szCs w:val="19"/>
              </w:rPr>
              <w:t xml:space="preserve">1,36</w:t>
            </w:r>
          </w:p>
        </w:tc>
      </w:tr>
      <w:tr>
        <w:trPr>
          <w:cantSplit/>
        </w:trPr>
        <w:tc>
          <w:tcPr>
            <w:tcW w:type="dxa" w:w="1134"/>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4</w:t>
            </w:r>
          </w:p>
        </w:tc>
        <w:tc>
          <w:tcPr>
            <w:tcW w:type="dxa" w:w="3853"/>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0,66</w:t>
            </w:r>
          </w:p>
        </w:tc>
        <w:tc>
          <w:tcPr>
            <w:tcW w:type="dxa" w:w="1133"/>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10</w:t>
            </w:r>
          </w:p>
        </w:tc>
        <w:tc>
          <w:tcPr>
            <w:tcW w:type="dxa" w:w="3626"/>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1,12</w:t>
            </w:r>
          </w:p>
        </w:tc>
      </w:tr>
      <w:tr>
        <w:trPr>
          <w:cantSplit/>
        </w:trPr>
        <w:tc>
          <w:tcPr>
            <w:tcW w:type="dxa" w:w="1134"/>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5</w:t>
            </w:r>
          </w:p>
        </w:tc>
        <w:tc>
          <w:tcPr>
            <w:tcW w:type="dxa" w:w="3853"/>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0,87</w:t>
            </w:r>
          </w:p>
        </w:tc>
        <w:tc>
          <w:tcPr>
            <w:tcW w:type="dxa" w:w="1133"/>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sz w:val="19"/>
                <w:szCs w:val="19"/>
              </w:rPr>
              <w:t xml:space="preserve">11</w:t>
            </w:r>
          </w:p>
        </w:tc>
        <w:tc>
          <w:tcPr>
            <w:tcW w:type="dxa" w:w="3626"/>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sz w:val="19"/>
                <w:szCs w:val="19"/>
              </w:rPr>
              <w:t xml:space="preserve">1,47</w:t>
            </w:r>
          </w:p>
        </w:tc>
      </w:tr>
      <w:tr>
        <w:trPr>
          <w:cantSplit/>
        </w:trPr>
        <w:tc>
          <w:tcPr>
            <w:tcW w:type="dxa" w:w="1134"/>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6</w:t>
            </w:r>
          </w:p>
        </w:tc>
        <w:tc>
          <w:tcPr>
            <w:tcW w:type="dxa" w:w="3853"/>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1,20</w:t>
            </w:r>
          </w:p>
        </w:tc>
        <w:tc>
          <w:tcPr>
            <w:tcW w:type="dxa" w:w="1133"/>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sz w:val="19"/>
                <w:szCs w:val="19"/>
              </w:rPr>
              <w:t xml:space="preserve">12</w:t>
            </w:r>
          </w:p>
        </w:tc>
        <w:tc>
          <w:tcPr>
            <w:tcW w:type="dxa" w:w="3626"/>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b/>
                <w:bCs/>
                <w:sz w:val="19"/>
                <w:szCs w:val="19"/>
              </w:rPr>
              <w:t xml:space="preserve">1,49</w:t>
            </w:r>
            <w:r>
              <w:rPr>
                <w:rFonts w:ascii="Times New Roman" w:cs="Times New Roman" w:eastAsia="Times New Roman" w:hAnsi="Times New Roman"/>
                <w:sz w:val="19"/>
                <w:szCs w:val="19"/>
              </w:rPr>
              <w:t xml:space="preserve"> ⬆️ cao nhất</w:t>
            </w:r>
          </w:p>
        </w:tc>
      </w:tr>
    </w:tbl>
    <w:p>
      <w:pPr>
        <w:spacing w:after="200"/>
      </w:pPr>
      <w:r>
        <w:rPr>
          <w:sz w:val="8"/>
          <w:szCs w:val="8"/>
        </w:rPr>
        <w:t xml:space="preserve"/>
      </w:r>
    </w:p>
    <w:p>
      <w:pPr>
        <w:spacing w:after="120" w:before="60" w:line="290"/>
        <w:jc w:val="left"/>
      </w:pPr>
      <w:r>
        <w:rPr>
          <w:rFonts w:ascii="Times New Roman" w:cs="Times New Roman" w:eastAsia="Times New Roman" w:hAnsi="Times New Roman"/>
          <w:i/>
          <w:iCs/>
          <w:color w:val="555555"/>
          <w:sz w:val="20"/>
          <w:szCs w:val="20"/>
        </w:rPr>
        <w:t xml:space="preserve">(Chỉ số 1,00 = mức trung bình tháng. Tháng 12 bán gấp **2,8 lần** tháng 2.)</w:t>
      </w:r>
    </w:p>
    <w:p>
      <w:pPr>
        <w:spacing w:after="120" w:before="60" w:line="300"/>
        <w:jc w:val="both"/>
      </w:pPr>
      <w:r>
        <w:rPr>
          <w:rFonts w:ascii="Times New Roman" w:cs="Times New Roman" w:eastAsia="Times New Roman" w:hAnsi="Times New Roman"/>
          <w:b/>
          <w:bCs/>
          <w:sz w:val="22"/>
          <w:szCs w:val="22"/>
        </w:rPr>
        <w:t xml:space="preserve">Quy luật:</w:t>
      </w:r>
    </w:p>
    <w:p>
      <w:pPr>
        <w:pStyle w:val="ListParagraph"/>
        <w:numPr>
          <w:ilvl w:val="0"/>
          <w:numId w:val="2"/>
        </w:numPr>
        <w:spacing w:after="40" w:before="40" w:line="300"/>
      </w:pPr>
      <w:r>
        <w:rPr>
          <w:rFonts w:ascii="Times New Roman" w:cs="Times New Roman" w:eastAsia="Times New Roman" w:hAnsi="Times New Roman"/>
          <w:b/>
          <w:bCs/>
          <w:sz w:val="22"/>
          <w:szCs w:val="22"/>
        </w:rPr>
        <w:t xml:space="preserve">Nửa cuối năm (T8–T12) chiếm 55,6% doanh thu cả năm</w:t>
      </w:r>
      <w:r>
        <w:rPr>
          <w:rFonts w:ascii="Times New Roman" w:cs="Times New Roman" w:eastAsia="Times New Roman" w:hAnsi="Times New Roman"/>
          <w:sz w:val="22"/>
          <w:szCs w:val="22"/>
        </w:rPr>
        <w:t xml:space="preserve">; riêng Q4 là 8.613 đơn — quý lớn nhất mọi năm.</w:t>
      </w:r>
    </w:p>
    <w:p>
      <w:pPr>
        <w:pStyle w:val="ListParagraph"/>
        <w:numPr>
          <w:ilvl w:val="0"/>
          <w:numId w:val="2"/>
        </w:numPr>
        <w:spacing w:after="40" w:before="40" w:line="300"/>
      </w:pPr>
      <w:r>
        <w:rPr>
          <w:rFonts w:ascii="Times New Roman" w:cs="Times New Roman" w:eastAsia="Times New Roman" w:hAnsi="Times New Roman"/>
          <w:sz w:val="22"/>
          <w:szCs w:val="22"/>
        </w:rPr>
        <w:t xml:space="preserve">Có </w:t>
      </w:r>
      <w:r>
        <w:rPr>
          <w:rFonts w:ascii="Times New Roman" w:cs="Times New Roman" w:eastAsia="Times New Roman" w:hAnsi="Times New Roman"/>
          <w:b/>
          <w:bCs/>
          <w:sz w:val="22"/>
          <w:szCs w:val="22"/>
        </w:rPr>
        <w:t xml:space="preserve">3 đỉnh</w:t>
      </w:r>
      <w:r>
        <w:rPr>
          <w:rFonts w:ascii="Times New Roman" w:cs="Times New Roman" w:eastAsia="Times New Roman" w:hAnsi="Times New Roman"/>
          <w:sz w:val="22"/>
          <w:szCs w:val="22"/>
        </w:rPr>
        <w:t xml:space="preserve">: tháng 6 (1,20), tháng 8–9 (1,23–1,36 — mùa tựu trường/khai giảng, hợp với danh mục văn phòng phẩm), và tháng 11–12 (1,47–1,49 — mùa lễ + chốt ngân sách năm).</w:t>
      </w:r>
    </w:p>
    <w:p>
      <w:pPr>
        <w:pStyle w:val="ListParagraph"/>
        <w:numPr>
          <w:ilvl w:val="0"/>
          <w:numId w:val="2"/>
        </w:numPr>
        <w:spacing w:after="40" w:before="40" w:line="300"/>
      </w:pPr>
      <w:r>
        <w:rPr>
          <w:rFonts w:ascii="Times New Roman" w:cs="Times New Roman" w:eastAsia="Times New Roman" w:hAnsi="Times New Roman"/>
          <w:b/>
          <w:bCs/>
          <w:sz w:val="22"/>
          <w:szCs w:val="22"/>
        </w:rPr>
        <w:t xml:space="preserve">Hai đáy</w:t>
      </w:r>
      <w:r>
        <w:rPr>
          <w:rFonts w:ascii="Times New Roman" w:cs="Times New Roman" w:eastAsia="Times New Roman" w:hAnsi="Times New Roman"/>
          <w:sz w:val="22"/>
          <w:szCs w:val="22"/>
        </w:rPr>
        <w:t xml:space="preserve">: tháng 1–2 và tháng 4, tháng 7.</w:t>
      </w:r>
    </w:p>
    <w:p>
      <w:pPr>
        <w:pStyle w:val="ListParagraph"/>
        <w:numPr>
          <w:ilvl w:val="0"/>
          <w:numId w:val="2"/>
        </w:numPr>
        <w:spacing w:after="40" w:before="40" w:line="300"/>
      </w:pPr>
      <w:r>
        <w:rPr>
          <w:rFonts w:ascii="Times New Roman" w:cs="Times New Roman" w:eastAsia="Times New Roman" w:hAnsi="Times New Roman"/>
          <w:sz w:val="22"/>
          <w:szCs w:val="22"/>
        </w:rPr>
        <w:t xml:space="preserve">Tháng cao nhất toàn kỳ: </w:t>
      </w:r>
      <w:r>
        <w:rPr>
          <w:rFonts w:ascii="Times New Roman" w:cs="Times New Roman" w:eastAsia="Times New Roman" w:hAnsi="Times New Roman"/>
          <w:b/>
          <w:bCs/>
          <w:sz w:val="22"/>
          <w:szCs w:val="22"/>
        </w:rPr>
        <w:t xml:space="preserve">11/2017 (555.279)</w:t>
      </w:r>
      <w:r>
        <w:rPr>
          <w:rFonts w:ascii="Times New Roman" w:cs="Times New Roman" w:eastAsia="Times New Roman" w:hAnsi="Times New Roman"/>
          <w:sz w:val="22"/>
          <w:szCs w:val="22"/>
        </w:rPr>
        <w:t xml:space="preserve">; thấp nhất: </w:t>
      </w:r>
      <w:r>
        <w:rPr>
          <w:rFonts w:ascii="Times New Roman" w:cs="Times New Roman" w:eastAsia="Times New Roman" w:hAnsi="Times New Roman"/>
          <w:b/>
          <w:bCs/>
          <w:sz w:val="22"/>
          <w:szCs w:val="22"/>
        </w:rPr>
        <w:t xml:space="preserve">02/2015 (98.855)</w:t>
      </w:r>
      <w:r>
        <w:rPr>
          <w:rFonts w:ascii="Times New Roman" w:cs="Times New Roman" w:eastAsia="Times New Roman" w:hAnsi="Times New Roman"/>
          <w:sz w:val="22"/>
          <w:szCs w:val="22"/>
        </w:rPr>
        <w:t xml:space="preserve"> — chênh 5,6 lần.</w:t>
      </w:r>
    </w:p>
    <w:p>
      <w:pPr>
        <w:pStyle w:val="Heading2"/>
        <w:spacing w:after="120" w:before="260"/>
      </w:pPr>
      <w:r>
        <w:rPr>
          <w:rFonts w:ascii="Times New Roman" w:cs="Times New Roman" w:eastAsia="Times New Roman" w:hAnsi="Times New Roman"/>
          <w:b/>
          <w:bCs/>
          <w:color w:val="2E5C9A"/>
          <w:sz w:val="25"/>
          <w:szCs w:val="25"/>
        </w:rPr>
        <w:t xml:space="preserve">4.3. Tăng trưởng không đồng đều giữa các thị trường</w:t>
      </w:r>
    </w:p>
    <w:tbl>
      <w:tblPr>
        <w:tblW w:type="dxa" w:w="9746"/>
        <w:tblBorders>
          <w:top w:val="single" w:color="A6B4CC" w:sz="3"/>
          <w:left w:val="single" w:color="A6B4CC" w:sz="3"/>
          <w:bottom w:val="single" w:color="A6B4CC" w:sz="3"/>
          <w:right w:val="single" w:color="A6B4CC" w:sz="3"/>
          <w:insideH w:val="single" w:color="A6B4CC" w:sz="3"/>
          <w:insideV w:val="single" w:color="A6B4CC" w:sz="3"/>
        </w:tblBorders>
      </w:tblPr>
      <w:tblGrid>
        <w:gridCol w:w="2387"/>
        <w:gridCol w:w="1392"/>
        <w:gridCol w:w="1790"/>
        <w:gridCol w:w="4177"/>
      </w:tblGrid>
      <w:tr>
        <w:trPr>
          <w:tblHeader/>
        </w:trPr>
        <w:tc>
          <w:tcPr>
            <w:tcW w:type="dxa" w:w="2387"/>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Market</w:t>
            </w:r>
          </w:p>
        </w:tc>
        <w:tc>
          <w:tcPr>
            <w:tcW w:type="dxa" w:w="1392"/>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2014</w:t>
            </w:r>
          </w:p>
        </w:tc>
        <w:tc>
          <w:tcPr>
            <w:tcW w:type="dxa" w:w="1790"/>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2017</w:t>
            </w:r>
          </w:p>
        </w:tc>
        <w:tc>
          <w:tcPr>
            <w:tcW w:type="dxa" w:w="4177"/>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Tăng trưởng 2014→2017</w:t>
            </w:r>
          </w:p>
        </w:tc>
      </w:tr>
      <w:tr>
        <w:trPr>
          <w:cantSplit/>
        </w:trPr>
        <w:tc>
          <w:tcPr>
            <w:tcW w:type="dxa" w:w="2387"/>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Africa</w:t>
            </w:r>
          </w:p>
        </w:tc>
        <w:tc>
          <w:tcPr>
            <w:tcW w:type="dxa" w:w="1392"/>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127.187</w:t>
            </w:r>
          </w:p>
        </w:tc>
        <w:tc>
          <w:tcPr>
            <w:tcW w:type="dxa" w:w="1790"/>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283.036</w:t>
            </w:r>
          </w:p>
        </w:tc>
        <w:tc>
          <w:tcPr>
            <w:tcW w:type="dxa" w:w="4177"/>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sz w:val="19"/>
                <w:szCs w:val="19"/>
              </w:rPr>
              <w:t xml:space="preserve">+123%</w:t>
            </w:r>
          </w:p>
        </w:tc>
      </w:tr>
      <w:tr>
        <w:trPr>
          <w:cantSplit/>
        </w:trPr>
        <w:tc>
          <w:tcPr>
            <w:tcW w:type="dxa" w:w="2387"/>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Europe</w:t>
            </w:r>
          </w:p>
        </w:tc>
        <w:tc>
          <w:tcPr>
            <w:tcW w:type="dxa" w:w="1392"/>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540.751</w:t>
            </w:r>
          </w:p>
        </w:tc>
        <w:tc>
          <w:tcPr>
            <w:tcW w:type="dxa" w:w="1790"/>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1.180.304</w:t>
            </w:r>
          </w:p>
        </w:tc>
        <w:tc>
          <w:tcPr>
            <w:tcW w:type="dxa" w:w="4177"/>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sz w:val="19"/>
                <w:szCs w:val="19"/>
              </w:rPr>
              <w:t xml:space="preserve">+118%</w:t>
            </w:r>
          </w:p>
        </w:tc>
      </w:tr>
      <w:tr>
        <w:trPr>
          <w:cantSplit/>
        </w:trPr>
        <w:tc>
          <w:tcPr>
            <w:tcW w:type="dxa" w:w="2387"/>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Asia Pacific</w:t>
            </w:r>
          </w:p>
        </w:tc>
        <w:tc>
          <w:tcPr>
            <w:tcW w:type="dxa" w:w="1392"/>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713.658</w:t>
            </w:r>
          </w:p>
        </w:tc>
        <w:tc>
          <w:tcPr>
            <w:tcW w:type="dxa" w:w="1790"/>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1.372.784</w:t>
            </w:r>
          </w:p>
        </w:tc>
        <w:tc>
          <w:tcPr>
            <w:tcW w:type="dxa" w:w="4177"/>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+92%</w:t>
            </w:r>
          </w:p>
        </w:tc>
      </w:tr>
      <w:tr>
        <w:trPr>
          <w:cantSplit/>
        </w:trPr>
        <w:tc>
          <w:tcPr>
            <w:tcW w:type="dxa" w:w="2387"/>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LATAM</w:t>
            </w:r>
          </w:p>
        </w:tc>
        <w:tc>
          <w:tcPr>
            <w:tcW w:type="dxa" w:w="1392"/>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385.098</w:t>
            </w:r>
          </w:p>
        </w:tc>
        <w:tc>
          <w:tcPr>
            <w:tcW w:type="dxa" w:w="1790"/>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706.633</w:t>
            </w:r>
          </w:p>
        </w:tc>
        <w:tc>
          <w:tcPr>
            <w:tcW w:type="dxa" w:w="4177"/>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+83%</w:t>
            </w:r>
          </w:p>
        </w:tc>
      </w:tr>
      <w:tr>
        <w:trPr>
          <w:cantSplit/>
        </w:trPr>
        <w:tc>
          <w:tcPr>
            <w:tcW w:type="dxa" w:w="2387"/>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USCA</w:t>
            </w:r>
          </w:p>
        </w:tc>
        <w:tc>
          <w:tcPr>
            <w:tcW w:type="dxa" w:w="1392"/>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492.757</w:t>
            </w:r>
          </w:p>
        </w:tc>
        <w:tc>
          <w:tcPr>
            <w:tcW w:type="dxa" w:w="1790"/>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757.108</w:t>
            </w:r>
          </w:p>
        </w:tc>
        <w:tc>
          <w:tcPr>
            <w:tcW w:type="dxa" w:w="4177"/>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sz w:val="19"/>
                <w:szCs w:val="19"/>
              </w:rPr>
              <w:t xml:space="preserve">+54%</w:t>
            </w:r>
          </w:p>
        </w:tc>
      </w:tr>
    </w:tbl>
    <w:p>
      <w:pPr>
        <w:spacing w:after="200"/>
      </w:pPr>
      <w:r>
        <w:rPr>
          <w:sz w:val="8"/>
          <w:szCs w:val="8"/>
        </w:rPr>
        <w:t xml:space="preserve"/>
      </w:r>
    </w:p>
    <w:p>
      <w:pPr>
        <w:pBdr>
          <w:left w:val="single" w:color="C8A020" w:sz="18" w:space="8"/>
        </w:pBdr>
        <w:shd w:fill="FDF3D8" w:color="auto" w:val="clear"/>
        <w:spacing w:after="40" w:before="60" w:line="290"/>
        <w:ind w:left="280" w:right="200"/>
      </w:pPr>
      <w:r>
        <w:rPr>
          <w:rFonts w:ascii="Times New Roman" w:cs="Times New Roman" w:eastAsia="Times New Roman" w:hAnsi="Times New Roman"/>
          <w:b/>
          <w:bCs/>
          <w:sz w:val="21"/>
          <w:szCs w:val="21"/>
        </w:rPr>
        <w:t xml:space="preserve">Europe là động lực tăng trưởng thực sự</w:t>
      </w:r>
      <w:r>
        <w:rPr>
          <w:rFonts w:ascii="Times New Roman" w:cs="Times New Roman" w:eastAsia="Times New Roman" w:hAnsi="Times New Roman"/>
          <w:sz w:val="21"/>
          <w:szCs w:val="21"/>
        </w:rPr>
        <w:t xml:space="preserve">: vừa quy mô lớn (26% DT) vừa tăng +118%.</w:t>
      </w:r>
    </w:p>
    <w:p>
      <w:pPr>
        <w:pBdr>
          <w:left w:val="single" w:color="C8A020" w:sz="18" w:space="8"/>
        </w:pBdr>
        <w:shd w:fill="FDF3D8" w:color="auto" w:val="clear"/>
        <w:spacing w:after="40" w:before="40" w:line="290"/>
        <w:ind w:left="280" w:right="200"/>
      </w:pPr>
      <w:r>
        <w:rPr>
          <w:rFonts w:ascii="Times New Roman" w:cs="Times New Roman" w:eastAsia="Times New Roman" w:hAnsi="Times New Roman"/>
          <w:b/>
          <w:bCs/>
          <w:sz w:val="21"/>
          <w:szCs w:val="21"/>
        </w:rPr>
        <w:t xml:space="preserve">USCA đang chững lại</w:t>
      </w:r>
      <w:r>
        <w:rPr>
          <w:rFonts w:ascii="Times New Roman" w:cs="Times New Roman" w:eastAsia="Times New Roman" w:hAnsi="Times New Roman"/>
          <w:sz w:val="21"/>
          <w:szCs w:val="21"/>
        </w:rPr>
        <w:t xml:space="preserve"> — tăng chậm nhất (+54%), thậm chí </w:t>
      </w:r>
      <w:r>
        <w:rPr>
          <w:rFonts w:ascii="Times New Roman" w:cs="Times New Roman" w:eastAsia="Times New Roman" w:hAnsi="Times New Roman"/>
          <w:i/>
          <w:iCs/>
          <w:sz w:val="21"/>
          <w:szCs w:val="21"/>
        </w:rPr>
        <w:t xml:space="preserve">giảm</w:t>
      </w:r>
      <w:r>
        <w:rPr>
          <w:rFonts w:ascii="Times New Roman" w:cs="Times New Roman" w:eastAsia="Times New Roman" w:hAnsi="Times New Roman"/>
          <w:sz w:val="21"/>
          <w:szCs w:val="21"/>
        </w:rPr>
        <w:t xml:space="preserve"> nhẹ trong 2015 (486.629 so với 492.757 của 2014). Thị trường lớn nhất đang bão hòa.</w:t>
      </w:r>
    </w:p>
    <w:p>
      <w:pPr>
        <w:pBdr>
          <w:left w:val="single" w:color="C8A020" w:sz="18" w:space="8"/>
        </w:pBdr>
        <w:shd w:fill="FDF3D8" w:color="auto" w:val="clear"/>
        <w:spacing w:after="60" w:before="40" w:line="290"/>
        <w:ind w:left="280" w:right="200"/>
      </w:pPr>
      <w:r>
        <w:rPr>
          <w:rFonts w:ascii="Times New Roman" w:cs="Times New Roman" w:eastAsia="Times New Roman" w:hAnsi="Times New Roman"/>
          <w:sz w:val="21"/>
          <w:szCs w:val="21"/>
        </w:rPr>
        <w:t xml:space="preserve">Africa tăng nhanh nhất nhưng nền quá thấp (6,2% DT).</w:t>
      </w:r>
    </w:p>
    <w:p>
      <w:pPr>
        <w:spacing w:after="160"/>
      </w:pPr>
      <w:r>
        <w:rPr>
          <w:sz w:val="8"/>
          <w:szCs w:val="8"/>
        </w:rPr>
        <w:t xml:space="preserve"/>
      </w:r>
    </w:p>
    <w:p>
      <w:pPr>
        <w:pStyle w:val="Heading2"/>
        <w:spacing w:after="120" w:before="260"/>
      </w:pPr>
      <w:r>
        <w:rPr>
          <w:rFonts w:ascii="Times New Roman" w:cs="Times New Roman" w:eastAsia="Times New Roman" w:hAnsi="Times New Roman"/>
          <w:b/>
          <w:bCs/>
          <w:color w:val="2E5C9A"/>
          <w:sz w:val="25"/>
          <w:szCs w:val="25"/>
        </w:rPr>
        <w:t xml:space="preserve">4.4. Chu kỳ trong tháng</w:t>
      </w:r>
    </w:p>
    <w:p>
      <w:pPr>
        <w:spacing w:after="120" w:before="60" w:line="300"/>
        <w:jc w:val="both"/>
      </w:pPr>
      <w:r>
        <w:rPr>
          <w:rFonts w:ascii="Times New Roman" w:cs="Times New Roman" w:eastAsia="Times New Roman" w:hAnsi="Times New Roman"/>
          <w:sz w:val="22"/>
          <w:szCs w:val="22"/>
        </w:rPr>
        <w:t xml:space="preserve">Doanh thu phân bổ khá đều giữa đầu tháng (4,01tr), giữa tháng (4,34tr) và cuối tháng (4,29tr) → </w:t>
      </w:r>
      <w:r>
        <w:rPr>
          <w:rFonts w:ascii="Times New Roman" w:cs="Times New Roman" w:eastAsia="Times New Roman" w:hAnsi="Times New Roman"/>
          <w:b/>
          <w:bCs/>
          <w:sz w:val="22"/>
          <w:szCs w:val="22"/>
        </w:rPr>
        <w:t xml:space="preserve">không có hiệu ứng "chốt đơn cuối tháng"</w:t>
      </w:r>
      <w:r>
        <w:rPr>
          <w:rFonts w:ascii="Times New Roman" w:cs="Times New Roman" w:eastAsia="Times New Roman" w:hAnsi="Times New Roman"/>
          <w:sz w:val="22"/>
          <w:szCs w:val="22"/>
        </w:rPr>
        <w:t xml:space="preserve">.</w:t>
      </w:r>
    </w:p>
    <w:p>
      <w:pPr>
        <w:spacing w:after="120" w:before="60" w:line="290"/>
        <w:jc w:val="left"/>
      </w:pPr>
      <w:r>
        <w:rPr>
          <w:rFonts w:ascii="Times New Roman" w:cs="Times New Roman" w:eastAsia="Times New Roman" w:hAnsi="Times New Roman"/>
          <w:i/>
          <w:iCs/>
          <w:color w:val="555555"/>
          <w:sz w:val="20"/>
          <w:szCs w:val="20"/>
        </w:rPr>
        <w:t xml:space="preserve">(Ghi chú: dữ liệu cho thấy thứ Tư và thứ Năm có lượng đơn rất thấp (6,1% và 8,5%) so với các ngày khác (~17–18%). Đây nhiều khả năng là đặc thù cách sinh dữ liệu của bộ Global Superstore chứ không phải hành vi thật, nên không nên rút kết luận kinh doanh từ chiều này.)</w:t>
      </w:r>
    </w:p>
    <w:p>
      <w:pPr>
        <w:spacing w:after="120" w:before="60" w:line="300"/>
        <w:jc w:val="both"/>
      </w:pPr>
      <w:r>
        <w:rPr>
          <w:rFonts w:ascii="Times New Roman" w:cs="Times New Roman" w:eastAsia="Times New Roman" w:hAnsi="Times New Roman"/>
          <w:b/>
          <w:bCs/>
          <w:sz w:val="22"/>
          <w:szCs w:val="22"/>
        </w:rPr>
        <w:t xml:space="preserve">➡️ Kết luận câu 4:</w:t>
      </w:r>
      <w:r>
        <w:rPr>
          <w:rFonts w:ascii="Times New Roman" w:cs="Times New Roman" w:eastAsia="Times New Roman" w:hAnsi="Times New Roman"/>
          <w:sz w:val="22"/>
          <w:szCs w:val="22"/>
        </w:rPr>
        <w:t xml:space="preserve"> Doanh nghiệp tăng trưởng mạnh và ổn định (</w:t>
      </w:r>
      <w:r>
        <w:rPr>
          <w:rFonts w:ascii="Times New Roman" w:cs="Times New Roman" w:eastAsia="Times New Roman" w:hAnsi="Times New Roman"/>
          <w:b/>
          <w:bCs/>
          <w:sz w:val="22"/>
          <w:szCs w:val="22"/>
        </w:rPr>
        <w:t xml:space="preserve">CAGR 23,9%</w:t>
      </w:r>
      <w:r>
        <w:rPr>
          <w:rFonts w:ascii="Times New Roman" w:cs="Times New Roman" w:eastAsia="Times New Roman" w:hAnsi="Times New Roman"/>
          <w:sz w:val="22"/>
          <w:szCs w:val="22"/>
        </w:rPr>
        <w:t xml:space="preserve">), nhưng hoàn toàn nhờ </w:t>
      </w:r>
      <w:r>
        <w:rPr>
          <w:rFonts w:ascii="Times New Roman" w:cs="Times New Roman" w:eastAsia="Times New Roman" w:hAnsi="Times New Roman"/>
          <w:b/>
          <w:bCs/>
          <w:sz w:val="22"/>
          <w:szCs w:val="22"/>
        </w:rPr>
        <w:t xml:space="preserve">mở rộng số lượng đơn</w:t>
      </w:r>
      <w:r>
        <w:rPr>
          <w:rFonts w:ascii="Times New Roman" w:cs="Times New Roman" w:eastAsia="Times New Roman" w:hAnsi="Times New Roman"/>
          <w:sz w:val="22"/>
          <w:szCs w:val="22"/>
        </w:rPr>
        <w:t xml:space="preserve">. Hoạt động kinh doanh có </w:t>
      </w:r>
      <w:r>
        <w:rPr>
          <w:rFonts w:ascii="Times New Roman" w:cs="Times New Roman" w:eastAsia="Times New Roman" w:hAnsi="Times New Roman"/>
          <w:b/>
          <w:bCs/>
          <w:sz w:val="22"/>
          <w:szCs w:val="22"/>
        </w:rPr>
        <w:t xml:space="preserve">tính mùa vụ mạnh</w:t>
      </w:r>
      <w:r>
        <w:rPr>
          <w:rFonts w:ascii="Times New Roman" w:cs="Times New Roman" w:eastAsia="Times New Roman" w:hAnsi="Times New Roman"/>
          <w:sz w:val="22"/>
          <w:szCs w:val="22"/>
        </w:rPr>
        <w:t xml:space="preserve">, dồn vào Q4 và mùa tựu trường; tháng 1–2 và tháng 4, 7 là mùa thấp điểm → nên dồn tồn kho/nhân sự/ngân sách quảng cáo vào T8–T12 và dùng T1–T4 để chạy chương trình kích cầu.</w:t>
      </w:r>
    </w:p>
    <w:p>
      <w:r>
        <w:br w:type="page"/>
      </w:r>
    </w:p>
    <w:p>
      <w:pPr>
        <w:pStyle w:val="Heading1"/>
        <w:pBdr>
          <w:bottom w:val="single" w:color="1F3864" w:sz="12" w:space="6"/>
        </w:pBdr>
        <w:spacing w:after="160" w:before="160"/>
      </w:pPr>
      <w:r>
        <w:rPr>
          <w:rFonts w:ascii="Times New Roman" w:cs="Times New Roman" w:eastAsia="Times New Roman" w:hAnsi="Times New Roman"/>
          <w:b/>
          <w:bCs/>
          <w:color w:val="1F3864"/>
          <w:sz w:val="30"/>
          <w:szCs w:val="30"/>
        </w:rPr>
        <w:t xml:space="preserve">CÂU 5 — DẤU HIỆU KHÁCH HÀNG CÓ NGUY CƠ TRẢ HÀNG ⭐</w:t>
      </w:r>
    </w:p>
    <w:p>
      <w:pPr>
        <w:spacing w:after="120" w:before="60" w:line="290"/>
        <w:jc w:val="left"/>
      </w:pPr>
      <w:r>
        <w:rPr>
          <w:rFonts w:ascii="Times New Roman" w:cs="Times New Roman" w:eastAsia="Times New Roman" w:hAnsi="Times New Roman"/>
          <w:i/>
          <w:iCs/>
          <w:color w:val="555555"/>
          <w:sz w:val="20"/>
          <w:szCs w:val="20"/>
        </w:rPr>
        <w:t xml:space="preserve">(Đây là câu được chọn trong nhóm câu 5–8 "Chọn 1 trong 4")</w:t>
      </w:r>
    </w:p>
    <w:p>
      <w:pPr>
        <w:pStyle w:val="Heading2"/>
        <w:spacing w:after="120" w:before="260"/>
      </w:pPr>
      <w:r>
        <w:rPr>
          <w:rFonts w:ascii="Times New Roman" w:cs="Times New Roman" w:eastAsia="Times New Roman" w:hAnsi="Times New Roman"/>
          <w:b/>
          <w:bCs/>
          <w:color w:val="2E5C9A"/>
          <w:sz w:val="25"/>
          <w:szCs w:val="25"/>
        </w:rPr>
        <w:t xml:space="preserve">5.1. Quy mô vấn đề</w:t>
      </w:r>
    </w:p>
    <w:tbl>
      <w:tblPr>
        <w:tblW w:type="dxa" w:w="9746"/>
        <w:tblBorders>
          <w:top w:val="single" w:color="A6B4CC" w:sz="3"/>
          <w:left w:val="single" w:color="A6B4CC" w:sz="3"/>
          <w:bottom w:val="single" w:color="A6B4CC" w:sz="3"/>
          <w:right w:val="single" w:color="A6B4CC" w:sz="3"/>
          <w:insideH w:val="single" w:color="A6B4CC" w:sz="3"/>
          <w:insideV w:val="single" w:color="A6B4CC" w:sz="3"/>
        </w:tblBorders>
      </w:tblPr>
      <w:tblGrid>
        <w:gridCol w:w="4046"/>
        <w:gridCol w:w="5700"/>
      </w:tblGrid>
      <w:tr>
        <w:trPr>
          <w:tblHeader/>
        </w:trPr>
        <w:tc>
          <w:tcPr>
            <w:tcW w:type="dxa" w:w="4046"/>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Chỉ tiêu</w:t>
            </w:r>
          </w:p>
        </w:tc>
        <w:tc>
          <w:tcPr>
            <w:tcW w:type="dxa" w:w="5700"/>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Giá trị</w:t>
            </w:r>
          </w:p>
        </w:tc>
      </w:tr>
      <w:tr>
        <w:trPr>
          <w:cantSplit/>
        </w:trPr>
        <w:tc>
          <w:tcPr>
            <w:tcW w:type="dxa" w:w="4046"/>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Đơn bị trả</w:t>
            </w:r>
          </w:p>
        </w:tc>
        <w:tc>
          <w:tcPr>
            <w:tcW w:type="dxa" w:w="5700"/>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1.970 / 25.728 = </w:t>
            </w:r>
            <w:r>
              <w:rPr>
                <w:rFonts w:ascii="Times New Roman" w:cs="Times New Roman" w:eastAsia="Times New Roman" w:hAnsi="Times New Roman"/>
                <w:b/>
                <w:bCs/>
                <w:sz w:val="19"/>
                <w:szCs w:val="19"/>
              </w:rPr>
              <w:t xml:space="preserve">7,66%</w:t>
            </w:r>
          </w:p>
        </w:tc>
      </w:tr>
      <w:tr>
        <w:trPr>
          <w:cantSplit/>
        </w:trPr>
        <w:tc>
          <w:tcPr>
            <w:tcW w:type="dxa" w:w="4046"/>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Dòng hàng bị trả</w:t>
            </w:r>
          </w:p>
        </w:tc>
        <w:tc>
          <w:tcPr>
            <w:tcW w:type="dxa" w:w="5700"/>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5.752 / 51.290 = 11,21%</w:t>
            </w:r>
          </w:p>
        </w:tc>
      </w:tr>
      <w:tr>
        <w:trPr>
          <w:cantSplit/>
        </w:trPr>
        <w:tc>
          <w:tcPr>
            <w:tcW w:type="dxa" w:w="4046"/>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Doanh thu bị trả</w:t>
            </w:r>
          </w:p>
        </w:tc>
        <w:tc>
          <w:tcPr>
            <w:tcW w:type="dxa" w:w="5700"/>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1.357.443 / 12.642.502 = </w:t>
            </w:r>
            <w:r>
              <w:rPr>
                <w:rFonts w:ascii="Times New Roman" w:cs="Times New Roman" w:eastAsia="Times New Roman" w:hAnsi="Times New Roman"/>
                <w:b/>
                <w:bCs/>
                <w:sz w:val="19"/>
                <w:szCs w:val="19"/>
              </w:rPr>
              <w:t xml:space="preserve">10,74%</w:t>
            </w:r>
          </w:p>
        </w:tc>
      </w:tr>
      <w:tr>
        <w:trPr>
          <w:cantSplit/>
        </w:trPr>
        <w:tc>
          <w:tcPr>
            <w:tcW w:type="dxa" w:w="4046"/>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Lợi nhuận bị cuốn theo</w:t>
            </w:r>
          </w:p>
        </w:tc>
        <w:tc>
          <w:tcPr>
            <w:tcW w:type="dxa" w:w="5700"/>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b/>
                <w:bCs/>
                <w:sz w:val="19"/>
                <w:szCs w:val="19"/>
              </w:rPr>
              <w:t xml:space="preserve">136.597</w:t>
            </w:r>
            <w:r>
              <w:rPr>
                <w:rFonts w:ascii="Times New Roman" w:cs="Times New Roman" w:eastAsia="Times New Roman" w:hAnsi="Times New Roman"/>
                <w:sz w:val="19"/>
                <w:szCs w:val="19"/>
              </w:rPr>
              <w:t xml:space="preserve"> (≈ 9,3% tổng lợi nhuận)</w:t>
            </w:r>
          </w:p>
        </w:tc>
      </w:tr>
    </w:tbl>
    <w:p>
      <w:pPr>
        <w:spacing w:after="200"/>
      </w:pPr>
      <w:r>
        <w:rPr>
          <w:sz w:val="8"/>
          <w:szCs w:val="8"/>
        </w:rPr>
        <w:t xml:space="preserve"/>
      </w:r>
    </w:p>
    <w:p>
      <w:pPr>
        <w:pBdr>
          <w:left w:val="single" w:color="C8A020" w:sz="18" w:space="8"/>
        </w:pBdr>
        <w:shd w:fill="FDF3D8" w:color="auto" w:val="clear"/>
        <w:spacing w:after="60" w:before="60" w:line="290"/>
        <w:ind w:left="280" w:right="200"/>
      </w:pPr>
      <w:r>
        <w:rPr>
          <w:rFonts w:ascii="Times New Roman" w:cs="Times New Roman" w:eastAsia="Times New Roman" w:hAnsi="Times New Roman"/>
          <w:sz w:val="21"/>
          <w:szCs w:val="21"/>
        </w:rPr>
        <w:t xml:space="preserve">Doanh thu bị trả (10,7%) </w:t>
      </w:r>
      <w:r>
        <w:rPr>
          <w:rFonts w:ascii="Times New Roman" w:cs="Times New Roman" w:eastAsia="Times New Roman" w:hAnsi="Times New Roman"/>
          <w:b/>
          <w:bCs/>
          <w:sz w:val="21"/>
          <w:szCs w:val="21"/>
        </w:rPr>
        <w:t xml:space="preserve">cao hơn</w:t>
      </w:r>
      <w:r>
        <w:rPr>
          <w:rFonts w:ascii="Times New Roman" w:cs="Times New Roman" w:eastAsia="Times New Roman" w:hAnsi="Times New Roman"/>
          <w:sz w:val="21"/>
          <w:szCs w:val="21"/>
        </w:rPr>
        <w:t xml:space="preserve"> tỷ lệ đơn bị trả (7,7%) → </w:t>
      </w:r>
      <w:r>
        <w:rPr>
          <w:rFonts w:ascii="Times New Roman" w:cs="Times New Roman" w:eastAsia="Times New Roman" w:hAnsi="Times New Roman"/>
          <w:b/>
          <w:bCs/>
          <w:sz w:val="21"/>
          <w:szCs w:val="21"/>
        </w:rPr>
        <w:t xml:space="preserve">đơn bị trả có giá trị lớn hơn đơn bình thường</w:t>
      </w:r>
      <w:r>
        <w:rPr>
          <w:rFonts w:ascii="Times New Roman" w:cs="Times New Roman" w:eastAsia="Times New Roman" w:hAnsi="Times New Roman"/>
          <w:sz w:val="21"/>
          <w:szCs w:val="21"/>
        </w:rPr>
        <w:t xml:space="preserve">. Đây là manh mối đầu tiên.</w:t>
      </w:r>
    </w:p>
    <w:p>
      <w:pPr>
        <w:spacing w:after="160"/>
      </w:pPr>
      <w:r>
        <w:rPr>
          <w:sz w:val="8"/>
          <w:szCs w:val="8"/>
        </w:rPr>
        <w:t xml:space="preserve"/>
      </w:r>
    </w:p>
    <w:p>
      <w:pPr>
        <w:spacing w:after="120" w:before="60" w:line="300"/>
        <w:jc w:val="both"/>
      </w:pPr>
      <w:r>
        <w:rPr>
          <w:rFonts w:ascii="Times New Roman" w:cs="Times New Roman" w:eastAsia="Times New Roman" w:hAnsi="Times New Roman"/>
          <w:sz w:val="22"/>
          <w:szCs w:val="22"/>
        </w:rPr>
        <w:t xml:space="preserve">Toàn bộ phân tích dưới đây dùng </w:t>
      </w:r>
      <w:r>
        <w:rPr>
          <w:rFonts w:ascii="Times New Roman" w:cs="Times New Roman" w:eastAsia="Times New Roman" w:hAnsi="Times New Roman"/>
          <w:b/>
          <w:bCs/>
          <w:sz w:val="22"/>
          <w:szCs w:val="22"/>
        </w:rPr>
        <w:t xml:space="preserve">Lift</w:t>
      </w:r>
      <w:r>
        <w:rPr>
          <w:rFonts w:ascii="Times New Roman" w:cs="Times New Roman" w:eastAsia="Times New Roman" w:hAnsi="Times New Roman"/>
          <w:sz w:val="22"/>
          <w:szCs w:val="22"/>
        </w:rPr>
        <w:t xml:space="preserve"> = tỷ lệ trả của nhóm ÷ 7,66% (mức nền). Lift &gt; 1 = rủi ro cao hơn bình thường.</w:t>
      </w:r>
    </w:p>
    <w:p>
      <w:pPr>
        <w:pStyle w:val="Heading2"/>
        <w:spacing w:after="120" w:before="260"/>
      </w:pPr>
      <w:r>
        <w:rPr>
          <w:rFonts w:ascii="Times New Roman" w:cs="Times New Roman" w:eastAsia="Times New Roman" w:hAnsi="Times New Roman"/>
          <w:b/>
          <w:bCs/>
          <w:color w:val="2E5C9A"/>
          <w:sz w:val="25"/>
          <w:szCs w:val="25"/>
        </w:rPr>
        <w:t xml:space="preserve">5.2. ⭐ DẤU HIỆU MẠNH NHẤT: SỐ DÒNG HÀNG TRONG ĐƠN</w:t>
      </w:r>
    </w:p>
    <w:tbl>
      <w:tblPr>
        <w:tblW w:type="dxa" w:w="9746"/>
        <w:tblBorders>
          <w:top w:val="single" w:color="A6B4CC" w:sz="3"/>
          <w:left w:val="single" w:color="A6B4CC" w:sz="3"/>
          <w:bottom w:val="single" w:color="A6B4CC" w:sz="3"/>
          <w:right w:val="single" w:color="A6B4CC" w:sz="3"/>
          <w:insideH w:val="single" w:color="A6B4CC" w:sz="3"/>
          <w:insideV w:val="single" w:color="A6B4CC" w:sz="3"/>
        </w:tblBorders>
      </w:tblPr>
      <w:tblGrid>
        <w:gridCol w:w="3459"/>
        <w:gridCol w:w="1886"/>
        <w:gridCol w:w="2829"/>
        <w:gridCol w:w="1572"/>
      </w:tblGrid>
      <w:tr>
        <w:trPr>
          <w:tblHeader/>
        </w:trPr>
        <w:tc>
          <w:tcPr>
            <w:tcW w:type="dxa" w:w="3459"/>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Số dòng/đơn</w:t>
            </w:r>
          </w:p>
        </w:tc>
        <w:tc>
          <w:tcPr>
            <w:tcW w:type="dxa" w:w="1886"/>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Số đơn</w:t>
            </w:r>
          </w:p>
        </w:tc>
        <w:tc>
          <w:tcPr>
            <w:tcW w:type="dxa" w:w="2829"/>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Tỷ lệ trả</w:t>
            </w:r>
          </w:p>
        </w:tc>
        <w:tc>
          <w:tcPr>
            <w:tcW w:type="dxa" w:w="1572"/>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Lift</w:t>
            </w:r>
          </w:p>
        </w:tc>
      </w:tr>
      <w:tr>
        <w:trPr>
          <w:cantSplit/>
        </w:trPr>
        <w:tc>
          <w:tcPr>
            <w:tcW w:type="dxa" w:w="3459"/>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1</w:t>
            </w:r>
          </w:p>
        </w:tc>
        <w:tc>
          <w:tcPr>
            <w:tcW w:type="dxa" w:w="1886"/>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12.935</w:t>
            </w:r>
          </w:p>
        </w:tc>
        <w:tc>
          <w:tcPr>
            <w:tcW w:type="dxa" w:w="2829"/>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sz w:val="19"/>
                <w:szCs w:val="19"/>
              </w:rPr>
              <w:t xml:space="preserve">3,94%</w:t>
            </w:r>
          </w:p>
        </w:tc>
        <w:tc>
          <w:tcPr>
            <w:tcW w:type="dxa" w:w="1572"/>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0,51×</w:t>
            </w:r>
          </w:p>
        </w:tc>
      </w:tr>
      <w:tr>
        <w:trPr>
          <w:cantSplit/>
        </w:trPr>
        <w:tc>
          <w:tcPr>
            <w:tcW w:type="dxa" w:w="3459"/>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2</w:t>
            </w:r>
          </w:p>
        </w:tc>
        <w:tc>
          <w:tcPr>
            <w:tcW w:type="dxa" w:w="1886"/>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6.382</w:t>
            </w:r>
          </w:p>
        </w:tc>
        <w:tc>
          <w:tcPr>
            <w:tcW w:type="dxa" w:w="2829"/>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8,01%</w:t>
            </w:r>
          </w:p>
        </w:tc>
        <w:tc>
          <w:tcPr>
            <w:tcW w:type="dxa" w:w="1572"/>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1,05×</w:t>
            </w:r>
          </w:p>
        </w:tc>
      </w:tr>
      <w:tr>
        <w:trPr>
          <w:cantSplit/>
        </w:trPr>
        <w:tc>
          <w:tcPr>
            <w:tcW w:type="dxa" w:w="3459"/>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3</w:t>
            </w:r>
          </w:p>
        </w:tc>
        <w:tc>
          <w:tcPr>
            <w:tcW w:type="dxa" w:w="1886"/>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3.238</w:t>
            </w:r>
          </w:p>
        </w:tc>
        <w:tc>
          <w:tcPr>
            <w:tcW w:type="dxa" w:w="2829"/>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11,61%</w:t>
            </w:r>
          </w:p>
        </w:tc>
        <w:tc>
          <w:tcPr>
            <w:tcW w:type="dxa" w:w="1572"/>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1,52×</w:t>
            </w:r>
          </w:p>
        </w:tc>
      </w:tr>
      <w:tr>
        <w:trPr>
          <w:cantSplit/>
        </w:trPr>
        <w:tc>
          <w:tcPr>
            <w:tcW w:type="dxa" w:w="3459"/>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4–5</w:t>
            </w:r>
          </w:p>
        </w:tc>
        <w:tc>
          <w:tcPr>
            <w:tcW w:type="dxa" w:w="1886"/>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2.368</w:t>
            </w:r>
          </w:p>
        </w:tc>
        <w:tc>
          <w:tcPr>
            <w:tcW w:type="dxa" w:w="2829"/>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15,50%</w:t>
            </w:r>
          </w:p>
        </w:tc>
        <w:tc>
          <w:tcPr>
            <w:tcW w:type="dxa" w:w="1572"/>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2,02×</w:t>
            </w:r>
          </w:p>
        </w:tc>
      </w:tr>
      <w:tr>
        <w:trPr>
          <w:cantSplit/>
        </w:trPr>
        <w:tc>
          <w:tcPr>
            <w:tcW w:type="dxa" w:w="3459"/>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b/>
                <w:bCs/>
                <w:sz w:val="19"/>
                <w:szCs w:val="19"/>
              </w:rPr>
              <w:t xml:space="preserve">6+</w:t>
            </w:r>
          </w:p>
        </w:tc>
        <w:tc>
          <w:tcPr>
            <w:tcW w:type="dxa" w:w="1886"/>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805</w:t>
            </w:r>
          </w:p>
        </w:tc>
        <w:tc>
          <w:tcPr>
            <w:tcW w:type="dxa" w:w="2829"/>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sz w:val="19"/>
                <w:szCs w:val="19"/>
              </w:rPr>
              <w:t xml:space="preserve">25,71%</w:t>
            </w:r>
          </w:p>
        </w:tc>
        <w:tc>
          <w:tcPr>
            <w:tcW w:type="dxa" w:w="1572"/>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sz w:val="19"/>
                <w:szCs w:val="19"/>
              </w:rPr>
              <w:t xml:space="preserve">3,36×</w:t>
            </w:r>
          </w:p>
        </w:tc>
      </w:tr>
    </w:tbl>
    <w:p>
      <w:pPr>
        <w:spacing w:after="200"/>
      </w:pPr>
      <w:r>
        <w:rPr>
          <w:sz w:val="8"/>
          <w:szCs w:val="8"/>
        </w:rPr>
        <w:t xml:space="preserve"/>
      </w:r>
    </w:p>
    <w:p>
      <w:pPr>
        <w:pBdr>
          <w:left w:val="single" w:color="C8A020" w:sz="18" w:space="8"/>
        </w:pBdr>
        <w:shd w:fill="FDF3D8" w:color="auto" w:val="clear"/>
        <w:spacing w:after="40" w:before="60" w:line="290"/>
        <w:ind w:left="280" w:right="200"/>
      </w:pPr>
      <w:r>
        <w:rPr>
          <w:rFonts w:ascii="Times New Roman" w:cs="Times New Roman" w:eastAsia="Times New Roman" w:hAnsi="Times New Roman"/>
          <w:b/>
          <w:bCs/>
          <w:sz w:val="21"/>
          <w:szCs w:val="21"/>
        </w:rPr>
        <w:t xml:space="preserve">Chênh lệch 6,5 lần</w:t>
      </w:r>
      <w:r>
        <w:rPr>
          <w:rFonts w:ascii="Times New Roman" w:cs="Times New Roman" w:eastAsia="Times New Roman" w:hAnsi="Times New Roman"/>
          <w:sz w:val="21"/>
          <w:szCs w:val="21"/>
        </w:rPr>
        <w:t xml:space="preserve"> giữa đơn 1 dòng và đơn 6+ dòng. Đây là biến dự báo mạnh nhất trong toàn bộ dữ liệu (tương quan 0,189).</w:t>
      </w:r>
    </w:p>
    <w:p>
      <w:pPr>
        <w:pBdr>
          <w:left w:val="single" w:color="C8A020" w:sz="18" w:space="8"/>
        </w:pBdr>
        <w:shd w:fill="FDF3D8" w:color="auto" w:val="clear"/>
        <w:spacing w:after="60" w:before="40" w:line="290"/>
        <w:ind w:left="280" w:right="200"/>
      </w:pPr>
      <w:r>
        <w:rPr>
          <w:rFonts w:ascii="Times New Roman" w:cs="Times New Roman" w:eastAsia="Times New Roman" w:hAnsi="Times New Roman"/>
          <w:sz w:val="21"/>
          <w:szCs w:val="21"/>
        </w:rPr>
        <w:t xml:space="preserve">Cứ </w:t>
      </w:r>
      <w:r>
        <w:rPr>
          <w:rFonts w:ascii="Times New Roman" w:cs="Times New Roman" w:eastAsia="Times New Roman" w:hAnsi="Times New Roman"/>
          <w:b/>
          <w:bCs/>
          <w:sz w:val="21"/>
          <w:szCs w:val="21"/>
        </w:rPr>
        <w:t xml:space="preserve">4 đơn có từ 6 dòng trở lên thì 1 đơn bị trả</w:t>
      </w:r>
      <w:r>
        <w:rPr>
          <w:rFonts w:ascii="Times New Roman" w:cs="Times New Roman" w:eastAsia="Times New Roman" w:hAnsi="Times New Roman"/>
          <w:sz w:val="21"/>
          <w:szCs w:val="21"/>
        </w:rPr>
        <w:t xml:space="preserve">.</w:t>
      </w:r>
    </w:p>
    <w:p>
      <w:pPr>
        <w:spacing w:after="160"/>
      </w:pPr>
      <w:r>
        <w:rPr>
          <w:sz w:val="8"/>
          <w:szCs w:val="8"/>
        </w:rPr>
        <w:t xml:space="preserve"/>
      </w:r>
    </w:p>
    <w:p>
      <w:pPr>
        <w:pStyle w:val="Heading2"/>
        <w:spacing w:after="120" w:before="260"/>
      </w:pPr>
      <w:r>
        <w:rPr>
          <w:rFonts w:ascii="Times New Roman" w:cs="Times New Roman" w:eastAsia="Times New Roman" w:hAnsi="Times New Roman"/>
          <w:b/>
          <w:bCs/>
          <w:color w:val="2E5C9A"/>
          <w:sz w:val="25"/>
          <w:szCs w:val="25"/>
        </w:rPr>
        <w:t xml:space="preserve">5.3. ⭐ ĐỘ ĐA DẠNG CỦA GIỎ HÀNG</w:t>
      </w:r>
    </w:p>
    <w:tbl>
      <w:tblPr>
        <w:tblW w:type="dxa" w:w="9746"/>
        <w:tblBorders>
          <w:top w:val="single" w:color="A6B4CC" w:sz="3"/>
          <w:left w:val="single" w:color="A6B4CC" w:sz="3"/>
          <w:bottom w:val="single" w:color="A6B4CC" w:sz="3"/>
          <w:right w:val="single" w:color="A6B4CC" w:sz="3"/>
          <w:insideH w:val="single" w:color="A6B4CC" w:sz="3"/>
          <w:insideV w:val="single" w:color="A6B4CC" w:sz="3"/>
        </w:tblBorders>
      </w:tblPr>
      <w:tblGrid>
        <w:gridCol w:w="5415"/>
        <w:gridCol w:w="1299"/>
        <w:gridCol w:w="1949"/>
        <w:gridCol w:w="1083"/>
      </w:tblGrid>
      <w:tr>
        <w:trPr>
          <w:tblHeader/>
        </w:trPr>
        <w:tc>
          <w:tcPr>
            <w:tcW w:type="dxa" w:w="5415"/>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Số phân nhóm SP khác nhau</w:t>
            </w:r>
          </w:p>
        </w:tc>
        <w:tc>
          <w:tcPr>
            <w:tcW w:type="dxa" w:w="1299"/>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Số đơn</w:t>
            </w:r>
          </w:p>
        </w:tc>
        <w:tc>
          <w:tcPr>
            <w:tcW w:type="dxa" w:w="1949"/>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Tỷ lệ trả</w:t>
            </w:r>
          </w:p>
        </w:tc>
        <w:tc>
          <w:tcPr>
            <w:tcW w:type="dxa" w:w="1083"/>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Lift</w:t>
            </w:r>
          </w:p>
        </w:tc>
      </w:tr>
      <w:tr>
        <w:trPr>
          <w:cantSplit/>
        </w:trPr>
        <w:tc>
          <w:tcPr>
            <w:tcW w:type="dxa" w:w="5415"/>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1</w:t>
            </w:r>
          </w:p>
        </w:tc>
        <w:tc>
          <w:tcPr>
            <w:tcW w:type="dxa" w:w="1299"/>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13.491</w:t>
            </w:r>
          </w:p>
        </w:tc>
        <w:tc>
          <w:tcPr>
            <w:tcW w:type="dxa" w:w="1949"/>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4,09%</w:t>
            </w:r>
          </w:p>
        </w:tc>
        <w:tc>
          <w:tcPr>
            <w:tcW w:type="dxa" w:w="1083"/>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0,53×</w:t>
            </w:r>
          </w:p>
        </w:tc>
      </w:tr>
      <w:tr>
        <w:trPr>
          <w:cantSplit/>
        </w:trPr>
        <w:tc>
          <w:tcPr>
            <w:tcW w:type="dxa" w:w="5415"/>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2</w:t>
            </w:r>
          </w:p>
        </w:tc>
        <w:tc>
          <w:tcPr>
            <w:tcW w:type="dxa" w:w="1299"/>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6.611</w:t>
            </w:r>
          </w:p>
        </w:tc>
        <w:tc>
          <w:tcPr>
            <w:tcW w:type="dxa" w:w="1949"/>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8,46%</w:t>
            </w:r>
          </w:p>
        </w:tc>
        <w:tc>
          <w:tcPr>
            <w:tcW w:type="dxa" w:w="1083"/>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1,10×</w:t>
            </w:r>
          </w:p>
        </w:tc>
      </w:tr>
      <w:tr>
        <w:trPr>
          <w:cantSplit/>
        </w:trPr>
        <w:tc>
          <w:tcPr>
            <w:tcW w:type="dxa" w:w="5415"/>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3</w:t>
            </w:r>
          </w:p>
        </w:tc>
        <w:tc>
          <w:tcPr>
            <w:tcW w:type="dxa" w:w="1299"/>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3.208</w:t>
            </w:r>
          </w:p>
        </w:tc>
        <w:tc>
          <w:tcPr>
            <w:tcW w:type="dxa" w:w="1949"/>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12,75%</w:t>
            </w:r>
          </w:p>
        </w:tc>
        <w:tc>
          <w:tcPr>
            <w:tcW w:type="dxa" w:w="1083"/>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1,67×</w:t>
            </w:r>
          </w:p>
        </w:tc>
      </w:tr>
      <w:tr>
        <w:trPr>
          <w:cantSplit/>
        </w:trPr>
        <w:tc>
          <w:tcPr>
            <w:tcW w:type="dxa" w:w="5415"/>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b/>
                <w:bCs/>
                <w:sz w:val="19"/>
                <w:szCs w:val="19"/>
              </w:rPr>
              <w:t xml:space="preserve">4+</w:t>
            </w:r>
          </w:p>
        </w:tc>
        <w:tc>
          <w:tcPr>
            <w:tcW w:type="dxa" w:w="1299"/>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2.418</w:t>
            </w:r>
          </w:p>
        </w:tc>
        <w:tc>
          <w:tcPr>
            <w:tcW w:type="dxa" w:w="1949"/>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sz w:val="19"/>
                <w:szCs w:val="19"/>
              </w:rPr>
              <w:t xml:space="preserve">18,61%</w:t>
            </w:r>
          </w:p>
        </w:tc>
        <w:tc>
          <w:tcPr>
            <w:tcW w:type="dxa" w:w="1083"/>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sz w:val="19"/>
                <w:szCs w:val="19"/>
              </w:rPr>
              <w:t xml:space="preserve">2,43×</w:t>
            </w:r>
          </w:p>
        </w:tc>
      </w:tr>
    </w:tbl>
    <w:p>
      <w:pPr>
        <w:spacing w:after="200"/>
      </w:pPr>
      <w:r>
        <w:rPr>
          <w:sz w:val="8"/>
          <w:szCs w:val="8"/>
        </w:rPr>
        <w:t xml:space="preserve"/>
      </w:r>
    </w:p>
    <w:p>
      <w:pPr>
        <w:spacing w:after="120" w:before="60" w:line="300"/>
        <w:jc w:val="both"/>
      </w:pPr>
      <w:r>
        <w:rPr>
          <w:rFonts w:ascii="Times New Roman" w:cs="Times New Roman" w:eastAsia="Times New Roman" w:hAnsi="Times New Roman"/>
          <w:sz w:val="22"/>
          <w:szCs w:val="22"/>
        </w:rPr>
        <w:t xml:space="preserve">Giỏ càng trộn nhiều loại hàng, rủi ro càng cao — phù hợp với giả thuyết </w:t>
      </w:r>
      <w:r>
        <w:rPr>
          <w:rFonts w:ascii="Times New Roman" w:cs="Times New Roman" w:eastAsia="Times New Roman" w:hAnsi="Times New Roman"/>
          <w:b/>
          <w:bCs/>
          <w:sz w:val="22"/>
          <w:szCs w:val="22"/>
        </w:rPr>
        <w:t xml:space="preserve">"mua thăm dò/mua gộp rồi chọn lại"</w:t>
      </w:r>
      <w:r>
        <w:rPr>
          <w:rFonts w:ascii="Times New Roman" w:cs="Times New Roman" w:eastAsia="Times New Roman" w:hAnsi="Times New Roman"/>
          <w:sz w:val="22"/>
          <w:szCs w:val="22"/>
        </w:rPr>
        <w:t xml:space="preserve">.</w:t>
      </w:r>
    </w:p>
    <w:p>
      <w:pPr>
        <w:pStyle w:val="Heading2"/>
        <w:spacing w:after="120" w:before="260"/>
      </w:pPr>
      <w:r>
        <w:rPr>
          <w:rFonts w:ascii="Times New Roman" w:cs="Times New Roman" w:eastAsia="Times New Roman" w:hAnsi="Times New Roman"/>
          <w:b/>
          <w:bCs/>
          <w:color w:val="2E5C9A"/>
          <w:sz w:val="25"/>
          <w:szCs w:val="25"/>
        </w:rPr>
        <w:t xml:space="preserve">5.4. ⭐ SỐ LƯỢNG SẢN PHẨM</w:t>
      </w:r>
    </w:p>
    <w:tbl>
      <w:tblPr>
        <w:tblW w:type="dxa" w:w="9746"/>
        <w:tblBorders>
          <w:top w:val="single" w:color="A6B4CC" w:sz="3"/>
          <w:left w:val="single" w:color="A6B4CC" w:sz="3"/>
          <w:bottom w:val="single" w:color="A6B4CC" w:sz="3"/>
          <w:right w:val="single" w:color="A6B4CC" w:sz="3"/>
          <w:insideH w:val="single" w:color="A6B4CC" w:sz="3"/>
          <w:insideV w:val="single" w:color="A6B4CC" w:sz="3"/>
        </w:tblBorders>
      </w:tblPr>
      <w:tblGrid>
        <w:gridCol w:w="3655"/>
        <w:gridCol w:w="1827"/>
        <w:gridCol w:w="2741"/>
        <w:gridCol w:w="1523"/>
      </w:tblGrid>
      <w:tr>
        <w:trPr>
          <w:tblHeader/>
        </w:trPr>
        <w:tc>
          <w:tcPr>
            <w:tcW w:type="dxa" w:w="3655"/>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Số lượng/đơn</w:t>
            </w:r>
          </w:p>
        </w:tc>
        <w:tc>
          <w:tcPr>
            <w:tcW w:type="dxa" w:w="1827"/>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Số đơn</w:t>
            </w:r>
          </w:p>
        </w:tc>
        <w:tc>
          <w:tcPr>
            <w:tcW w:type="dxa" w:w="2741"/>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Tỷ lệ trả</w:t>
            </w:r>
          </w:p>
        </w:tc>
        <w:tc>
          <w:tcPr>
            <w:tcW w:type="dxa" w:w="1523"/>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Lift</w:t>
            </w:r>
          </w:p>
        </w:tc>
      </w:tr>
      <w:tr>
        <w:trPr>
          <w:cantSplit/>
        </w:trPr>
        <w:tc>
          <w:tcPr>
            <w:tcW w:type="dxa" w:w="3655"/>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1–2</w:t>
            </w:r>
          </w:p>
        </w:tc>
        <w:tc>
          <w:tcPr>
            <w:tcW w:type="dxa" w:w="1827"/>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5.929</w:t>
            </w:r>
          </w:p>
        </w:tc>
        <w:tc>
          <w:tcPr>
            <w:tcW w:type="dxa" w:w="2741"/>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4,32%</w:t>
            </w:r>
          </w:p>
        </w:tc>
        <w:tc>
          <w:tcPr>
            <w:tcW w:type="dxa" w:w="1523"/>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0,56×</w:t>
            </w:r>
          </w:p>
        </w:tc>
      </w:tr>
      <w:tr>
        <w:trPr>
          <w:cantSplit/>
        </w:trPr>
        <w:tc>
          <w:tcPr>
            <w:tcW w:type="dxa" w:w="3655"/>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3–5</w:t>
            </w:r>
          </w:p>
        </w:tc>
        <w:tc>
          <w:tcPr>
            <w:tcW w:type="dxa" w:w="1827"/>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7.673</w:t>
            </w:r>
          </w:p>
        </w:tc>
        <w:tc>
          <w:tcPr>
            <w:tcW w:type="dxa" w:w="2741"/>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5,36%</w:t>
            </w:r>
          </w:p>
        </w:tc>
        <w:tc>
          <w:tcPr>
            <w:tcW w:type="dxa" w:w="1523"/>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0,70×</w:t>
            </w:r>
          </w:p>
        </w:tc>
      </w:tr>
      <w:tr>
        <w:trPr>
          <w:cantSplit/>
        </w:trPr>
        <w:tc>
          <w:tcPr>
            <w:tcW w:type="dxa" w:w="3655"/>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6–10</w:t>
            </w:r>
          </w:p>
        </w:tc>
        <w:tc>
          <w:tcPr>
            <w:tcW w:type="dxa" w:w="1827"/>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6.945</w:t>
            </w:r>
          </w:p>
        </w:tc>
        <w:tc>
          <w:tcPr>
            <w:tcW w:type="dxa" w:w="2741"/>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8,19%</w:t>
            </w:r>
          </w:p>
        </w:tc>
        <w:tc>
          <w:tcPr>
            <w:tcW w:type="dxa" w:w="1523"/>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1,07×</w:t>
            </w:r>
          </w:p>
        </w:tc>
      </w:tr>
      <w:tr>
        <w:trPr>
          <w:cantSplit/>
        </w:trPr>
        <w:tc>
          <w:tcPr>
            <w:tcW w:type="dxa" w:w="3655"/>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11–20</w:t>
            </w:r>
          </w:p>
        </w:tc>
        <w:tc>
          <w:tcPr>
            <w:tcW w:type="dxa" w:w="1827"/>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4.197</w:t>
            </w:r>
          </w:p>
        </w:tc>
        <w:tc>
          <w:tcPr>
            <w:tcW w:type="dxa" w:w="2741"/>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12,72%</w:t>
            </w:r>
          </w:p>
        </w:tc>
        <w:tc>
          <w:tcPr>
            <w:tcW w:type="dxa" w:w="1523"/>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1,66×</w:t>
            </w:r>
          </w:p>
        </w:tc>
      </w:tr>
      <w:tr>
        <w:trPr>
          <w:cantSplit/>
        </w:trPr>
        <w:tc>
          <w:tcPr>
            <w:tcW w:type="dxa" w:w="3655"/>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b/>
                <w:bCs/>
                <w:sz w:val="19"/>
                <w:szCs w:val="19"/>
              </w:rPr>
              <w:t xml:space="preserve">&gt;20</w:t>
            </w:r>
          </w:p>
        </w:tc>
        <w:tc>
          <w:tcPr>
            <w:tcW w:type="dxa" w:w="1827"/>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984</w:t>
            </w:r>
          </w:p>
        </w:tc>
        <w:tc>
          <w:tcPr>
            <w:tcW w:type="dxa" w:w="2741"/>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sz w:val="19"/>
                <w:szCs w:val="19"/>
              </w:rPr>
              <w:t xml:space="preserve">20,33%</w:t>
            </w:r>
          </w:p>
        </w:tc>
        <w:tc>
          <w:tcPr>
            <w:tcW w:type="dxa" w:w="1523"/>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sz w:val="19"/>
                <w:szCs w:val="19"/>
              </w:rPr>
              <w:t xml:space="preserve">2,65×</w:t>
            </w:r>
          </w:p>
        </w:tc>
      </w:tr>
    </w:tbl>
    <w:p>
      <w:pPr>
        <w:spacing w:after="200"/>
      </w:pPr>
      <w:r>
        <w:rPr>
          <w:sz w:val="8"/>
          <w:szCs w:val="8"/>
        </w:rPr>
        <w:t xml:space="preserve"/>
      </w:r>
    </w:p>
    <w:p>
      <w:pPr>
        <w:pStyle w:val="Heading2"/>
        <w:spacing w:after="120" w:before="260"/>
      </w:pPr>
      <w:r>
        <w:rPr>
          <w:rFonts w:ascii="Times New Roman" w:cs="Times New Roman" w:eastAsia="Times New Roman" w:hAnsi="Times New Roman"/>
          <w:b/>
          <w:bCs/>
          <w:color w:val="2E5C9A"/>
          <w:sz w:val="25"/>
          <w:szCs w:val="25"/>
        </w:rPr>
        <w:t xml:space="preserve">5.5. ⚠️ GIÁ TRỊ ĐƠN HÀNG — TƯƠNG QUAN GIẢ (phát hiện quan trọng)</w:t>
      </w:r>
    </w:p>
    <w:p>
      <w:pPr>
        <w:spacing w:after="120" w:before="60" w:line="300"/>
        <w:jc w:val="both"/>
      </w:pPr>
      <w:r>
        <w:rPr>
          <w:rFonts w:ascii="Times New Roman" w:cs="Times New Roman" w:eastAsia="Times New Roman" w:hAnsi="Times New Roman"/>
          <w:sz w:val="22"/>
          <w:szCs w:val="22"/>
        </w:rPr>
        <w:t xml:space="preserve">Nhìn thô, giá trị đơn có vẻ là dấu hiệu rõ ràng:</w:t>
      </w:r>
    </w:p>
    <w:tbl>
      <w:tblPr>
        <w:tblW w:type="dxa" w:w="9746"/>
        <w:tblBorders>
          <w:top w:val="single" w:color="A6B4CC" w:sz="3"/>
          <w:left w:val="single" w:color="A6B4CC" w:sz="3"/>
          <w:bottom w:val="single" w:color="A6B4CC" w:sz="3"/>
          <w:right w:val="single" w:color="A6B4CC" w:sz="3"/>
          <w:insideH w:val="single" w:color="A6B4CC" w:sz="3"/>
          <w:insideV w:val="single" w:color="A6B4CC" w:sz="3"/>
        </w:tblBorders>
      </w:tblPr>
      <w:tblGrid>
        <w:gridCol w:w="4288"/>
        <w:gridCol w:w="3509"/>
        <w:gridCol w:w="1949"/>
      </w:tblGrid>
      <w:tr>
        <w:trPr>
          <w:tblHeader/>
        </w:trPr>
        <w:tc>
          <w:tcPr>
            <w:tcW w:type="dxa" w:w="4288"/>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Giá trị đơn</w:t>
            </w:r>
          </w:p>
        </w:tc>
        <w:tc>
          <w:tcPr>
            <w:tcW w:type="dxa" w:w="3509"/>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Tỷ lệ trả</w:t>
            </w:r>
          </w:p>
        </w:tc>
        <w:tc>
          <w:tcPr>
            <w:tcW w:type="dxa" w:w="1949"/>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Lift</w:t>
            </w:r>
          </w:p>
        </w:tc>
      </w:tr>
      <w:tr>
        <w:trPr>
          <w:cantSplit/>
        </w:trPr>
        <w:tc>
          <w:tcPr>
            <w:tcW w:type="dxa" w:w="4288"/>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&lt;100</w:t>
            </w:r>
          </w:p>
        </w:tc>
        <w:tc>
          <w:tcPr>
            <w:tcW w:type="dxa" w:w="3509"/>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4,84%</w:t>
            </w:r>
          </w:p>
        </w:tc>
        <w:tc>
          <w:tcPr>
            <w:tcW w:type="dxa" w:w="1949"/>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0,63×</w:t>
            </w:r>
          </w:p>
        </w:tc>
      </w:tr>
      <w:tr>
        <w:trPr>
          <w:cantSplit/>
        </w:trPr>
        <w:tc>
          <w:tcPr>
            <w:tcW w:type="dxa" w:w="4288"/>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100–250</w:t>
            </w:r>
          </w:p>
        </w:tc>
        <w:tc>
          <w:tcPr>
            <w:tcW w:type="dxa" w:w="3509"/>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6,77%</w:t>
            </w:r>
          </w:p>
        </w:tc>
        <w:tc>
          <w:tcPr>
            <w:tcW w:type="dxa" w:w="1949"/>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0,88×</w:t>
            </w:r>
          </w:p>
        </w:tc>
      </w:tr>
      <w:tr>
        <w:trPr>
          <w:cantSplit/>
        </w:trPr>
        <w:tc>
          <w:tcPr>
            <w:tcW w:type="dxa" w:w="4288"/>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250–500</w:t>
            </w:r>
          </w:p>
        </w:tc>
        <w:tc>
          <w:tcPr>
            <w:tcW w:type="dxa" w:w="3509"/>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9,26%</w:t>
            </w:r>
          </w:p>
        </w:tc>
        <w:tc>
          <w:tcPr>
            <w:tcW w:type="dxa" w:w="1949"/>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1,21×</w:t>
            </w:r>
          </w:p>
        </w:tc>
      </w:tr>
      <w:tr>
        <w:trPr>
          <w:cantSplit/>
        </w:trPr>
        <w:tc>
          <w:tcPr>
            <w:tcW w:type="dxa" w:w="4288"/>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500–1.000</w:t>
            </w:r>
          </w:p>
        </w:tc>
        <w:tc>
          <w:tcPr>
            <w:tcW w:type="dxa" w:w="3509"/>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9,66%</w:t>
            </w:r>
          </w:p>
        </w:tc>
        <w:tc>
          <w:tcPr>
            <w:tcW w:type="dxa" w:w="1949"/>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1,26×</w:t>
            </w:r>
          </w:p>
        </w:tc>
      </w:tr>
      <w:tr>
        <w:trPr>
          <w:cantSplit/>
        </w:trPr>
        <w:tc>
          <w:tcPr>
            <w:tcW w:type="dxa" w:w="4288"/>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1.000–2.500</w:t>
            </w:r>
          </w:p>
        </w:tc>
        <w:tc>
          <w:tcPr>
            <w:tcW w:type="dxa" w:w="3509"/>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11,29%</w:t>
            </w:r>
          </w:p>
        </w:tc>
        <w:tc>
          <w:tcPr>
            <w:tcW w:type="dxa" w:w="1949"/>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1,47×</w:t>
            </w:r>
          </w:p>
        </w:tc>
      </w:tr>
      <w:tr>
        <w:trPr>
          <w:cantSplit/>
        </w:trPr>
        <w:tc>
          <w:tcPr>
            <w:tcW w:type="dxa" w:w="4288"/>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&gt;2.500</w:t>
            </w:r>
          </w:p>
        </w:tc>
        <w:tc>
          <w:tcPr>
            <w:tcW w:type="dxa" w:w="3509"/>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13,87%</w:t>
            </w:r>
          </w:p>
        </w:tc>
        <w:tc>
          <w:tcPr>
            <w:tcW w:type="dxa" w:w="1949"/>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1,81×</w:t>
            </w:r>
          </w:p>
        </w:tc>
      </w:tr>
    </w:tbl>
    <w:p>
      <w:pPr>
        <w:spacing w:after="200"/>
      </w:pPr>
      <w:r>
        <w:rPr>
          <w:sz w:val="8"/>
          <w:szCs w:val="8"/>
        </w:rPr>
        <w:t xml:space="preserve"/>
      </w:r>
    </w:p>
    <w:p>
      <w:pPr>
        <w:spacing w:after="120" w:before="60" w:line="300"/>
        <w:jc w:val="both"/>
      </w:pPr>
      <w:r>
        <w:rPr>
          <w:rFonts w:ascii="Times New Roman" w:cs="Times New Roman" w:eastAsia="Times New Roman" w:hAnsi="Times New Roman"/>
          <w:b/>
          <w:bCs/>
          <w:sz w:val="22"/>
          <w:szCs w:val="22"/>
        </w:rPr>
        <w:t xml:space="preserve">Nhưng khi kiểm soát số dòng hàng, hiệu ứng này gần như biến mất:</w:t>
      </w:r>
    </w:p>
    <w:tbl>
      <w:tblPr>
        <w:tblW w:type="dxa" w:w="9746"/>
        <w:tblBorders>
          <w:top w:val="single" w:color="A6B4CC" w:sz="3"/>
          <w:left w:val="single" w:color="A6B4CC" w:sz="3"/>
          <w:bottom w:val="single" w:color="A6B4CC" w:sz="3"/>
          <w:right w:val="single" w:color="A6B4CC" w:sz="3"/>
          <w:insideH w:val="single" w:color="A6B4CC" w:sz="3"/>
          <w:insideV w:val="single" w:color="A6B4CC" w:sz="3"/>
        </w:tblBorders>
      </w:tblPr>
      <w:tblGrid>
        <w:gridCol w:w="1337"/>
        <w:gridCol w:w="2102"/>
        <w:gridCol w:w="1147"/>
        <w:gridCol w:w="5160"/>
      </w:tblGrid>
      <w:tr>
        <w:trPr>
          <w:tblHeader/>
        </w:trPr>
        <w:tc>
          <w:tcPr>
            <w:tcW w:type="dxa" w:w="1337"/>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Số dòng</w:t>
            </w:r>
          </w:p>
        </w:tc>
        <w:tc>
          <w:tcPr>
            <w:tcW w:type="dxa" w:w="2102"/>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Giá trị đơn</w:t>
            </w:r>
          </w:p>
        </w:tc>
        <w:tc>
          <w:tcPr>
            <w:tcW w:type="dxa" w:w="1147"/>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Số đơn</w:t>
            </w:r>
          </w:p>
        </w:tc>
        <w:tc>
          <w:tcPr>
            <w:tcW w:type="dxa" w:w="5160"/>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Tỷ lệ trả</w:t>
            </w:r>
          </w:p>
        </w:tc>
      </w:tr>
      <w:tr>
        <w:trPr>
          <w:cantSplit/>
        </w:trPr>
        <w:tc>
          <w:tcPr>
            <w:tcW w:type="dxa" w:w="1337"/>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1 dòng</w:t>
            </w:r>
          </w:p>
        </w:tc>
        <w:tc>
          <w:tcPr>
            <w:tcW w:type="dxa" w:w="2102"/>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&lt;250</w:t>
            </w:r>
          </w:p>
        </w:tc>
        <w:tc>
          <w:tcPr>
            <w:tcW w:type="dxa" w:w="1147"/>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9.711</w:t>
            </w:r>
          </w:p>
        </w:tc>
        <w:tc>
          <w:tcPr>
            <w:tcW w:type="dxa" w:w="5160"/>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3,88%</w:t>
            </w:r>
          </w:p>
        </w:tc>
      </w:tr>
      <w:tr>
        <w:trPr>
          <w:cantSplit/>
        </w:trPr>
        <w:tc>
          <w:tcPr>
            <w:tcW w:type="dxa" w:w="1337"/>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1 dòng</w:t>
            </w:r>
          </w:p>
        </w:tc>
        <w:tc>
          <w:tcPr>
            <w:tcW w:type="dxa" w:w="2102"/>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250–1k</w:t>
            </w:r>
          </w:p>
        </w:tc>
        <w:tc>
          <w:tcPr>
            <w:tcW w:type="dxa" w:w="1147"/>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2.561</w:t>
            </w:r>
          </w:p>
        </w:tc>
        <w:tc>
          <w:tcPr>
            <w:tcW w:type="dxa" w:w="5160"/>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4,18%</w:t>
            </w:r>
          </w:p>
        </w:tc>
      </w:tr>
      <w:tr>
        <w:trPr>
          <w:cantSplit/>
        </w:trPr>
        <w:tc>
          <w:tcPr>
            <w:tcW w:type="dxa" w:w="1337"/>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1 dòng</w:t>
            </w:r>
          </w:p>
        </w:tc>
        <w:tc>
          <w:tcPr>
            <w:tcW w:type="dxa" w:w="2102"/>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b/>
                <w:bCs/>
                <w:sz w:val="19"/>
                <w:szCs w:val="19"/>
              </w:rPr>
              <w:t xml:space="preserve">&gt;1k</w:t>
            </w:r>
          </w:p>
        </w:tc>
        <w:tc>
          <w:tcPr>
            <w:tcW w:type="dxa" w:w="1147"/>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663</w:t>
            </w:r>
          </w:p>
        </w:tc>
        <w:tc>
          <w:tcPr>
            <w:tcW w:type="dxa" w:w="5160"/>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b/>
                <w:bCs/>
                <w:sz w:val="19"/>
                <w:szCs w:val="19"/>
              </w:rPr>
              <w:t xml:space="preserve">3,77%</w:t>
            </w:r>
            <w:r>
              <w:rPr>
                <w:rFonts w:ascii="Times New Roman" w:cs="Times New Roman" w:eastAsia="Times New Roman" w:hAnsi="Times New Roman"/>
                <w:sz w:val="19"/>
                <w:szCs w:val="19"/>
              </w:rPr>
              <w:t xml:space="preserve"> ← không hề cao hơn</w:t>
            </w:r>
          </w:p>
        </w:tc>
      </w:tr>
      <w:tr>
        <w:trPr>
          <w:cantSplit/>
        </w:trPr>
        <w:tc>
          <w:tcPr>
            <w:tcW w:type="dxa" w:w="1337"/>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2 dòng</w:t>
            </w:r>
          </w:p>
        </w:tc>
        <w:tc>
          <w:tcPr>
            <w:tcW w:type="dxa" w:w="2102"/>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&lt;250</w:t>
            </w:r>
          </w:p>
        </w:tc>
        <w:tc>
          <w:tcPr>
            <w:tcW w:type="dxa" w:w="1147"/>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3.187</w:t>
            </w:r>
          </w:p>
        </w:tc>
        <w:tc>
          <w:tcPr>
            <w:tcW w:type="dxa" w:w="5160"/>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8,16%</w:t>
            </w:r>
          </w:p>
        </w:tc>
      </w:tr>
      <w:tr>
        <w:trPr>
          <w:cantSplit/>
        </w:trPr>
        <w:tc>
          <w:tcPr>
            <w:tcW w:type="dxa" w:w="1337"/>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2 dòng</w:t>
            </w:r>
          </w:p>
        </w:tc>
        <w:tc>
          <w:tcPr>
            <w:tcW w:type="dxa" w:w="2102"/>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b/>
                <w:bCs/>
                <w:sz w:val="19"/>
                <w:szCs w:val="19"/>
              </w:rPr>
              <w:t xml:space="preserve">&gt;1k</w:t>
            </w:r>
          </w:p>
        </w:tc>
        <w:tc>
          <w:tcPr>
            <w:tcW w:type="dxa" w:w="1147"/>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798</w:t>
            </w:r>
          </w:p>
        </w:tc>
        <w:tc>
          <w:tcPr>
            <w:tcW w:type="dxa" w:w="5160"/>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b/>
                <w:bCs/>
                <w:sz w:val="19"/>
                <w:szCs w:val="19"/>
              </w:rPr>
              <w:t xml:space="preserve">6,27%</w:t>
            </w:r>
            <w:r>
              <w:rPr>
                <w:rFonts w:ascii="Times New Roman" w:cs="Times New Roman" w:eastAsia="Times New Roman" w:hAnsi="Times New Roman"/>
                <w:sz w:val="19"/>
                <w:szCs w:val="19"/>
              </w:rPr>
              <w:t xml:space="preserve"> ← thậm chí </w:t>
            </w:r>
            <w:r>
              <w:rPr>
                <w:rFonts w:ascii="Times New Roman" w:cs="Times New Roman" w:eastAsia="Times New Roman" w:hAnsi="Times New Roman"/>
                <w:i/>
                <w:iCs/>
                <w:sz w:val="19"/>
                <w:szCs w:val="19"/>
              </w:rPr>
              <w:t xml:space="preserve">thấp hơn</w:t>
            </w:r>
          </w:p>
        </w:tc>
      </w:tr>
      <w:tr>
        <w:trPr>
          <w:cantSplit/>
        </w:trPr>
        <w:tc>
          <w:tcPr>
            <w:tcW w:type="dxa" w:w="1337"/>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3+ dòng</w:t>
            </w:r>
          </w:p>
        </w:tc>
        <w:tc>
          <w:tcPr>
            <w:tcW w:type="dxa" w:w="2102"/>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&lt;250</w:t>
            </w:r>
          </w:p>
        </w:tc>
        <w:tc>
          <w:tcPr>
            <w:tcW w:type="dxa" w:w="1147"/>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1.226</w:t>
            </w:r>
          </w:p>
        </w:tc>
        <w:tc>
          <w:tcPr>
            <w:tcW w:type="dxa" w:w="5160"/>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12,23%</w:t>
            </w:r>
          </w:p>
        </w:tc>
      </w:tr>
      <w:tr>
        <w:trPr>
          <w:cantSplit/>
        </w:trPr>
        <w:tc>
          <w:tcPr>
            <w:tcW w:type="dxa" w:w="1337"/>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3+ dòng</w:t>
            </w:r>
          </w:p>
        </w:tc>
        <w:tc>
          <w:tcPr>
            <w:tcW w:type="dxa" w:w="2102"/>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&gt;1k</w:t>
            </w:r>
          </w:p>
        </w:tc>
        <w:tc>
          <w:tcPr>
            <w:tcW w:type="dxa" w:w="1147"/>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2.167</w:t>
            </w:r>
          </w:p>
        </w:tc>
        <w:tc>
          <w:tcPr>
            <w:tcW w:type="dxa" w:w="5160"/>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16,34%</w:t>
            </w:r>
          </w:p>
        </w:tc>
      </w:tr>
    </w:tbl>
    <w:p>
      <w:pPr>
        <w:spacing w:after="200"/>
      </w:pPr>
      <w:r>
        <w:rPr>
          <w:sz w:val="8"/>
          <w:szCs w:val="8"/>
        </w:rPr>
        <w:t xml:space="preserve"/>
      </w:r>
    </w:p>
    <w:p>
      <w:pPr>
        <w:pBdr>
          <w:left w:val="single" w:color="C8A020" w:sz="18" w:space="8"/>
        </w:pBdr>
        <w:shd w:fill="FDF3D8" w:color="auto" w:val="clear"/>
        <w:spacing w:after="40" w:before="60" w:line="290"/>
        <w:ind w:left="280" w:right="200"/>
      </w:pPr>
      <w:r>
        <w:rPr>
          <w:rFonts w:ascii="Times New Roman" w:cs="Times New Roman" w:eastAsia="Times New Roman" w:hAnsi="Times New Roman"/>
          <w:b/>
          <w:bCs/>
          <w:sz w:val="21"/>
          <w:szCs w:val="21"/>
        </w:rPr>
        <w:t xml:space="preserve">Kết luận phương pháp:</w:t>
      </w:r>
      <w:r>
        <w:rPr>
          <w:rFonts w:ascii="Times New Roman" w:cs="Times New Roman" w:eastAsia="Times New Roman" w:hAnsi="Times New Roman"/>
          <w:sz w:val="21"/>
          <w:szCs w:val="21"/>
        </w:rPr>
        <w:t xml:space="preserve"> Đơn đắt tiền </w:t>
      </w:r>
      <w:r>
        <w:rPr>
          <w:rFonts w:ascii="Times New Roman" w:cs="Times New Roman" w:eastAsia="Times New Roman" w:hAnsi="Times New Roman"/>
          <w:i/>
          <w:iCs/>
          <w:sz w:val="21"/>
          <w:szCs w:val="21"/>
        </w:rPr>
        <w:t xml:space="preserve">không</w:t>
      </w:r>
      <w:r>
        <w:rPr>
          <w:rFonts w:ascii="Times New Roman" w:cs="Times New Roman" w:eastAsia="Times New Roman" w:hAnsi="Times New Roman"/>
          <w:sz w:val="21"/>
          <w:szCs w:val="21"/>
        </w:rPr>
        <w:t xml:space="preserve"> rủi ro hơn vì nó đắt — mà vì đơn đắt thường có nhiều món hơn. </w:t>
      </w:r>
      <w:r>
        <w:rPr>
          <w:rFonts w:ascii="Times New Roman" w:cs="Times New Roman" w:eastAsia="Times New Roman" w:hAnsi="Times New Roman"/>
          <w:b/>
          <w:bCs/>
          <w:sz w:val="21"/>
          <w:szCs w:val="21"/>
        </w:rPr>
        <w:t xml:space="preserve">Nguyên nhân thật là quy mô giỏ hàng, không phải giá trị tiền.</w:t>
      </w:r>
    </w:p>
    <w:p>
      <w:pPr>
        <w:pBdr>
          <w:left w:val="single" w:color="C8A020" w:sz="18" w:space="8"/>
        </w:pBdr>
        <w:shd w:fill="FDF3D8" w:color="auto" w:val="clear"/>
        <w:spacing w:after="60" w:before="40" w:line="290"/>
        <w:ind w:left="280" w:right="200"/>
      </w:pPr>
      <w:r>
        <w:rPr>
          <w:rFonts w:ascii="Times New Roman" w:cs="Times New Roman" w:eastAsia="Times New Roman" w:hAnsi="Times New Roman"/>
          <w:sz w:val="21"/>
          <w:szCs w:val="21"/>
        </w:rPr>
        <w:t xml:space="preserve">Đây là ví dụ điển hình về sai lầm "tương quan ≠ nhân quả" cần nêu trong bài luận: nếu chỉ nhìn bảng đầu, doanh nghiệp sẽ đi siết đơn giá trị cao — một quyết định sai và gây thiệt hại doanh thu.</w:t>
      </w:r>
    </w:p>
    <w:p>
      <w:pPr>
        <w:spacing w:after="160"/>
      </w:pPr>
      <w:r>
        <w:rPr>
          <w:sz w:val="8"/>
          <w:szCs w:val="8"/>
        </w:rPr>
        <w:t xml:space="preserve"/>
      </w:r>
    </w:p>
    <w:p>
      <w:pPr>
        <w:pStyle w:val="Heading2"/>
        <w:spacing w:after="120" w:before="260"/>
      </w:pPr>
      <w:r>
        <w:rPr>
          <w:rFonts w:ascii="Times New Roman" w:cs="Times New Roman" w:eastAsia="Times New Roman" w:hAnsi="Times New Roman"/>
          <w:b/>
          <w:bCs/>
          <w:color w:val="2E5C9A"/>
          <w:sz w:val="25"/>
          <w:szCs w:val="25"/>
        </w:rPr>
        <w:t xml:space="preserve">5.6. GIẢM GIÁ — có tác động nhưng yếu và có điều kiện</w:t>
      </w:r>
    </w:p>
    <w:tbl>
      <w:tblPr>
        <w:tblW w:type="dxa" w:w="9746"/>
        <w:tblBorders>
          <w:top w:val="single" w:color="A6B4CC" w:sz="3"/>
          <w:left w:val="single" w:color="A6B4CC" w:sz="3"/>
          <w:bottom w:val="single" w:color="A6B4CC" w:sz="3"/>
          <w:right w:val="single" w:color="A6B4CC" w:sz="3"/>
          <w:insideH w:val="single" w:color="A6B4CC" w:sz="3"/>
          <w:insideV w:val="single" w:color="A6B4CC" w:sz="3"/>
        </w:tblBorders>
      </w:tblPr>
      <w:tblGrid>
        <w:gridCol w:w="6418"/>
        <w:gridCol w:w="2139"/>
        <w:gridCol w:w="1189"/>
      </w:tblGrid>
      <w:tr>
        <w:trPr>
          <w:tblHeader/>
        </w:trPr>
        <w:tc>
          <w:tcPr>
            <w:tcW w:type="dxa" w:w="6418"/>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Giảm giá cao nhất trong đơn</w:t>
            </w:r>
          </w:p>
        </w:tc>
        <w:tc>
          <w:tcPr>
            <w:tcW w:type="dxa" w:w="2139"/>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Tỷ lệ trả</w:t>
            </w:r>
          </w:p>
        </w:tc>
        <w:tc>
          <w:tcPr>
            <w:tcW w:type="dxa" w:w="1189"/>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Lift</w:t>
            </w:r>
          </w:p>
        </w:tc>
      </w:tr>
      <w:tr>
        <w:trPr>
          <w:cantSplit/>
        </w:trPr>
        <w:tc>
          <w:tcPr>
            <w:tcW w:type="dxa" w:w="6418"/>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0%</w:t>
            </w:r>
          </w:p>
        </w:tc>
        <w:tc>
          <w:tcPr>
            <w:tcW w:type="dxa" w:w="2139"/>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6,78%</w:t>
            </w:r>
          </w:p>
        </w:tc>
        <w:tc>
          <w:tcPr>
            <w:tcW w:type="dxa" w:w="1189"/>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0,89×</w:t>
            </w:r>
          </w:p>
        </w:tc>
      </w:tr>
      <w:tr>
        <w:trPr>
          <w:cantSplit/>
        </w:trPr>
        <w:tc>
          <w:tcPr>
            <w:tcW w:type="dxa" w:w="6418"/>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0–10%</w:t>
            </w:r>
          </w:p>
        </w:tc>
        <w:tc>
          <w:tcPr>
            <w:tcW w:type="dxa" w:w="2139"/>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7,83%</w:t>
            </w:r>
          </w:p>
        </w:tc>
        <w:tc>
          <w:tcPr>
            <w:tcW w:type="dxa" w:w="1189"/>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1,02×</w:t>
            </w:r>
          </w:p>
        </w:tc>
      </w:tr>
      <w:tr>
        <w:trPr>
          <w:cantSplit/>
        </w:trPr>
        <w:tc>
          <w:tcPr>
            <w:tcW w:type="dxa" w:w="6418"/>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10–20%</w:t>
            </w:r>
          </w:p>
        </w:tc>
        <w:tc>
          <w:tcPr>
            <w:tcW w:type="dxa" w:w="2139"/>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7,98%</w:t>
            </w:r>
          </w:p>
        </w:tc>
        <w:tc>
          <w:tcPr>
            <w:tcW w:type="dxa" w:w="1189"/>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1,04×</w:t>
            </w:r>
          </w:p>
        </w:tc>
      </w:tr>
      <w:tr>
        <w:trPr>
          <w:cantSplit/>
        </w:trPr>
        <w:tc>
          <w:tcPr>
            <w:tcW w:type="dxa" w:w="6418"/>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20–40%</w:t>
            </w:r>
          </w:p>
        </w:tc>
        <w:tc>
          <w:tcPr>
            <w:tcW w:type="dxa" w:w="2139"/>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8,88%</w:t>
            </w:r>
          </w:p>
        </w:tc>
        <w:tc>
          <w:tcPr>
            <w:tcW w:type="dxa" w:w="1189"/>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1,16×</w:t>
            </w:r>
          </w:p>
        </w:tc>
      </w:tr>
      <w:tr>
        <w:trPr>
          <w:cantSplit/>
        </w:trPr>
        <w:tc>
          <w:tcPr>
            <w:tcW w:type="dxa" w:w="6418"/>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b/>
                <w:bCs/>
                <w:sz w:val="19"/>
                <w:szCs w:val="19"/>
              </w:rPr>
              <w:t xml:space="preserve">&gt;40%</w:t>
            </w:r>
          </w:p>
        </w:tc>
        <w:tc>
          <w:tcPr>
            <w:tcW w:type="dxa" w:w="2139"/>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sz w:val="19"/>
                <w:szCs w:val="19"/>
              </w:rPr>
              <w:t xml:space="preserve">9,43%</w:t>
            </w:r>
          </w:p>
        </w:tc>
        <w:tc>
          <w:tcPr>
            <w:tcW w:type="dxa" w:w="1189"/>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sz w:val="19"/>
                <w:szCs w:val="19"/>
              </w:rPr>
              <w:t xml:space="preserve">1,23×</w:t>
            </w:r>
          </w:p>
        </w:tc>
      </w:tr>
    </w:tbl>
    <w:p>
      <w:pPr>
        <w:spacing w:after="200"/>
      </w:pPr>
      <w:r>
        <w:rPr>
          <w:sz w:val="8"/>
          <w:szCs w:val="8"/>
        </w:rPr>
        <w:t xml:space="preserve"/>
      </w:r>
    </w:p>
    <w:p>
      <w:pPr>
        <w:spacing w:after="120" w:before="60" w:line="300"/>
        <w:jc w:val="both"/>
      </w:pPr>
      <w:r>
        <w:rPr>
          <w:rFonts w:ascii="Times New Roman" w:cs="Times New Roman" w:eastAsia="Times New Roman" w:hAnsi="Times New Roman"/>
          <w:sz w:val="22"/>
          <w:szCs w:val="22"/>
        </w:rPr>
        <w:t xml:space="preserve">Kiểm soát theo số dòng cho thấy </w:t>
      </w:r>
      <w:r>
        <w:rPr>
          <w:rFonts w:ascii="Times New Roman" w:cs="Times New Roman" w:eastAsia="Times New Roman" w:hAnsi="Times New Roman"/>
          <w:b/>
          <w:bCs/>
          <w:sz w:val="22"/>
          <w:szCs w:val="22"/>
        </w:rPr>
        <w:t xml:space="preserve">giảm giá chỉ thực sự có hại ở đơn lớn</w:t>
      </w:r>
      <w:r>
        <w:rPr>
          <w:rFonts w:ascii="Times New Roman" w:cs="Times New Roman" w:eastAsia="Times New Roman" w:hAnsi="Times New Roman"/>
          <w:sz w:val="22"/>
          <w:szCs w:val="22"/>
        </w:rPr>
        <w:t xml:space="preserve">:</w:t>
      </w:r>
    </w:p>
    <w:tbl>
      <w:tblPr>
        <w:tblW w:type="dxa" w:w="9746"/>
        <w:tblBorders>
          <w:top w:val="single" w:color="A6B4CC" w:sz="3"/>
          <w:left w:val="single" w:color="A6B4CC" w:sz="3"/>
          <w:bottom w:val="single" w:color="A6B4CC" w:sz="3"/>
          <w:right w:val="single" w:color="A6B4CC" w:sz="3"/>
          <w:insideH w:val="single" w:color="A6B4CC" w:sz="3"/>
          <w:insideV w:val="single" w:color="A6B4CC" w:sz="3"/>
        </w:tblBorders>
      </w:tblPr>
      <w:tblGrid>
        <w:gridCol w:w="1664"/>
        <w:gridCol w:w="2615"/>
        <w:gridCol w:w="3090"/>
        <w:gridCol w:w="2377"/>
      </w:tblGrid>
      <w:tr>
        <w:trPr>
          <w:tblHeader/>
        </w:trPr>
        <w:tc>
          <w:tcPr>
            <w:tcW w:type="dxa" w:w="1664"/>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Số dòng</w:t>
            </w:r>
          </w:p>
        </w:tc>
        <w:tc>
          <w:tcPr>
            <w:tcW w:type="dxa" w:w="2615"/>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Giảm giá 0%</w:t>
            </w:r>
          </w:p>
        </w:tc>
        <w:tc>
          <w:tcPr>
            <w:tcW w:type="dxa" w:w="3090"/>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Giảm giá &gt;20%</w:t>
            </w:r>
          </w:p>
        </w:tc>
        <w:tc>
          <w:tcPr>
            <w:tcW w:type="dxa" w:w="2377"/>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Chênh lệch</w:t>
            </w:r>
          </w:p>
        </w:tc>
      </w:tr>
      <w:tr>
        <w:trPr>
          <w:cantSplit/>
        </w:trPr>
        <w:tc>
          <w:tcPr>
            <w:tcW w:type="dxa" w:w="1664"/>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1 dòng</w:t>
            </w:r>
          </w:p>
        </w:tc>
        <w:tc>
          <w:tcPr>
            <w:tcW w:type="dxa" w:w="2615"/>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3,69%</w:t>
            </w:r>
          </w:p>
        </w:tc>
        <w:tc>
          <w:tcPr>
            <w:tcW w:type="dxa" w:w="3090"/>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4,29%</w:t>
            </w:r>
          </w:p>
        </w:tc>
        <w:tc>
          <w:tcPr>
            <w:tcW w:type="dxa" w:w="2377"/>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+0,6 điểm</w:t>
            </w:r>
          </w:p>
        </w:tc>
      </w:tr>
      <w:tr>
        <w:trPr>
          <w:cantSplit/>
        </w:trPr>
        <w:tc>
          <w:tcPr>
            <w:tcW w:type="dxa" w:w="1664"/>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2 dòng</w:t>
            </w:r>
          </w:p>
        </w:tc>
        <w:tc>
          <w:tcPr>
            <w:tcW w:type="dxa" w:w="2615"/>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7,84%</w:t>
            </w:r>
          </w:p>
        </w:tc>
        <w:tc>
          <w:tcPr>
            <w:tcW w:type="dxa" w:w="3090"/>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8,66%</w:t>
            </w:r>
          </w:p>
        </w:tc>
        <w:tc>
          <w:tcPr>
            <w:tcW w:type="dxa" w:w="2377"/>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+0,8 điểm</w:t>
            </w:r>
          </w:p>
        </w:tc>
      </w:tr>
      <w:tr>
        <w:trPr>
          <w:cantSplit/>
        </w:trPr>
        <w:tc>
          <w:tcPr>
            <w:tcW w:type="dxa" w:w="1664"/>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b/>
                <w:bCs/>
                <w:sz w:val="19"/>
                <w:szCs w:val="19"/>
              </w:rPr>
              <w:t xml:space="preserve">3+ dòng</w:t>
            </w:r>
          </w:p>
        </w:tc>
        <w:tc>
          <w:tcPr>
            <w:tcW w:type="dxa" w:w="2615"/>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13,88%</w:t>
            </w:r>
          </w:p>
        </w:tc>
        <w:tc>
          <w:tcPr>
            <w:tcW w:type="dxa" w:w="3090"/>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sz w:val="19"/>
                <w:szCs w:val="19"/>
              </w:rPr>
              <w:t xml:space="preserve">16,62%</w:t>
            </w:r>
          </w:p>
        </w:tc>
        <w:tc>
          <w:tcPr>
            <w:tcW w:type="dxa" w:w="2377"/>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b/>
                <w:bCs/>
                <w:sz w:val="19"/>
                <w:szCs w:val="19"/>
              </w:rPr>
              <w:t xml:space="preserve">+2,7 điểm</w:t>
            </w:r>
          </w:p>
        </w:tc>
      </w:tr>
    </w:tbl>
    <w:p>
      <w:pPr>
        <w:spacing w:after="200"/>
      </w:pPr>
      <w:r>
        <w:rPr>
          <w:sz w:val="8"/>
          <w:szCs w:val="8"/>
        </w:rPr>
        <w:t xml:space="preserve"/>
      </w:r>
    </w:p>
    <w:p>
      <w:pPr>
        <w:spacing w:after="120" w:before="60" w:line="300"/>
        <w:jc w:val="both"/>
      </w:pPr>
      <w:r>
        <w:rPr>
          <w:rFonts w:ascii="Times New Roman" w:cs="Times New Roman" w:eastAsia="Times New Roman" w:hAnsi="Times New Roman"/>
          <w:sz w:val="22"/>
          <w:szCs w:val="22"/>
        </w:rPr>
        <w:t xml:space="preserve">→ Khuyến mãi sâu áp lên </w:t>
      </w:r>
      <w:r>
        <w:rPr>
          <w:rFonts w:ascii="Times New Roman" w:cs="Times New Roman" w:eastAsia="Times New Roman" w:hAnsi="Times New Roman"/>
          <w:b/>
          <w:bCs/>
          <w:sz w:val="22"/>
          <w:szCs w:val="22"/>
        </w:rPr>
        <w:t xml:space="preserve">giỏ hàng lớn</w:t>
      </w:r>
      <w:r>
        <w:rPr>
          <w:rFonts w:ascii="Times New Roman" w:cs="Times New Roman" w:eastAsia="Times New Roman" w:hAnsi="Times New Roman"/>
          <w:sz w:val="22"/>
          <w:szCs w:val="22"/>
        </w:rPr>
        <w:t xml:space="preserve"> là tổ hợp nguy hiểm nhất.</w:t>
      </w:r>
    </w:p>
    <w:p>
      <w:pPr>
        <w:pStyle w:val="Heading2"/>
        <w:spacing w:after="120" w:before="260"/>
      </w:pPr>
      <w:r>
        <w:rPr>
          <w:rFonts w:ascii="Times New Roman" w:cs="Times New Roman" w:eastAsia="Times New Roman" w:hAnsi="Times New Roman"/>
          <w:b/>
          <w:bCs/>
          <w:color w:val="2E5C9A"/>
          <w:sz w:val="25"/>
          <w:szCs w:val="25"/>
        </w:rPr>
        <w:t xml:space="preserve">5.7. GIAO HÀNG SIÊU TỐC — rủi ro với đơn nhỏ</w:t>
      </w:r>
    </w:p>
    <w:tbl>
      <w:tblPr>
        <w:tblW w:type="dxa" w:w="9746"/>
        <w:tblBorders>
          <w:top w:val="single" w:color="A6B4CC" w:sz="3"/>
          <w:left w:val="single" w:color="A6B4CC" w:sz="3"/>
          <w:bottom w:val="single" w:color="A6B4CC" w:sz="3"/>
          <w:right w:val="single" w:color="A6B4CC" w:sz="3"/>
          <w:insideH w:val="single" w:color="A6B4CC" w:sz="3"/>
          <w:insideV w:val="single" w:color="A6B4CC" w:sz="3"/>
        </w:tblBorders>
      </w:tblPr>
      <w:tblGrid>
        <w:gridCol w:w="4873"/>
        <w:gridCol w:w="3133"/>
        <w:gridCol w:w="1740"/>
      </w:tblGrid>
      <w:tr>
        <w:trPr>
          <w:tblHeader/>
        </w:trPr>
        <w:tc>
          <w:tcPr>
            <w:tcW w:type="dxa" w:w="4873"/>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Ship Mode</w:t>
            </w:r>
          </w:p>
        </w:tc>
        <w:tc>
          <w:tcPr>
            <w:tcW w:type="dxa" w:w="3133"/>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Tỷ lệ trả</w:t>
            </w:r>
          </w:p>
        </w:tc>
        <w:tc>
          <w:tcPr>
            <w:tcW w:type="dxa" w:w="1740"/>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Lift</w:t>
            </w:r>
          </w:p>
        </w:tc>
      </w:tr>
      <w:tr>
        <w:trPr>
          <w:cantSplit/>
        </w:trPr>
        <w:tc>
          <w:tcPr>
            <w:tcW w:type="dxa" w:w="4873"/>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b/>
                <w:bCs/>
                <w:sz w:val="19"/>
                <w:szCs w:val="19"/>
              </w:rPr>
              <w:t xml:space="preserve">Same Day</w:t>
            </w:r>
          </w:p>
        </w:tc>
        <w:tc>
          <w:tcPr>
            <w:tcW w:type="dxa" w:w="3133"/>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sz w:val="19"/>
                <w:szCs w:val="19"/>
              </w:rPr>
              <w:t xml:space="preserve">8,82%</w:t>
            </w:r>
          </w:p>
        </w:tc>
        <w:tc>
          <w:tcPr>
            <w:tcW w:type="dxa" w:w="1740"/>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1,15×</w:t>
            </w:r>
          </w:p>
        </w:tc>
      </w:tr>
      <w:tr>
        <w:trPr>
          <w:cantSplit/>
        </w:trPr>
        <w:tc>
          <w:tcPr>
            <w:tcW w:type="dxa" w:w="4873"/>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First Class</w:t>
            </w:r>
          </w:p>
        </w:tc>
        <w:tc>
          <w:tcPr>
            <w:tcW w:type="dxa" w:w="3133"/>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7,66%</w:t>
            </w:r>
          </w:p>
        </w:tc>
        <w:tc>
          <w:tcPr>
            <w:tcW w:type="dxa" w:w="1740"/>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1,00×</w:t>
            </w:r>
          </w:p>
        </w:tc>
      </w:tr>
      <w:tr>
        <w:trPr>
          <w:cantSplit/>
        </w:trPr>
        <w:tc>
          <w:tcPr>
            <w:tcW w:type="dxa" w:w="4873"/>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Standard Class</w:t>
            </w:r>
          </w:p>
        </w:tc>
        <w:tc>
          <w:tcPr>
            <w:tcW w:type="dxa" w:w="3133"/>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7,59%</w:t>
            </w:r>
          </w:p>
        </w:tc>
        <w:tc>
          <w:tcPr>
            <w:tcW w:type="dxa" w:w="1740"/>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0,99×</w:t>
            </w:r>
          </w:p>
        </w:tc>
      </w:tr>
      <w:tr>
        <w:trPr>
          <w:cantSplit/>
        </w:trPr>
        <w:tc>
          <w:tcPr>
            <w:tcW w:type="dxa" w:w="4873"/>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Second Class</w:t>
            </w:r>
          </w:p>
        </w:tc>
        <w:tc>
          <w:tcPr>
            <w:tcW w:type="dxa" w:w="3133"/>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7,56%</w:t>
            </w:r>
          </w:p>
        </w:tc>
        <w:tc>
          <w:tcPr>
            <w:tcW w:type="dxa" w:w="1740"/>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0,99×</w:t>
            </w:r>
          </w:p>
        </w:tc>
      </w:tr>
    </w:tbl>
    <w:p>
      <w:pPr>
        <w:spacing w:after="200"/>
      </w:pPr>
      <w:r>
        <w:rPr>
          <w:sz w:val="8"/>
          <w:szCs w:val="8"/>
        </w:rPr>
        <w:t xml:space="preserve"/>
      </w:r>
    </w:p>
    <w:p>
      <w:pPr>
        <w:spacing w:after="120" w:before="60" w:line="300"/>
        <w:jc w:val="both"/>
      </w:pPr>
      <w:r>
        <w:rPr>
          <w:rFonts w:ascii="Times New Roman" w:cs="Times New Roman" w:eastAsia="Times New Roman" w:hAnsi="Times New Roman"/>
          <w:sz w:val="22"/>
          <w:szCs w:val="22"/>
        </w:rPr>
        <w:t xml:space="preserve">Sau khi kiểm soát quy mô đơn, hiệu ứng chỉ tồn tại ở </w:t>
      </w:r>
      <w:r>
        <w:rPr>
          <w:rFonts w:ascii="Times New Roman" w:cs="Times New Roman" w:eastAsia="Times New Roman" w:hAnsi="Times New Roman"/>
          <w:b/>
          <w:bCs/>
          <w:sz w:val="22"/>
          <w:szCs w:val="22"/>
        </w:rPr>
        <w:t xml:space="preserve">đơn nhỏ</w:t>
      </w:r>
      <w:r>
        <w:rPr>
          <w:rFonts w:ascii="Times New Roman" w:cs="Times New Roman" w:eastAsia="Times New Roman" w:hAnsi="Times New Roman"/>
          <w:sz w:val="22"/>
          <w:szCs w:val="22"/>
        </w:rPr>
        <w:t xml:space="preserve">: đơn 1 dòng Same Day trả </w:t>
      </w:r>
      <w:r>
        <w:rPr>
          <w:rFonts w:ascii="Times New Roman" w:cs="Times New Roman" w:eastAsia="Times New Roman" w:hAnsi="Times New Roman"/>
          <w:b/>
          <w:bCs/>
          <w:sz w:val="22"/>
          <w:szCs w:val="22"/>
        </w:rPr>
        <w:t xml:space="preserve">5,03%</w:t>
      </w:r>
      <w:r>
        <w:rPr>
          <w:rFonts w:ascii="Times New Roman" w:cs="Times New Roman" w:eastAsia="Times New Roman" w:hAnsi="Times New Roman"/>
          <w:sz w:val="22"/>
          <w:szCs w:val="22"/>
        </w:rPr>
        <w:t xml:space="preserve"> so với 3,87% ở phương thức khác (+30%); đơn 2 dòng: 10,53% vs 7,86% (+34%); đơn 3+ dòng: không chênh lệch.</w:t>
      </w:r>
    </w:p>
    <w:p>
      <w:pPr>
        <w:spacing w:after="120" w:before="60" w:line="300"/>
        <w:jc w:val="both"/>
      </w:pPr>
      <w:r>
        <w:rPr>
          <w:rFonts w:ascii="Times New Roman" w:cs="Times New Roman" w:eastAsia="Times New Roman" w:hAnsi="Times New Roman"/>
          <w:sz w:val="22"/>
          <w:szCs w:val="22"/>
        </w:rPr>
        <w:t xml:space="preserve">→ Dấu hiệu của </w:t>
      </w:r>
      <w:r>
        <w:rPr>
          <w:rFonts w:ascii="Times New Roman" w:cs="Times New Roman" w:eastAsia="Times New Roman" w:hAnsi="Times New Roman"/>
          <w:b/>
          <w:bCs/>
          <w:sz w:val="22"/>
          <w:szCs w:val="22"/>
        </w:rPr>
        <w:t xml:space="preserve">mua bốc đồng</w:t>
      </w:r>
      <w:r>
        <w:rPr>
          <w:rFonts w:ascii="Times New Roman" w:cs="Times New Roman" w:eastAsia="Times New Roman" w:hAnsi="Times New Roman"/>
          <w:sz w:val="22"/>
          <w:szCs w:val="22"/>
        </w:rPr>
        <w:t xml:space="preserve"> (impulse buy): cần gấp, giao ngay, rồi đổi ý.</w:t>
      </w:r>
    </w:p>
    <w:p>
      <w:pPr>
        <w:pStyle w:val="Heading2"/>
        <w:spacing w:after="120" w:before="260"/>
      </w:pPr>
      <w:r>
        <w:rPr>
          <w:rFonts w:ascii="Times New Roman" w:cs="Times New Roman" w:eastAsia="Times New Roman" w:hAnsi="Times New Roman"/>
          <w:b/>
          <w:bCs/>
          <w:color w:val="2E5C9A"/>
          <w:sz w:val="25"/>
          <w:szCs w:val="25"/>
        </w:rPr>
        <w:t xml:space="preserve">5.8. ĐỊA LÝ — rủi ro theo vùng</w:t>
      </w:r>
    </w:p>
    <w:p>
      <w:pPr>
        <w:spacing w:after="120" w:before="60" w:line="300"/>
        <w:jc w:val="both"/>
      </w:pPr>
      <w:r>
        <w:rPr>
          <w:rFonts w:ascii="Times New Roman" w:cs="Times New Roman" w:eastAsia="Times New Roman" w:hAnsi="Times New Roman"/>
          <w:b/>
          <w:bCs/>
          <w:sz w:val="22"/>
          <w:szCs w:val="22"/>
        </w:rPr>
        <w:t xml:space="preserve">Quốc gia rủi ro cao nhất (≥150 đơn):</w:t>
      </w:r>
      <w:r>
        <w:rPr>
          <w:rFonts w:ascii="Times New Roman" w:cs="Times New Roman" w:eastAsia="Times New Roman" w:hAnsi="Times New Roman"/>
          <w:sz w:val="22"/>
          <w:szCs w:val="22"/>
        </w:rPr>
        <w:t xml:space="preserve"> Philippines 11,35% (1,48×) · Colombia 10,43% · Morocco 10,00% · New Zealand 9,84% · Ukraine 9,72% · Thổ Nhĩ Kỳ 9,28%</w:t>
      </w:r>
    </w:p>
    <w:p>
      <w:pPr>
        <w:spacing w:after="120" w:before="60" w:line="300"/>
        <w:jc w:val="both"/>
      </w:pPr>
      <w:r>
        <w:rPr>
          <w:rFonts w:ascii="Times New Roman" w:cs="Times New Roman" w:eastAsia="Times New Roman" w:hAnsi="Times New Roman"/>
          <w:b/>
          <w:bCs/>
          <w:sz w:val="22"/>
          <w:szCs w:val="22"/>
        </w:rPr>
        <w:t xml:space="preserve">Quốc gia an toàn nhất:</w:t>
      </w:r>
      <w:r>
        <w:rPr>
          <w:rFonts w:ascii="Times New Roman" w:cs="Times New Roman" w:eastAsia="Times New Roman" w:hAnsi="Times New Roman"/>
          <w:sz w:val="22"/>
          <w:szCs w:val="22"/>
        </w:rPr>
        <w:t xml:space="preserve"> Iran 5,30% · Ai Cập 5,31% · Panama 5,53% · Canada 5,85%</w:t>
      </w:r>
    </w:p>
    <w:p>
      <w:pPr>
        <w:spacing w:after="120" w:before="60" w:line="300"/>
        <w:jc w:val="both"/>
      </w:pPr>
      <w:r>
        <w:rPr>
          <w:rFonts w:ascii="Times New Roman" w:cs="Times New Roman" w:eastAsia="Times New Roman" w:hAnsi="Times New Roman"/>
          <w:b/>
          <w:bCs/>
          <w:sz w:val="22"/>
          <w:szCs w:val="22"/>
        </w:rPr>
        <w:t xml:space="preserve">Thành phố rủi ro cao nhất (≥80 đơn):</w:t>
      </w:r>
      <w:r>
        <w:rPr>
          <w:rFonts w:ascii="Times New Roman" w:cs="Times New Roman" w:eastAsia="Times New Roman" w:hAnsi="Times New Roman"/>
          <w:sz w:val="22"/>
          <w:szCs w:val="22"/>
        </w:rPr>
        <w:t xml:space="preserve"> Perth 13,98% · Madrid 13,79% · Manila 12,14% · Seattle 11,37% · Canberra 11,25% · Chicago 10,53%</w:t>
      </w:r>
    </w:p>
    <w:p>
      <w:pPr>
        <w:spacing w:after="120" w:before="60" w:line="300"/>
        <w:jc w:val="both"/>
      </w:pPr>
      <w:r>
        <w:rPr>
          <w:rFonts w:ascii="Times New Roman" w:cs="Times New Roman" w:eastAsia="Times New Roman" w:hAnsi="Times New Roman"/>
          <w:b/>
          <w:bCs/>
          <w:sz w:val="22"/>
          <w:szCs w:val="22"/>
        </w:rPr>
        <w:t xml:space="preserve">Thành phố an toàn nhất:</w:t>
      </w:r>
      <w:r>
        <w:rPr>
          <w:rFonts w:ascii="Times New Roman" w:cs="Times New Roman" w:eastAsia="Times New Roman" w:hAnsi="Times New Roman"/>
          <w:sz w:val="22"/>
          <w:szCs w:val="22"/>
        </w:rPr>
        <w:t xml:space="preserve"> Panama City 3,57% · Brisbane 4,08% · Sydney 4,58% · Cairo 4,72%</w:t>
      </w:r>
    </w:p>
    <w:p>
      <w:pPr>
        <w:spacing w:after="120" w:before="60" w:line="300"/>
        <w:jc w:val="both"/>
      </w:pPr>
      <w:r>
        <w:rPr>
          <w:rFonts w:ascii="Times New Roman" w:cs="Times New Roman" w:eastAsia="Times New Roman" w:hAnsi="Times New Roman"/>
          <w:b/>
          <w:bCs/>
          <w:sz w:val="22"/>
          <w:szCs w:val="22"/>
        </w:rPr>
        <w:t xml:space="preserve">Vùng:</w:t>
      </w:r>
      <w:r>
        <w:rPr>
          <w:rFonts w:ascii="Times New Roman" w:cs="Times New Roman" w:eastAsia="Times New Roman" w:hAnsi="Times New Roman"/>
          <w:sz w:val="22"/>
          <w:szCs w:val="22"/>
        </w:rPr>
        <w:t xml:space="preserve"> Eastern Africa 10,08% (1,32×) và Southeastern Asia 8,97% (1,17×) cao nhất; Central Asia thấp bất thường 0,89% (chỉ 112 đơn — mẫu nhỏ, cần thận trọng).</w:t>
      </w:r>
    </w:p>
    <w:p>
      <w:pPr>
        <w:pBdr>
          <w:left w:val="single" w:color="C8A020" w:sz="18" w:space="8"/>
        </w:pBdr>
        <w:shd w:fill="FDF3D8" w:color="auto" w:val="clear"/>
        <w:spacing w:after="60" w:before="60" w:line="290"/>
        <w:ind w:left="280" w:right="200"/>
      </w:pPr>
      <w:r>
        <w:rPr>
          <w:rFonts w:ascii="Times New Roman" w:cs="Times New Roman" w:eastAsia="Times New Roman" w:hAnsi="Times New Roman"/>
          <w:sz w:val="21"/>
          <w:szCs w:val="21"/>
        </w:rPr>
        <w:t xml:space="preserve">⚠️ Lưu ý: </w:t>
      </w:r>
      <w:r>
        <w:rPr>
          <w:rFonts w:ascii="Times New Roman" w:cs="Times New Roman" w:eastAsia="Times New Roman" w:hAnsi="Times New Roman"/>
          <w:b/>
          <w:bCs/>
          <w:sz w:val="21"/>
          <w:szCs w:val="21"/>
        </w:rPr>
        <w:t xml:space="preserve">Manila</w:t>
      </w:r>
      <w:r>
        <w:rPr>
          <w:rFonts w:ascii="Times New Roman" w:cs="Times New Roman" w:eastAsia="Times New Roman" w:hAnsi="Times New Roman"/>
          <w:sz w:val="21"/>
          <w:szCs w:val="21"/>
        </w:rPr>
        <w:t xml:space="preserve"> (12,14% trả hàng) đồng thời là thành phố có biên lợi nhuận </w:t>
      </w:r>
      <w:r>
        <w:rPr>
          <w:rFonts w:ascii="Times New Roman" w:cs="Times New Roman" w:eastAsia="Times New Roman" w:hAnsi="Times New Roman"/>
          <w:b/>
          <w:bCs/>
          <w:sz w:val="21"/>
          <w:szCs w:val="21"/>
        </w:rPr>
        <w:t xml:space="preserve">–9,2%</w:t>
      </w:r>
      <w:r>
        <w:rPr>
          <w:rFonts w:ascii="Times New Roman" w:cs="Times New Roman" w:eastAsia="Times New Roman" w:hAnsi="Times New Roman"/>
          <w:sz w:val="21"/>
          <w:szCs w:val="21"/>
        </w:rPr>
        <w:t xml:space="preserve">. Trả hàng và thua lỗ đang xảy ra ở cùng một nơi.</w:t>
      </w:r>
    </w:p>
    <w:p>
      <w:pPr>
        <w:spacing w:after="160"/>
      </w:pPr>
      <w:r>
        <w:rPr>
          <w:sz w:val="8"/>
          <w:szCs w:val="8"/>
        </w:rPr>
        <w:t xml:space="preserve"/>
      </w:r>
    </w:p>
    <w:p>
      <w:pPr>
        <w:pStyle w:val="Heading2"/>
        <w:spacing w:after="120" w:before="260"/>
      </w:pPr>
      <w:r>
        <w:rPr>
          <w:rFonts w:ascii="Times New Roman" w:cs="Times New Roman" w:eastAsia="Times New Roman" w:hAnsi="Times New Roman"/>
          <w:b/>
          <w:bCs/>
          <w:color w:val="2E5C9A"/>
          <w:sz w:val="25"/>
          <w:szCs w:val="25"/>
        </w:rPr>
        <w:t xml:space="preserve">5.9. THỜI ĐIỂM</w:t>
      </w:r>
    </w:p>
    <w:p>
      <w:pPr>
        <w:spacing w:after="120" w:before="60" w:line="300"/>
        <w:jc w:val="both"/>
      </w:pPr>
      <w:r>
        <w:rPr>
          <w:rFonts w:ascii="Times New Roman" w:cs="Times New Roman" w:eastAsia="Times New Roman" w:hAnsi="Times New Roman"/>
          <w:sz w:val="22"/>
          <w:szCs w:val="22"/>
        </w:rPr>
        <w:t xml:space="preserve">Tháng 10 (8,69%), tháng 1 (8,61%), tháng 8 (8,17%) cao nhất; tháng 2 (6,72%) và tháng 6 (6,78%) thấp nhất. Theo quý: Q4 8,13% &gt; Q1 7,82% &gt; Q3 7,62% &gt; Q2 6,93%.</w:t>
      </w:r>
    </w:p>
    <w:p>
      <w:pPr>
        <w:spacing w:after="120" w:before="60" w:line="30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Mùa cao điểm (Q4) cũng là mùa trả hàng cao điểm</w:t>
      </w:r>
      <w:r>
        <w:rPr>
          <w:rFonts w:ascii="Times New Roman" w:cs="Times New Roman" w:eastAsia="Times New Roman" w:hAnsi="Times New Roman"/>
          <w:sz w:val="22"/>
          <w:szCs w:val="22"/>
        </w:rPr>
        <w:t xml:space="preserve">, và tháng 1 là "đuôi" trả hàng sau lễ.</w:t>
      </w:r>
    </w:p>
    <w:p>
      <w:pPr>
        <w:pStyle w:val="Heading2"/>
        <w:spacing w:after="120" w:before="260"/>
      </w:pPr>
      <w:r>
        <w:rPr>
          <w:rFonts w:ascii="Times New Roman" w:cs="Times New Roman" w:eastAsia="Times New Roman" w:hAnsi="Times New Roman"/>
          <w:b/>
          <w:bCs/>
          <w:color w:val="2E5C9A"/>
          <w:sz w:val="25"/>
          <w:szCs w:val="25"/>
        </w:rPr>
        <w:t xml:space="preserve">5.10. LỢI NHUẬN ĐƠN HÀNG</w:t>
      </w:r>
    </w:p>
    <w:tbl>
      <w:tblPr>
        <w:tblW w:type="dxa" w:w="9746"/>
        <w:tblBorders>
          <w:top w:val="single" w:color="A6B4CC" w:sz="3"/>
          <w:left w:val="single" w:color="A6B4CC" w:sz="3"/>
          <w:bottom w:val="single" w:color="A6B4CC" w:sz="3"/>
          <w:right w:val="single" w:color="A6B4CC" w:sz="3"/>
          <w:insideH w:val="single" w:color="A6B4CC" w:sz="3"/>
          <w:insideV w:val="single" w:color="A6B4CC" w:sz="3"/>
        </w:tblBorders>
      </w:tblPr>
      <w:tblGrid>
        <w:gridCol w:w="4692"/>
        <w:gridCol w:w="3249"/>
        <w:gridCol w:w="1805"/>
      </w:tblGrid>
      <w:tr>
        <w:trPr>
          <w:tblHeader/>
        </w:trPr>
        <w:tc>
          <w:tcPr>
            <w:tcW w:type="dxa" w:w="4692"/>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Lợi nhuận đơn</w:t>
            </w:r>
          </w:p>
        </w:tc>
        <w:tc>
          <w:tcPr>
            <w:tcW w:type="dxa" w:w="3249"/>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Tỷ lệ trả</w:t>
            </w:r>
          </w:p>
        </w:tc>
        <w:tc>
          <w:tcPr>
            <w:tcW w:type="dxa" w:w="1805"/>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Lift</w:t>
            </w:r>
          </w:p>
        </w:tc>
      </w:tr>
      <w:tr>
        <w:trPr>
          <w:cantSplit/>
        </w:trPr>
        <w:tc>
          <w:tcPr>
            <w:tcW w:type="dxa" w:w="4692"/>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b/>
                <w:bCs/>
                <w:sz w:val="19"/>
                <w:szCs w:val="19"/>
              </w:rPr>
              <w:t xml:space="preserve">Lỗ</w:t>
            </w:r>
          </w:p>
        </w:tc>
        <w:tc>
          <w:tcPr>
            <w:tcW w:type="dxa" w:w="3249"/>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sz w:val="19"/>
                <w:szCs w:val="19"/>
              </w:rPr>
              <w:t xml:space="preserve">9,01%</w:t>
            </w:r>
          </w:p>
        </w:tc>
        <w:tc>
          <w:tcPr>
            <w:tcW w:type="dxa" w:w="1805"/>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1,18×</w:t>
            </w:r>
          </w:p>
        </w:tc>
      </w:tr>
      <w:tr>
        <w:trPr>
          <w:cantSplit/>
        </w:trPr>
        <w:tc>
          <w:tcPr>
            <w:tcW w:type="dxa" w:w="4692"/>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0–50</w:t>
            </w:r>
          </w:p>
        </w:tc>
        <w:tc>
          <w:tcPr>
            <w:tcW w:type="dxa" w:w="3249"/>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5,25%</w:t>
            </w:r>
          </w:p>
        </w:tc>
        <w:tc>
          <w:tcPr>
            <w:tcW w:type="dxa" w:w="1805"/>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0,69×</w:t>
            </w:r>
          </w:p>
        </w:tc>
      </w:tr>
      <w:tr>
        <w:trPr>
          <w:cantSplit/>
        </w:trPr>
        <w:tc>
          <w:tcPr>
            <w:tcW w:type="dxa" w:w="4692"/>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50–200</w:t>
            </w:r>
          </w:p>
        </w:tc>
        <w:tc>
          <w:tcPr>
            <w:tcW w:type="dxa" w:w="3249"/>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8,65%</w:t>
            </w:r>
          </w:p>
        </w:tc>
        <w:tc>
          <w:tcPr>
            <w:tcW w:type="dxa" w:w="1805"/>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1,13×</w:t>
            </w:r>
          </w:p>
        </w:tc>
      </w:tr>
      <w:tr>
        <w:trPr>
          <w:cantSplit/>
        </w:trPr>
        <w:tc>
          <w:tcPr>
            <w:tcW w:type="dxa" w:w="4692"/>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&gt;200</w:t>
            </w:r>
          </w:p>
        </w:tc>
        <w:tc>
          <w:tcPr>
            <w:tcW w:type="dxa" w:w="3249"/>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11,26%</w:t>
            </w:r>
          </w:p>
        </w:tc>
        <w:tc>
          <w:tcPr>
            <w:tcW w:type="dxa" w:w="1805"/>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1,47×</w:t>
            </w:r>
          </w:p>
        </w:tc>
      </w:tr>
    </w:tbl>
    <w:p>
      <w:pPr>
        <w:spacing w:after="200"/>
      </w:pPr>
      <w:r>
        <w:rPr>
          <w:sz w:val="8"/>
          <w:szCs w:val="8"/>
        </w:rPr>
        <w:t xml:space="preserve"/>
      </w:r>
    </w:p>
    <w:p>
      <w:pPr>
        <w:spacing w:after="120" w:before="60" w:line="300"/>
        <w:jc w:val="both"/>
      </w:pPr>
      <w:r>
        <w:rPr>
          <w:rFonts w:ascii="Times New Roman" w:cs="Times New Roman" w:eastAsia="Times New Roman" w:hAnsi="Times New Roman"/>
          <w:sz w:val="22"/>
          <w:szCs w:val="22"/>
        </w:rPr>
        <w:t xml:space="preserve">Đơn đang lỗ có rủi ro trả hàng cao hơn 18% so với mức nền — </w:t>
      </w:r>
      <w:r>
        <w:rPr>
          <w:rFonts w:ascii="Times New Roman" w:cs="Times New Roman" w:eastAsia="Times New Roman" w:hAnsi="Times New Roman"/>
          <w:b/>
          <w:bCs/>
          <w:sz w:val="22"/>
          <w:szCs w:val="22"/>
        </w:rPr>
        <w:t xml:space="preserve">lỗ chồng lỗ</w:t>
      </w:r>
      <w:r>
        <w:rPr>
          <w:rFonts w:ascii="Times New Roman" w:cs="Times New Roman" w:eastAsia="Times New Roman" w:hAnsi="Times New Roman"/>
          <w:sz w:val="22"/>
          <w:szCs w:val="22"/>
        </w:rPr>
        <w:t xml:space="preserve">.</w:t>
      </w:r>
    </w:p>
    <w:p>
      <w:pPr>
        <w:pStyle w:val="Heading2"/>
        <w:spacing w:after="120" w:before="260"/>
      </w:pPr>
      <w:r>
        <w:rPr>
          <w:rFonts w:ascii="Times New Roman" w:cs="Times New Roman" w:eastAsia="Times New Roman" w:hAnsi="Times New Roman"/>
          <w:b/>
          <w:bCs/>
          <w:color w:val="2E5C9A"/>
          <w:sz w:val="25"/>
          <w:szCs w:val="25"/>
        </w:rPr>
        <w:t xml:space="preserve">5.11. ❌ NHỮNG DẤU HIỆU KHÔNG CÓ TÁC DỤNG (cũng quan trọng để nêu)</w:t>
      </w:r>
    </w:p>
    <w:tbl>
      <w:tblPr>
        <w:tblW w:type="dxa" w:w="9746"/>
        <w:tblBorders>
          <w:top w:val="single" w:color="A6B4CC" w:sz="3"/>
          <w:left w:val="single" w:color="A6B4CC" w:sz="3"/>
          <w:bottom w:val="single" w:color="A6B4CC" w:sz="3"/>
          <w:right w:val="single" w:color="A6B4CC" w:sz="3"/>
          <w:insideH w:val="single" w:color="A6B4CC" w:sz="3"/>
          <w:insideV w:val="single" w:color="A6B4CC" w:sz="3"/>
        </w:tblBorders>
      </w:tblPr>
      <w:tblGrid>
        <w:gridCol w:w="1889"/>
        <w:gridCol w:w="4575"/>
        <w:gridCol w:w="3282"/>
      </w:tblGrid>
      <w:tr>
        <w:trPr>
          <w:tblHeader/>
        </w:trPr>
        <w:tc>
          <w:tcPr>
            <w:tcW w:type="dxa" w:w="1889"/>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Biến</w:t>
            </w:r>
          </w:p>
        </w:tc>
        <w:tc>
          <w:tcPr>
            <w:tcW w:type="dxa" w:w="4575"/>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Kết quả</w:t>
            </w:r>
          </w:p>
        </w:tc>
        <w:tc>
          <w:tcPr>
            <w:tcW w:type="dxa" w:w="3282"/>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Nhận định</w:t>
            </w:r>
          </w:p>
        </w:tc>
      </w:tr>
      <w:tr>
        <w:trPr>
          <w:cantSplit/>
        </w:trPr>
        <w:tc>
          <w:tcPr>
            <w:tcW w:type="dxa" w:w="1889"/>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b/>
                <w:bCs/>
                <w:sz w:val="19"/>
                <w:szCs w:val="19"/>
              </w:rPr>
              <w:t xml:space="preserve">Phân khúc KH</w:t>
            </w:r>
          </w:p>
        </w:tc>
        <w:tc>
          <w:tcPr>
            <w:tcW w:type="dxa" w:w="4575"/>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Corporate 7,74% · Consumer 7,62% · Home Office 7,62%</w:t>
            </w:r>
          </w:p>
        </w:tc>
        <w:tc>
          <w:tcPr>
            <w:tcW w:type="dxa" w:w="3282"/>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b/>
                <w:bCs/>
                <w:sz w:val="19"/>
                <w:szCs w:val="19"/>
              </w:rPr>
              <w:t xml:space="preserve">Không phân biệt</w:t>
            </w:r>
          </w:p>
        </w:tc>
      </w:tr>
      <w:tr>
        <w:trPr>
          <w:cantSplit/>
        </w:trPr>
        <w:tc>
          <w:tcPr>
            <w:tcW w:type="dxa" w:w="1889"/>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b/>
                <w:bCs/>
                <w:sz w:val="19"/>
                <w:szCs w:val="19"/>
              </w:rPr>
              <w:t xml:space="preserve">Danh mục SP</w:t>
            </w:r>
          </w:p>
        </w:tc>
        <w:tc>
          <w:tcPr>
            <w:tcW w:type="dxa" w:w="4575"/>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Office Supplies 11,29% · Furniture 11,18% · Technology 11,02%</w:t>
            </w:r>
          </w:p>
        </w:tc>
        <w:tc>
          <w:tcPr>
            <w:tcW w:type="dxa" w:w="3282"/>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b/>
                <w:bCs/>
                <w:sz w:val="19"/>
                <w:szCs w:val="19"/>
              </w:rPr>
              <w:t xml:space="preserve">Không phân biệt</w:t>
            </w:r>
          </w:p>
        </w:tc>
      </w:tr>
      <w:tr>
        <w:trPr>
          <w:cantSplit/>
        </w:trPr>
        <w:tc>
          <w:tcPr>
            <w:tcW w:type="dxa" w:w="1889"/>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b/>
                <w:bCs/>
                <w:sz w:val="19"/>
                <w:szCs w:val="19"/>
              </w:rPr>
              <w:t xml:space="preserve">Phân nhóm SP</w:t>
            </w:r>
          </w:p>
        </w:tc>
        <w:tc>
          <w:tcPr>
            <w:tcW w:type="dxa" w:w="4575"/>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Fasteners 12,15% cao nhất → Labels 10,30% thấp nhất</w:t>
            </w:r>
          </w:p>
        </w:tc>
        <w:tc>
          <w:tcPr>
            <w:tcW w:type="dxa" w:w="3282"/>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Chênh lệch chỉ ±8%, </w:t>
            </w:r>
            <w:r>
              <w:rPr>
                <w:rFonts w:ascii="Times New Roman" w:cs="Times New Roman" w:eastAsia="Times New Roman" w:hAnsi="Times New Roman"/>
                <w:b/>
                <w:bCs/>
                <w:sz w:val="19"/>
                <w:szCs w:val="19"/>
              </w:rPr>
              <w:t xml:space="preserve">không đáng kể</w:t>
            </w:r>
          </w:p>
        </w:tc>
      </w:tr>
      <w:tr>
        <w:trPr>
          <w:cantSplit/>
        </w:trPr>
        <w:tc>
          <w:tcPr>
            <w:tcW w:type="dxa" w:w="1889"/>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b/>
                <w:bCs/>
                <w:sz w:val="19"/>
                <w:szCs w:val="19"/>
              </w:rPr>
              <w:t xml:space="preserve">Mức độ ưu tiên đơn</w:t>
            </w:r>
          </w:p>
        </w:tc>
        <w:tc>
          <w:tcPr>
            <w:tcW w:type="dxa" w:w="4575"/>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Critical 7,81% → Low 7,24%</w:t>
            </w:r>
          </w:p>
        </w:tc>
        <w:tc>
          <w:tcPr>
            <w:tcW w:type="dxa" w:w="3282"/>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b/>
                <w:bCs/>
                <w:sz w:val="19"/>
                <w:szCs w:val="19"/>
              </w:rPr>
              <w:t xml:space="preserve">Không phân biệt</w:t>
            </w:r>
          </w:p>
        </w:tc>
      </w:tr>
      <w:tr>
        <w:trPr>
          <w:cantSplit/>
        </w:trPr>
        <w:tc>
          <w:tcPr>
            <w:tcW w:type="dxa" w:w="1889"/>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b/>
                <w:bCs/>
                <w:sz w:val="19"/>
                <w:szCs w:val="19"/>
              </w:rPr>
              <w:t xml:space="preserve">Tần suất mua của KH</w:t>
            </w:r>
          </w:p>
        </w:tc>
        <w:tc>
          <w:tcPr>
            <w:tcW w:type="dxa" w:w="4575"/>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KH mua 1 đơn 7,77% · KH mua 6+ đơn 7,27%</w:t>
            </w:r>
          </w:p>
        </w:tc>
        <w:tc>
          <w:tcPr>
            <w:tcW w:type="dxa" w:w="3282"/>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b/>
                <w:bCs/>
                <w:sz w:val="19"/>
                <w:szCs w:val="19"/>
              </w:rPr>
              <w:t xml:space="preserve">Không phân biệt</w:t>
            </w:r>
          </w:p>
        </w:tc>
      </w:tr>
      <w:tr>
        <w:trPr>
          <w:cantSplit/>
        </w:trPr>
        <w:tc>
          <w:tcPr>
            <w:tcW w:type="dxa" w:w="1889"/>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b/>
                <w:bCs/>
                <w:sz w:val="19"/>
                <w:szCs w:val="19"/>
              </w:rPr>
              <w:t xml:space="preserve">Lịch sử trả hàng</w:t>
            </w:r>
          </w:p>
        </w:tc>
        <w:tc>
          <w:tcPr>
            <w:tcW w:type="dxa" w:w="4575"/>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KH từng trả: 7,98% vs chưa từng trả: 7,41% (chỉ 1,08×)</w:t>
            </w:r>
          </w:p>
        </w:tc>
        <w:tc>
          <w:tcPr>
            <w:tcW w:type="dxa" w:w="3282"/>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b/>
                <w:bCs/>
                <w:sz w:val="19"/>
                <w:szCs w:val="19"/>
              </w:rPr>
              <w:t xml:space="preserve">Rất yếu</w:t>
            </w:r>
          </w:p>
        </w:tc>
      </w:tr>
      <w:tr>
        <w:trPr>
          <w:cantSplit/>
        </w:trPr>
        <w:tc>
          <w:tcPr>
            <w:tcW w:type="dxa" w:w="1889"/>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b/>
                <w:bCs/>
                <w:sz w:val="19"/>
                <w:szCs w:val="19"/>
              </w:rPr>
              <w:t xml:space="preserve">Thời gian giao hàng</w:t>
            </w:r>
          </w:p>
        </w:tc>
        <w:tc>
          <w:tcPr>
            <w:tcW w:type="dxa" w:w="4575"/>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0 ngày 8,67% → 7+ ngày 6,63%</w:t>
            </w:r>
          </w:p>
        </w:tc>
        <w:tc>
          <w:tcPr>
            <w:tcW w:type="dxa" w:w="3282"/>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Ngược chiều trực giác, yếu</w:t>
            </w:r>
          </w:p>
        </w:tc>
      </w:tr>
    </w:tbl>
    <w:p>
      <w:pPr>
        <w:spacing w:after="200"/>
      </w:pPr>
      <w:r>
        <w:rPr>
          <w:sz w:val="8"/>
          <w:szCs w:val="8"/>
        </w:rPr>
        <w:t xml:space="preserve"/>
      </w:r>
    </w:p>
    <w:p>
      <w:pPr>
        <w:pBdr>
          <w:left w:val="single" w:color="C8A020" w:sz="18" w:space="8"/>
        </w:pBdr>
        <w:shd w:fill="FDF3D8" w:color="auto" w:val="clear"/>
        <w:spacing w:after="40" w:before="60" w:line="290"/>
        <w:ind w:left="280" w:right="200"/>
      </w:pPr>
      <w:r>
        <w:rPr>
          <w:rFonts w:ascii="Times New Roman" w:cs="Times New Roman" w:eastAsia="Times New Roman" w:hAnsi="Times New Roman"/>
          <w:b/>
          <w:bCs/>
          <w:sz w:val="21"/>
          <w:szCs w:val="21"/>
        </w:rPr>
        <w:t xml:space="preserve">Phát hiện phản trực giác đáng nêu trong bài luận:</w:t>
      </w:r>
      <w:r>
        <w:rPr>
          <w:rFonts w:ascii="Times New Roman" w:cs="Times New Roman" w:eastAsia="Times New Roman" w:hAnsi="Times New Roman"/>
          <w:sz w:val="21"/>
          <w:szCs w:val="21"/>
        </w:rPr>
        <w:t xml:space="preserve"> thông thường "khách từng trả hàng sẽ trả hàng tiếp" là quy luật vàng của ngành bán lẻ. Ở bộ dữ liệu này </w:t>
      </w:r>
      <w:r>
        <w:rPr>
          <w:rFonts w:ascii="Times New Roman" w:cs="Times New Roman" w:eastAsia="Times New Roman" w:hAnsi="Times New Roman"/>
          <w:b/>
          <w:bCs/>
          <w:sz w:val="21"/>
          <w:szCs w:val="21"/>
        </w:rPr>
        <w:t xml:space="preserve">điều đó không đúng</w:t>
      </w:r>
      <w:r>
        <w:rPr>
          <w:rFonts w:ascii="Times New Roman" w:cs="Times New Roman" w:eastAsia="Times New Roman" w:hAnsi="Times New Roman"/>
          <w:sz w:val="21"/>
          <w:szCs w:val="21"/>
        </w:rPr>
        <w:t xml:space="preserve">: chỉ 69 khách hàng (0,4%) trả hàng từ 2 lần trở lên, và việc đã từng trả hàng chỉ làm tăng rủi ro </w:t>
      </w:r>
      <w:r>
        <w:rPr>
          <w:rFonts w:ascii="Times New Roman" w:cs="Times New Roman" w:eastAsia="Times New Roman" w:hAnsi="Times New Roman"/>
          <w:b/>
          <w:bCs/>
          <w:sz w:val="21"/>
          <w:szCs w:val="21"/>
        </w:rPr>
        <w:t xml:space="preserve">1,08 lần</w:t>
      </w:r>
      <w:r>
        <w:rPr>
          <w:rFonts w:ascii="Times New Roman" w:cs="Times New Roman" w:eastAsia="Times New Roman" w:hAnsi="Times New Roman"/>
          <w:sz w:val="21"/>
          <w:szCs w:val="21"/>
        </w:rPr>
        <w:t xml:space="preserve"> — không đủ để làm cơ sở ra quyết định.</w:t>
      </w:r>
    </w:p>
    <w:p>
      <w:pPr>
        <w:pBdr>
          <w:left w:val="single" w:color="C8A020" w:sz="18" w:space="8"/>
        </w:pBdr>
        <w:shd w:fill="FDF3D8" w:color="auto" w:val="clear"/>
        <w:spacing w:after="60" w:before="40" w:line="290"/>
        <w:ind w:left="280" w:right="200"/>
      </w:pPr>
      <w:r>
        <w:rPr>
          <w:rFonts w:ascii="Times New Roman" w:cs="Times New Roman" w:eastAsia="Times New Roman" w:hAnsi="Times New Roman"/>
          <w:b/>
          <w:bCs/>
          <w:sz w:val="21"/>
          <w:szCs w:val="21"/>
        </w:rPr>
        <w:t xml:space="preserve">Hàm ý:</w:t>
      </w:r>
      <w:r>
        <w:rPr>
          <w:rFonts w:ascii="Times New Roman" w:cs="Times New Roman" w:eastAsia="Times New Roman" w:hAnsi="Times New Roman"/>
          <w:sz w:val="21"/>
          <w:szCs w:val="21"/>
        </w:rPr>
        <w:t xml:space="preserve"> rủi ro trả hàng ở đây gắn với </w:t>
      </w:r>
      <w:r>
        <w:rPr>
          <w:rFonts w:ascii="Times New Roman" w:cs="Times New Roman" w:eastAsia="Times New Roman" w:hAnsi="Times New Roman"/>
          <w:b/>
          <w:bCs/>
          <w:sz w:val="21"/>
          <w:szCs w:val="21"/>
        </w:rPr>
        <w:t xml:space="preserve">đặc điểm của đơn hàng</w:t>
      </w:r>
      <w:r>
        <w:rPr>
          <w:rFonts w:ascii="Times New Roman" w:cs="Times New Roman" w:eastAsia="Times New Roman" w:hAnsi="Times New Roman"/>
          <w:sz w:val="21"/>
          <w:szCs w:val="21"/>
        </w:rPr>
        <w:t xml:space="preserve">, không gắn với </w:t>
      </w:r>
      <w:r>
        <w:rPr>
          <w:rFonts w:ascii="Times New Roman" w:cs="Times New Roman" w:eastAsia="Times New Roman" w:hAnsi="Times New Roman"/>
          <w:b/>
          <w:bCs/>
          <w:sz w:val="21"/>
          <w:szCs w:val="21"/>
        </w:rPr>
        <w:t xml:space="preserve">con người</w:t>
      </w:r>
      <w:r>
        <w:rPr>
          <w:rFonts w:ascii="Times New Roman" w:cs="Times New Roman" w:eastAsia="Times New Roman" w:hAnsi="Times New Roman"/>
          <w:sz w:val="21"/>
          <w:szCs w:val="21"/>
        </w:rPr>
        <w:t xml:space="preserve">. Vì vậy giải pháp phải nhắm vào </w:t>
      </w:r>
      <w:r>
        <w:rPr>
          <w:rFonts w:ascii="Times New Roman" w:cs="Times New Roman" w:eastAsia="Times New Roman" w:hAnsi="Times New Roman"/>
          <w:i/>
          <w:iCs/>
          <w:sz w:val="21"/>
          <w:szCs w:val="21"/>
        </w:rPr>
        <w:t xml:space="preserve">khâu đặt hàng</w:t>
      </w:r>
      <w:r>
        <w:rPr>
          <w:rFonts w:ascii="Times New Roman" w:cs="Times New Roman" w:eastAsia="Times New Roman" w:hAnsi="Times New Roman"/>
          <w:sz w:val="21"/>
          <w:szCs w:val="21"/>
        </w:rPr>
        <w:t xml:space="preserve">, không nhắm vào </w:t>
      </w:r>
      <w:r>
        <w:rPr>
          <w:rFonts w:ascii="Times New Roman" w:cs="Times New Roman" w:eastAsia="Times New Roman" w:hAnsi="Times New Roman"/>
          <w:i/>
          <w:iCs/>
          <w:sz w:val="21"/>
          <w:szCs w:val="21"/>
        </w:rPr>
        <w:t xml:space="preserve">danh sách khách hàng đen</w:t>
      </w:r>
      <w:r>
        <w:rPr>
          <w:rFonts w:ascii="Times New Roman" w:cs="Times New Roman" w:eastAsia="Times New Roman" w:hAnsi="Times New Roman"/>
          <w:sz w:val="21"/>
          <w:szCs w:val="21"/>
        </w:rPr>
        <w:t xml:space="preserve">.</w:t>
      </w:r>
    </w:p>
    <w:p>
      <w:pPr>
        <w:spacing w:after="160"/>
      </w:pPr>
      <w:r>
        <w:rPr>
          <w:sz w:val="8"/>
          <w:szCs w:val="8"/>
        </w:rPr>
        <w:t xml:space="preserve"/>
      </w:r>
    </w:p>
    <w:p>
      <w:pPr>
        <w:pStyle w:val="Heading2"/>
        <w:spacing w:after="120" w:before="260"/>
      </w:pPr>
      <w:r>
        <w:rPr>
          <w:rFonts w:ascii="Times New Roman" w:cs="Times New Roman" w:eastAsia="Times New Roman" w:hAnsi="Times New Roman"/>
          <w:b/>
          <w:bCs/>
          <w:color w:val="2E5C9A"/>
          <w:sz w:val="25"/>
          <w:szCs w:val="25"/>
        </w:rPr>
        <w:t xml:space="preserve">5.12. Bảng xếp hạng sức mạnh dự báo (tương quan point-biserial)</w:t>
      </w:r>
    </w:p>
    <w:tbl>
      <w:tblPr>
        <w:tblW w:type="dxa" w:w="9746"/>
        <w:tblBorders>
          <w:top w:val="single" w:color="A6B4CC" w:sz="3"/>
          <w:left w:val="single" w:color="A6B4CC" w:sz="3"/>
          <w:bottom w:val="single" w:color="A6B4CC" w:sz="3"/>
          <w:right w:val="single" w:color="A6B4CC" w:sz="3"/>
          <w:insideH w:val="single" w:color="A6B4CC" w:sz="3"/>
          <w:insideV w:val="single" w:color="A6B4CC" w:sz="3"/>
        </w:tblBorders>
      </w:tblPr>
      <w:tblGrid>
        <w:gridCol w:w="1257"/>
        <w:gridCol w:w="6917"/>
        <w:gridCol w:w="1572"/>
      </w:tblGrid>
      <w:tr>
        <w:trPr>
          <w:tblHeader/>
        </w:trPr>
        <w:tc>
          <w:tcPr>
            <w:tcW w:type="dxa" w:w="1257"/>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Hạng</w:t>
            </w:r>
          </w:p>
        </w:tc>
        <w:tc>
          <w:tcPr>
            <w:tcW w:type="dxa" w:w="6917"/>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Biến</w:t>
            </w:r>
          </w:p>
        </w:tc>
        <w:tc>
          <w:tcPr>
            <w:tcW w:type="dxa" w:w="1572"/>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Hệ số</w:t>
            </w:r>
          </w:p>
        </w:tc>
      </w:tr>
      <w:tr>
        <w:trPr>
          <w:cantSplit/>
        </w:trPr>
        <w:tc>
          <w:tcPr>
            <w:tcW w:type="dxa" w:w="1257"/>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1</w:t>
            </w:r>
          </w:p>
        </w:tc>
        <w:tc>
          <w:tcPr>
            <w:tcW w:type="dxa" w:w="6917"/>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Số dòng hàng/đơn</w:t>
            </w:r>
          </w:p>
        </w:tc>
        <w:tc>
          <w:tcPr>
            <w:tcW w:type="dxa" w:w="1572"/>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sz w:val="19"/>
                <w:szCs w:val="19"/>
              </w:rPr>
              <w:t xml:space="preserve">0,189</w:t>
            </w:r>
          </w:p>
        </w:tc>
      </w:tr>
      <w:tr>
        <w:trPr>
          <w:cantSplit/>
        </w:trPr>
        <w:tc>
          <w:tcPr>
            <w:tcW w:type="dxa" w:w="1257"/>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2</w:t>
            </w:r>
          </w:p>
        </w:tc>
        <w:tc>
          <w:tcPr>
            <w:tcW w:type="dxa" w:w="6917"/>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Số phân nhóm khác nhau</w:t>
            </w:r>
          </w:p>
        </w:tc>
        <w:tc>
          <w:tcPr>
            <w:tcW w:type="dxa" w:w="1572"/>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0,183</w:t>
            </w:r>
          </w:p>
        </w:tc>
      </w:tr>
      <w:tr>
        <w:trPr>
          <w:cantSplit/>
        </w:trPr>
        <w:tc>
          <w:tcPr>
            <w:tcW w:type="dxa" w:w="1257"/>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3</w:t>
            </w:r>
          </w:p>
        </w:tc>
        <w:tc>
          <w:tcPr>
            <w:tcW w:type="dxa" w:w="6917"/>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Tổng số lượng SP</w:t>
            </w:r>
          </w:p>
        </w:tc>
        <w:tc>
          <w:tcPr>
            <w:tcW w:type="dxa" w:w="1572"/>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0,153</w:t>
            </w:r>
          </w:p>
        </w:tc>
      </w:tr>
      <w:tr>
        <w:trPr>
          <w:cantSplit/>
        </w:trPr>
        <w:tc>
          <w:tcPr>
            <w:tcW w:type="dxa" w:w="1257"/>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4</w:t>
            </w:r>
          </w:p>
        </w:tc>
        <w:tc>
          <w:tcPr>
            <w:tcW w:type="dxa" w:w="6917"/>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Giá trị đơn</w:t>
            </w:r>
          </w:p>
        </w:tc>
        <w:tc>
          <w:tcPr>
            <w:tcW w:type="dxa" w:w="1572"/>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0,072</w:t>
            </w:r>
          </w:p>
        </w:tc>
      </w:tr>
      <w:tr>
        <w:trPr>
          <w:cantSplit/>
        </w:trPr>
        <w:tc>
          <w:tcPr>
            <w:tcW w:type="dxa" w:w="1257"/>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5</w:t>
            </w:r>
          </w:p>
        </w:tc>
        <w:tc>
          <w:tcPr>
            <w:tcW w:type="dxa" w:w="6917"/>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Mức giảm giá cao nhất</w:t>
            </w:r>
          </w:p>
        </w:tc>
        <w:tc>
          <w:tcPr>
            <w:tcW w:type="dxa" w:w="1572"/>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0,038</w:t>
            </w:r>
          </w:p>
        </w:tc>
      </w:tr>
    </w:tbl>
    <w:p>
      <w:pPr>
        <w:spacing w:after="200"/>
      </w:pPr>
      <w:r>
        <w:rPr>
          <w:sz w:val="8"/>
          <w:szCs w:val="8"/>
        </w:rPr>
        <w:t xml:space="preserve"/>
      </w:r>
    </w:p>
    <w:p>
      <w:pPr>
        <w:pStyle w:val="Heading2"/>
        <w:spacing w:after="120" w:before="260"/>
      </w:pPr>
      <w:r>
        <w:rPr>
          <w:rFonts w:ascii="Times New Roman" w:cs="Times New Roman" w:eastAsia="Times New Roman" w:hAnsi="Times New Roman"/>
          <w:b/>
          <w:bCs/>
          <w:color w:val="2E5C9A"/>
          <w:sz w:val="25"/>
          <w:szCs w:val="25"/>
        </w:rPr>
        <w:t xml:space="preserve">5.13. Chân dung đơn hàng rủi ro cao</w:t>
      </w:r>
    </w:p>
    <w:p>
      <w:pPr>
        <w:pBdr>
          <w:left w:val="single" w:color="C8A020" w:sz="18" w:space="8"/>
        </w:pBdr>
        <w:shd w:fill="FDF3D8" w:color="auto" w:val="clear"/>
        <w:spacing w:after="40" w:before="60" w:line="290"/>
        <w:ind w:left="280" w:right="200"/>
      </w:pPr>
      <w:r>
        <w:rPr>
          <w:rFonts w:ascii="Times New Roman" w:cs="Times New Roman" w:eastAsia="Times New Roman" w:hAnsi="Times New Roman"/>
          <w:b/>
          <w:bCs/>
          <w:sz w:val="21"/>
          <w:szCs w:val="21"/>
        </w:rPr>
        <w:t xml:space="preserve">"Giỏ hàng lớn, trộn nhiều loại (≥4 dòng, ≥3 phân nhóm, ≥11 đơn vị), có món giảm giá trên 20%, đặt vào Q4 hoặc tháng 1, giao tới Philippines / Manila / Perth / Madrid / Seattle."</w:t>
      </w:r>
    </w:p>
    <w:p>
      <w:pPr>
        <w:pBdr>
          <w:left w:val="single" w:color="C8A020" w:sz="18" w:space="8"/>
        </w:pBdr>
        <w:shd w:fill="FDF3D8" w:color="auto" w:val="clear"/>
        <w:spacing w:after="40" w:before="40" w:line="290"/>
        <w:ind w:left="280" w:right="200"/>
      </w:pPr>
      <w:r>
        <w:rPr>
          <w:rFonts w:ascii="Times New Roman" w:cs="Times New Roman" w:eastAsia="Times New Roman" w:hAnsi="Times New Roman"/>
          <w:sz w:val="21"/>
          <w:szCs w:val="21"/>
        </w:rPr>
        <w:t xml:space="preserve">Nhóm này có tỷ lệ trả hàng </w:t>
      </w:r>
      <w:r>
        <w:rPr>
          <w:rFonts w:ascii="Times New Roman" w:cs="Times New Roman" w:eastAsia="Times New Roman" w:hAnsi="Times New Roman"/>
          <w:b/>
          <w:bCs/>
          <w:sz w:val="21"/>
          <w:szCs w:val="21"/>
        </w:rPr>
        <w:t xml:space="preserve">15–26%</w:t>
      </w:r>
      <w:r>
        <w:rPr>
          <w:rFonts w:ascii="Times New Roman" w:cs="Times New Roman" w:eastAsia="Times New Roman" w:hAnsi="Times New Roman"/>
          <w:sz w:val="21"/>
          <w:szCs w:val="21"/>
        </w:rPr>
        <w:t xml:space="preserve">, tức gấp </w:t>
      </w:r>
      <w:r>
        <w:rPr>
          <w:rFonts w:ascii="Times New Roman" w:cs="Times New Roman" w:eastAsia="Times New Roman" w:hAnsi="Times New Roman"/>
          <w:b/>
          <w:bCs/>
          <w:sz w:val="21"/>
          <w:szCs w:val="21"/>
        </w:rPr>
        <w:t xml:space="preserve">2–3,4 lần</w:t>
      </w:r>
      <w:r>
        <w:rPr>
          <w:rFonts w:ascii="Times New Roman" w:cs="Times New Roman" w:eastAsia="Times New Roman" w:hAnsi="Times New Roman"/>
          <w:sz w:val="21"/>
          <w:szCs w:val="21"/>
        </w:rPr>
        <w:t xml:space="preserve"> mức bình thường.</w:t>
      </w:r>
    </w:p>
    <w:p>
      <w:pPr>
        <w:pBdr>
          <w:left w:val="single" w:color="C8A020" w:sz="18" w:space="8"/>
        </w:pBdr>
        <w:shd w:fill="FDF3D8" w:color="auto" w:val="clear"/>
        <w:spacing w:after="60" w:before="40" w:line="290"/>
        <w:ind w:left="280" w:right="200"/>
      </w:pPr>
      <w:r>
        <w:rPr>
          <w:rFonts w:ascii="Times New Roman" w:cs="Times New Roman" w:eastAsia="Times New Roman" w:hAnsi="Times New Roman"/>
          <w:sz w:val="21"/>
          <w:szCs w:val="21"/>
        </w:rPr>
        <w:t xml:space="preserve">Ngược lại, </w:t>
      </w:r>
      <w:r>
        <w:rPr>
          <w:rFonts w:ascii="Times New Roman" w:cs="Times New Roman" w:eastAsia="Times New Roman" w:hAnsi="Times New Roman"/>
          <w:b/>
          <w:bCs/>
          <w:sz w:val="21"/>
          <w:szCs w:val="21"/>
        </w:rPr>
        <w:t xml:space="preserve">đơn 1 dòng, không giảm giá, giao Standard Class</w:t>
      </w:r>
      <w:r>
        <w:rPr>
          <w:rFonts w:ascii="Times New Roman" w:cs="Times New Roman" w:eastAsia="Times New Roman" w:hAnsi="Times New Roman"/>
          <w:sz w:val="21"/>
          <w:szCs w:val="21"/>
        </w:rPr>
        <w:t xml:space="preserve"> chỉ trả </w:t>
      </w:r>
      <w:r>
        <w:rPr>
          <w:rFonts w:ascii="Times New Roman" w:cs="Times New Roman" w:eastAsia="Times New Roman" w:hAnsi="Times New Roman"/>
          <w:b/>
          <w:bCs/>
          <w:sz w:val="21"/>
          <w:szCs w:val="21"/>
        </w:rPr>
        <w:t xml:space="preserve">3,69%</w:t>
      </w:r>
      <w:r>
        <w:rPr>
          <w:rFonts w:ascii="Times New Roman" w:cs="Times New Roman" w:eastAsia="Times New Roman" w:hAnsi="Times New Roman"/>
          <w:sz w:val="21"/>
          <w:szCs w:val="21"/>
        </w:rPr>
        <w:t xml:space="preserve"> — an toàn gấp đôi mức trung bình.</w:t>
      </w:r>
    </w:p>
    <w:p>
      <w:pPr>
        <w:spacing w:after="160"/>
      </w:pPr>
      <w:r>
        <w:rPr>
          <w:sz w:val="8"/>
          <w:szCs w:val="8"/>
        </w:rPr>
        <w:t xml:space="preserve"/>
      </w:r>
    </w:p>
    <w:p>
      <w:pPr>
        <w:pStyle w:val="Heading2"/>
        <w:spacing w:after="120" w:before="260"/>
      </w:pPr>
      <w:r>
        <w:rPr>
          <w:rFonts w:ascii="Times New Roman" w:cs="Times New Roman" w:eastAsia="Times New Roman" w:hAnsi="Times New Roman"/>
          <w:b/>
          <w:bCs/>
          <w:color w:val="2E5C9A"/>
          <w:sz w:val="25"/>
          <w:szCs w:val="25"/>
        </w:rPr>
        <w:t xml:space="preserve">5.14. Khuyến nghị hành động</w:t>
      </w:r>
    </w:p>
    <w:p>
      <w:pPr>
        <w:pStyle w:val="ListParagraph"/>
        <w:numPr>
          <w:ilvl w:val="0"/>
          <w:numId w:val="3"/>
        </w:numPr>
        <w:spacing w:after="40" w:before="40" w:line="300"/>
      </w:pPr>
      <w:r>
        <w:rPr>
          <w:rFonts w:ascii="Times New Roman" w:cs="Times New Roman" w:eastAsia="Times New Roman" w:hAnsi="Times New Roman"/>
          <w:b/>
          <w:bCs/>
          <w:sz w:val="22"/>
          <w:szCs w:val="22"/>
        </w:rPr>
        <w:t xml:space="preserve">Chấm điểm rủi ro tại giỏ hàng</w:t>
      </w:r>
      <w:r>
        <w:rPr>
          <w:rFonts w:ascii="Times New Roman" w:cs="Times New Roman" w:eastAsia="Times New Roman" w:hAnsi="Times New Roman"/>
          <w:sz w:val="22"/>
          <w:szCs w:val="22"/>
        </w:rPr>
        <w:t xml:space="preserve"> — dùng 3 biến số dòng / số phân nhóm / số lượng (không cần mô hình phức tạp, đã giải thích được phần lớn biến thiên). Đơn đạt ngưỡng rủi ro cao → kích hoạt xác nhận bổ sung trước khi giao.</w:t>
      </w:r>
    </w:p>
    <w:p>
      <w:pPr>
        <w:pStyle w:val="ListParagraph"/>
        <w:numPr>
          <w:ilvl w:val="0"/>
          <w:numId w:val="3"/>
        </w:numPr>
        <w:spacing w:after="40" w:before="40" w:line="300"/>
      </w:pPr>
      <w:r>
        <w:rPr>
          <w:rFonts w:ascii="Times New Roman" w:cs="Times New Roman" w:eastAsia="Times New Roman" w:hAnsi="Times New Roman"/>
          <w:b/>
          <w:bCs/>
          <w:sz w:val="22"/>
          <w:szCs w:val="22"/>
        </w:rPr>
        <w:t xml:space="preserve">Cải thiện trang sản phẩm cho giỏ hàng lớn</w:t>
      </w:r>
      <w:r>
        <w:rPr>
          <w:rFonts w:ascii="Times New Roman" w:cs="Times New Roman" w:eastAsia="Times New Roman" w:hAnsi="Times New Roman"/>
          <w:sz w:val="22"/>
          <w:szCs w:val="22"/>
        </w:rPr>
        <w:t xml:space="preserve"> — rủi ro tăng theo </w:t>
      </w:r>
      <w:r>
        <w:rPr>
          <w:rFonts w:ascii="Times New Roman" w:cs="Times New Roman" w:eastAsia="Times New Roman" w:hAnsi="Times New Roman"/>
          <w:i/>
          <w:iCs/>
          <w:sz w:val="22"/>
          <w:szCs w:val="22"/>
        </w:rPr>
        <w:t xml:space="preserve">độ đa dạng</w:t>
      </w:r>
      <w:r>
        <w:rPr>
          <w:rFonts w:ascii="Times New Roman" w:cs="Times New Roman" w:eastAsia="Times New Roman" w:hAnsi="Times New Roman"/>
          <w:sz w:val="22"/>
          <w:szCs w:val="22"/>
        </w:rPr>
        <w:t xml:space="preserve"> cho thấy khách không chắc chắn về thứ mình chọn: bổ sung bảng thông số, ảnh thật, kích thước, đánh giá.</w:t>
      </w:r>
    </w:p>
    <w:p>
      <w:pPr>
        <w:pStyle w:val="ListParagraph"/>
        <w:numPr>
          <w:ilvl w:val="0"/>
          <w:numId w:val="3"/>
        </w:numPr>
        <w:spacing w:after="40" w:before="40" w:line="300"/>
      </w:pPr>
      <w:r>
        <w:rPr>
          <w:rFonts w:ascii="Times New Roman" w:cs="Times New Roman" w:eastAsia="Times New Roman" w:hAnsi="Times New Roman"/>
          <w:b/>
          <w:bCs/>
          <w:sz w:val="22"/>
          <w:szCs w:val="22"/>
        </w:rPr>
        <w:t xml:space="preserve">Giới hạn khuyến mãi sâu trên giỏ lớn</w:t>
      </w:r>
      <w:r>
        <w:rPr>
          <w:rFonts w:ascii="Times New Roman" w:cs="Times New Roman" w:eastAsia="Times New Roman" w:hAnsi="Times New Roman"/>
          <w:sz w:val="22"/>
          <w:szCs w:val="22"/>
        </w:rPr>
        <w:t xml:space="preserve"> — giảm giá &gt;20% kết hợp giỏ 3+ dòng làm tăng 2,7 điểm phần trăm; nên chặn tổ hợp này bằng quy tắc khuyến mãi.</w:t>
      </w:r>
    </w:p>
    <w:p>
      <w:pPr>
        <w:pStyle w:val="ListParagraph"/>
        <w:numPr>
          <w:ilvl w:val="0"/>
          <w:numId w:val="3"/>
        </w:numPr>
        <w:spacing w:after="40" w:before="40" w:line="300"/>
      </w:pPr>
      <w:r>
        <w:rPr>
          <w:rFonts w:ascii="Times New Roman" w:cs="Times New Roman" w:eastAsia="Times New Roman" w:hAnsi="Times New Roman"/>
          <w:b/>
          <w:bCs/>
          <w:sz w:val="22"/>
          <w:szCs w:val="22"/>
        </w:rPr>
        <w:t xml:space="preserve">Rà soát Same Day cho đơn nhỏ</w:t>
      </w:r>
      <w:r>
        <w:rPr>
          <w:rFonts w:ascii="Times New Roman" w:cs="Times New Roman" w:eastAsia="Times New Roman" w:hAnsi="Times New Roman"/>
          <w:sz w:val="22"/>
          <w:szCs w:val="22"/>
        </w:rPr>
        <w:t xml:space="preserve"> — thêm một bước xác nhận hoặc kéo dài cửa sổ hủy đơn (chi phí thấp, tác động trực tiếp lên hành vi bốc đồng).</w:t>
      </w:r>
    </w:p>
    <w:p>
      <w:pPr>
        <w:pStyle w:val="ListParagraph"/>
        <w:numPr>
          <w:ilvl w:val="0"/>
          <w:numId w:val="3"/>
        </w:numPr>
        <w:spacing w:after="40" w:before="40" w:line="300"/>
      </w:pPr>
      <w:r>
        <w:rPr>
          <w:rFonts w:ascii="Times New Roman" w:cs="Times New Roman" w:eastAsia="Times New Roman" w:hAnsi="Times New Roman"/>
          <w:b/>
          <w:bCs/>
          <w:sz w:val="22"/>
          <w:szCs w:val="22"/>
        </w:rPr>
        <w:t xml:space="preserve">Can thiệp theo địa bàn, không theo khách hàng</w:t>
      </w:r>
      <w:r>
        <w:rPr>
          <w:rFonts w:ascii="Times New Roman" w:cs="Times New Roman" w:eastAsia="Times New Roman" w:hAnsi="Times New Roman"/>
          <w:sz w:val="22"/>
          <w:szCs w:val="22"/>
        </w:rPr>
        <w:t xml:space="preserve"> — vì rủi ro gắn với đơn chứ không gắn với người, nên ưu tiên xử lý 6 thị trường rủi ro cao (Philippines, Colombia, Morocco, New Zealand, Ukraine, Turkey) về mặt mô tả sản phẩm, đóng gói và đối tác giao vận.</w:t>
      </w:r>
    </w:p>
    <w:p>
      <w:pPr>
        <w:pStyle w:val="ListParagraph"/>
        <w:numPr>
          <w:ilvl w:val="0"/>
          <w:numId w:val="3"/>
        </w:numPr>
        <w:spacing w:after="40" w:before="40" w:line="300"/>
      </w:pPr>
      <w:r>
        <w:rPr>
          <w:rFonts w:ascii="Times New Roman" w:cs="Times New Roman" w:eastAsia="Times New Roman" w:hAnsi="Times New Roman"/>
          <w:b/>
          <w:bCs/>
          <w:sz w:val="22"/>
          <w:szCs w:val="22"/>
        </w:rPr>
        <w:t xml:space="preserve">Chuẩn bị nguồn lực xử lý hoàn trả cho Q4 và tháng 1</w:t>
      </w:r>
      <w:r>
        <w:rPr>
          <w:rFonts w:ascii="Times New Roman" w:cs="Times New Roman" w:eastAsia="Times New Roman" w:hAnsi="Times New Roman"/>
          <w:sz w:val="22"/>
          <w:szCs w:val="22"/>
        </w:rPr>
        <w:t xml:space="preserve"> — đây là đỉnh kép của cả doanh thu lẫn trả hàng.</w:t>
      </w:r>
    </w:p>
    <w:p>
      <w:r>
        <w:br w:type="page"/>
      </w:r>
    </w:p>
    <w:p>
      <w:pPr>
        <w:pStyle w:val="Heading1"/>
        <w:pBdr>
          <w:bottom w:val="single" w:color="1F3864" w:sz="12" w:space="6"/>
        </w:pBdr>
        <w:spacing w:after="160" w:before="160"/>
      </w:pPr>
      <w:r>
        <w:rPr>
          <w:rFonts w:ascii="Times New Roman" w:cs="Times New Roman" w:eastAsia="Times New Roman" w:hAnsi="Times New Roman"/>
          <w:b/>
          <w:bCs/>
          <w:color w:val="1F3864"/>
          <w:sz w:val="30"/>
          <w:szCs w:val="30"/>
        </w:rPr>
        <w:t xml:space="preserve">CÂU 9 — BAO LÂU KHÁCH HÀNG QUAY TRỞ LẠI?</w:t>
      </w:r>
    </w:p>
    <w:p>
      <w:pPr>
        <w:pStyle w:val="Heading2"/>
        <w:spacing w:after="120" w:before="260"/>
      </w:pPr>
      <w:r>
        <w:rPr>
          <w:rFonts w:ascii="Times New Roman" w:cs="Times New Roman" w:eastAsia="Times New Roman" w:hAnsi="Times New Roman"/>
          <w:b/>
          <w:bCs/>
          <w:color w:val="2E5C9A"/>
          <w:sz w:val="25"/>
          <w:szCs w:val="25"/>
        </w:rPr>
        <w:t xml:space="preserve">9.1. Phần lớn khách hàng không quay lại</w:t>
      </w:r>
    </w:p>
    <w:tbl>
      <w:tblPr>
        <w:tblW w:type="dxa" w:w="9746"/>
        <w:tblBorders>
          <w:top w:val="single" w:color="A6B4CC" w:sz="3"/>
          <w:left w:val="single" w:color="A6B4CC" w:sz="3"/>
          <w:bottom w:val="single" w:color="A6B4CC" w:sz="3"/>
          <w:right w:val="single" w:color="A6B4CC" w:sz="3"/>
          <w:insideH w:val="single" w:color="A6B4CC" w:sz="3"/>
          <w:insideV w:val="single" w:color="A6B4CC" w:sz="3"/>
        </w:tblBorders>
      </w:tblPr>
      <w:tblGrid>
        <w:gridCol w:w="4385"/>
        <w:gridCol w:w="2924"/>
        <w:gridCol w:w="2437"/>
      </w:tblGrid>
      <w:tr>
        <w:trPr>
          <w:tblHeader/>
        </w:trPr>
        <w:tc>
          <w:tcPr>
            <w:tcW w:type="dxa" w:w="4385"/>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Số đơn/KH</w:t>
            </w:r>
          </w:p>
        </w:tc>
        <w:tc>
          <w:tcPr>
            <w:tcW w:type="dxa" w:w="2924"/>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Số KH</w:t>
            </w:r>
          </w:p>
        </w:tc>
        <w:tc>
          <w:tcPr>
            <w:tcW w:type="dxa" w:w="2437"/>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w:t>
            </w:r>
          </w:p>
        </w:tc>
      </w:tr>
      <w:tr>
        <w:trPr>
          <w:cantSplit/>
        </w:trPr>
        <w:tc>
          <w:tcPr>
            <w:tcW w:type="dxa" w:w="4385"/>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b/>
                <w:bCs/>
                <w:sz w:val="19"/>
                <w:szCs w:val="19"/>
              </w:rPr>
              <w:t xml:space="preserve">1 đơn</w:t>
            </w:r>
          </w:p>
        </w:tc>
        <w:tc>
          <w:tcPr>
            <w:tcW w:type="dxa" w:w="2924"/>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11.981</w:t>
            </w:r>
          </w:p>
        </w:tc>
        <w:tc>
          <w:tcPr>
            <w:tcW w:type="dxa" w:w="2437"/>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sz w:val="19"/>
                <w:szCs w:val="19"/>
              </w:rPr>
              <w:t xml:space="preserve">68,8%</w:t>
            </w:r>
          </w:p>
        </w:tc>
      </w:tr>
      <w:tr>
        <w:trPr>
          <w:cantSplit/>
        </w:trPr>
        <w:tc>
          <w:tcPr>
            <w:tcW w:type="dxa" w:w="4385"/>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2 đơn</w:t>
            </w:r>
          </w:p>
        </w:tc>
        <w:tc>
          <w:tcPr>
            <w:tcW w:type="dxa" w:w="2924"/>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3.466</w:t>
            </w:r>
          </w:p>
        </w:tc>
        <w:tc>
          <w:tcPr>
            <w:tcW w:type="dxa" w:w="2437"/>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19,9%</w:t>
            </w:r>
          </w:p>
        </w:tc>
      </w:tr>
      <w:tr>
        <w:trPr>
          <w:cantSplit/>
        </w:trPr>
        <w:tc>
          <w:tcPr>
            <w:tcW w:type="dxa" w:w="4385"/>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3 đơn</w:t>
            </w:r>
          </w:p>
        </w:tc>
        <w:tc>
          <w:tcPr>
            <w:tcW w:type="dxa" w:w="2924"/>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1.313</w:t>
            </w:r>
          </w:p>
        </w:tc>
        <w:tc>
          <w:tcPr>
            <w:tcW w:type="dxa" w:w="2437"/>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7,5%</w:t>
            </w:r>
          </w:p>
        </w:tc>
      </w:tr>
      <w:tr>
        <w:trPr>
          <w:cantSplit/>
        </w:trPr>
        <w:tc>
          <w:tcPr>
            <w:tcW w:type="dxa" w:w="4385"/>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4 đơn</w:t>
            </w:r>
          </w:p>
        </w:tc>
        <w:tc>
          <w:tcPr>
            <w:tcW w:type="dxa" w:w="2924"/>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454</w:t>
            </w:r>
          </w:p>
        </w:tc>
        <w:tc>
          <w:tcPr>
            <w:tcW w:type="dxa" w:w="2437"/>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2,6%</w:t>
            </w:r>
          </w:p>
        </w:tc>
      </w:tr>
      <w:tr>
        <w:trPr>
          <w:cantSplit/>
        </w:trPr>
        <w:tc>
          <w:tcPr>
            <w:tcW w:type="dxa" w:w="4385"/>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5 đơn</w:t>
            </w:r>
          </w:p>
        </w:tc>
        <w:tc>
          <w:tcPr>
            <w:tcW w:type="dxa" w:w="2924"/>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157</w:t>
            </w:r>
          </w:p>
        </w:tc>
        <w:tc>
          <w:tcPr>
            <w:tcW w:type="dxa" w:w="2437"/>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0,9%</w:t>
            </w:r>
          </w:p>
        </w:tc>
      </w:tr>
      <w:tr>
        <w:trPr>
          <w:cantSplit/>
        </w:trPr>
        <w:tc>
          <w:tcPr>
            <w:tcW w:type="dxa" w:w="4385"/>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6+ đơn</w:t>
            </w:r>
          </w:p>
        </w:tc>
        <w:tc>
          <w:tcPr>
            <w:tcW w:type="dxa" w:w="2924"/>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42</w:t>
            </w:r>
          </w:p>
        </w:tc>
        <w:tc>
          <w:tcPr>
            <w:tcW w:type="dxa" w:w="2437"/>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0,2%</w:t>
            </w:r>
          </w:p>
        </w:tc>
      </w:tr>
    </w:tbl>
    <w:p>
      <w:pPr>
        <w:spacing w:after="200"/>
      </w:pPr>
      <w:r>
        <w:rPr>
          <w:sz w:val="8"/>
          <w:szCs w:val="8"/>
        </w:rPr>
        <w:t xml:space="preserve"/>
      </w:r>
    </w:p>
    <w:p>
      <w:pPr>
        <w:pBdr>
          <w:left w:val="single" w:color="C8A020" w:sz="18" w:space="8"/>
        </w:pBdr>
        <w:shd w:fill="FDF3D8" w:color="auto" w:val="clear"/>
        <w:spacing w:after="40" w:before="60" w:line="290"/>
        <w:ind w:left="280" w:right="200"/>
      </w:pPr>
      <w:r>
        <w:rPr>
          <w:rFonts w:ascii="Times New Roman" w:cs="Times New Roman" w:eastAsia="Times New Roman" w:hAnsi="Times New Roman"/>
          <w:b/>
          <w:bCs/>
          <w:sz w:val="21"/>
          <w:szCs w:val="21"/>
        </w:rPr>
        <w:t xml:space="preserve">Gần 7/10 khách hàng chỉ mua đúng một lần trong suốt 4 năm.</w:t>
      </w:r>
      <w:r>
        <w:rPr>
          <w:rFonts w:ascii="Times New Roman" w:cs="Times New Roman" w:eastAsia="Times New Roman" w:hAnsi="Times New Roman"/>
          <w:sz w:val="21"/>
          <w:szCs w:val="21"/>
        </w:rPr>
        <w:t xml:space="preserve"> Chỉ 31,2% quay lại từ lần thứ hai.</w:t>
      </w:r>
    </w:p>
    <w:p>
      <w:pPr>
        <w:pBdr>
          <w:left w:val="single" w:color="C8A020" w:sz="18" w:space="8"/>
        </w:pBdr>
        <w:shd w:fill="FDF3D8" w:color="auto" w:val="clear"/>
        <w:spacing w:after="60" w:before="40" w:line="290"/>
        <w:ind w:left="280" w:right="200"/>
      </w:pPr>
      <w:r>
        <w:rPr>
          <w:rFonts w:ascii="Times New Roman" w:cs="Times New Roman" w:eastAsia="Times New Roman" w:hAnsi="Times New Roman"/>
          <w:sz w:val="21"/>
          <w:szCs w:val="21"/>
        </w:rPr>
        <w:t xml:space="preserve">Đây là vấn đề nghiêm trọng nhất lộ ra từ toàn bộ dữ liệu.</w:t>
      </w:r>
    </w:p>
    <w:p>
      <w:pPr>
        <w:spacing w:after="160"/>
      </w:pPr>
      <w:r>
        <w:rPr>
          <w:sz w:val="8"/>
          <w:szCs w:val="8"/>
        </w:rPr>
        <w:t xml:space="preserve"/>
      </w:r>
    </w:p>
    <w:p>
      <w:pPr>
        <w:pStyle w:val="Heading2"/>
        <w:spacing w:after="120" w:before="260"/>
      </w:pPr>
      <w:r>
        <w:rPr>
          <w:rFonts w:ascii="Times New Roman" w:cs="Times New Roman" w:eastAsia="Times New Roman" w:hAnsi="Times New Roman"/>
          <w:b/>
          <w:bCs/>
          <w:color w:val="2E5C9A"/>
          <w:sz w:val="25"/>
          <w:szCs w:val="25"/>
        </w:rPr>
        <w:t xml:space="preserve">9.2. Khoảng cách giữa hai lần mua</w:t>
      </w:r>
    </w:p>
    <w:tbl>
      <w:tblPr>
        <w:tblW w:type="dxa" w:w="9746"/>
        <w:tblBorders>
          <w:top w:val="single" w:color="A6B4CC" w:sz="3"/>
          <w:left w:val="single" w:color="A6B4CC" w:sz="3"/>
          <w:bottom w:val="single" w:color="A6B4CC" w:sz="3"/>
          <w:right w:val="single" w:color="A6B4CC" w:sz="3"/>
          <w:insideH w:val="single" w:color="A6B4CC" w:sz="3"/>
          <w:insideV w:val="single" w:color="A6B4CC" w:sz="3"/>
        </w:tblBorders>
      </w:tblPr>
      <w:tblGrid>
        <w:gridCol w:w="4177"/>
        <w:gridCol w:w="5569"/>
      </w:tblGrid>
      <w:tr>
        <w:trPr>
          <w:tblHeader/>
        </w:trPr>
        <w:tc>
          <w:tcPr>
            <w:tcW w:type="dxa" w:w="4177"/>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Thống kê</w:t>
            </w:r>
          </w:p>
        </w:tc>
        <w:tc>
          <w:tcPr>
            <w:tcW w:type="dxa" w:w="5569"/>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Giá trị</w:t>
            </w:r>
          </w:p>
        </w:tc>
      </w:tr>
      <w:tr>
        <w:trPr>
          <w:cantSplit/>
        </w:trPr>
        <w:tc>
          <w:tcPr>
            <w:tcW w:type="dxa" w:w="4177"/>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Số lần quan sát</w:t>
            </w:r>
          </w:p>
        </w:tc>
        <w:tc>
          <w:tcPr>
            <w:tcW w:type="dxa" w:w="5569"/>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8.314</w:t>
            </w:r>
          </w:p>
        </w:tc>
      </w:tr>
      <w:tr>
        <w:trPr>
          <w:cantSplit/>
        </w:trPr>
        <w:tc>
          <w:tcPr>
            <w:tcW w:type="dxa" w:w="4177"/>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b/>
                <w:bCs/>
                <w:sz w:val="19"/>
                <w:szCs w:val="19"/>
              </w:rPr>
              <w:t xml:space="preserve">Trung vị</w:t>
            </w:r>
          </w:p>
        </w:tc>
        <w:tc>
          <w:tcPr>
            <w:tcW w:type="dxa" w:w="5569"/>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b/>
                <w:bCs/>
                <w:sz w:val="19"/>
                <w:szCs w:val="19"/>
              </w:rPr>
              <w:t xml:space="preserve">303 ngày (~10 tháng)</w:t>
            </w:r>
          </w:p>
        </w:tc>
      </w:tr>
      <w:tr>
        <w:trPr>
          <w:cantSplit/>
        </w:trPr>
        <w:tc>
          <w:tcPr>
            <w:tcW w:type="dxa" w:w="4177"/>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Trung bình</w:t>
            </w:r>
          </w:p>
        </w:tc>
        <w:tc>
          <w:tcPr>
            <w:tcW w:type="dxa" w:w="5569"/>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379 ngày</w:t>
            </w:r>
          </w:p>
        </w:tc>
      </w:tr>
      <w:tr>
        <w:trPr>
          <w:cantSplit/>
        </w:trPr>
        <w:tc>
          <w:tcPr>
            <w:tcW w:type="dxa" w:w="4177"/>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Phân vị 10%</w:t>
            </w:r>
          </w:p>
        </w:tc>
        <w:tc>
          <w:tcPr>
            <w:tcW w:type="dxa" w:w="5569"/>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46 ngày</w:t>
            </w:r>
          </w:p>
        </w:tc>
      </w:tr>
      <w:tr>
        <w:trPr>
          <w:cantSplit/>
        </w:trPr>
        <w:tc>
          <w:tcPr>
            <w:tcW w:type="dxa" w:w="4177"/>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Phân vị 25%</w:t>
            </w:r>
          </w:p>
        </w:tc>
        <w:tc>
          <w:tcPr>
            <w:tcW w:type="dxa" w:w="5569"/>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127 ngày</w:t>
            </w:r>
          </w:p>
        </w:tc>
      </w:tr>
      <w:tr>
        <w:trPr>
          <w:cantSplit/>
        </w:trPr>
        <w:tc>
          <w:tcPr>
            <w:tcW w:type="dxa" w:w="4177"/>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Phân vị 75%</w:t>
            </w:r>
          </w:p>
        </w:tc>
        <w:tc>
          <w:tcPr>
            <w:tcW w:type="dxa" w:w="5569"/>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563 ngày</w:t>
            </w:r>
          </w:p>
        </w:tc>
      </w:tr>
      <w:tr>
        <w:trPr>
          <w:cantSplit/>
        </w:trPr>
        <w:tc>
          <w:tcPr>
            <w:tcW w:type="dxa" w:w="4177"/>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Phân vị 90%</w:t>
            </w:r>
          </w:p>
        </w:tc>
        <w:tc>
          <w:tcPr>
            <w:tcW w:type="dxa" w:w="5569"/>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833 ngày</w:t>
            </w:r>
          </w:p>
        </w:tc>
      </w:tr>
    </w:tbl>
    <w:p>
      <w:pPr>
        <w:spacing w:after="200"/>
      </w:pPr>
      <w:r>
        <w:rPr>
          <w:sz w:val="8"/>
          <w:szCs w:val="8"/>
        </w:rPr>
        <w:t xml:space="preserve"/>
      </w:r>
    </w:p>
    <w:tbl>
      <w:tblPr>
        <w:tblW w:type="dxa" w:w="9746"/>
        <w:tblBorders>
          <w:top w:val="single" w:color="A6B4CC" w:sz="3"/>
          <w:left w:val="single" w:color="A6B4CC" w:sz="3"/>
          <w:bottom w:val="single" w:color="A6B4CC" w:sz="3"/>
          <w:right w:val="single" w:color="A6B4CC" w:sz="3"/>
          <w:insideH w:val="single" w:color="A6B4CC" w:sz="3"/>
          <w:insideV w:val="single" w:color="A6B4CC" w:sz="3"/>
        </w:tblBorders>
      </w:tblPr>
      <w:tblGrid>
        <w:gridCol w:w="4873"/>
        <w:gridCol w:w="2215"/>
        <w:gridCol w:w="2658"/>
      </w:tblGrid>
      <w:tr>
        <w:trPr>
          <w:tblHeader/>
        </w:trPr>
        <w:tc>
          <w:tcPr>
            <w:tcW w:type="dxa" w:w="4873"/>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Khoảng cách</w:t>
            </w:r>
          </w:p>
        </w:tc>
        <w:tc>
          <w:tcPr>
            <w:tcW w:type="dxa" w:w="2215"/>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Tỷ lệ</w:t>
            </w:r>
          </w:p>
        </w:tc>
        <w:tc>
          <w:tcPr>
            <w:tcW w:type="dxa" w:w="2658"/>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Lũy kế</w:t>
            </w:r>
          </w:p>
        </w:tc>
      </w:tr>
      <w:tr>
        <w:trPr>
          <w:cantSplit/>
        </w:trPr>
        <w:tc>
          <w:tcPr>
            <w:tcW w:type="dxa" w:w="4873"/>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 1 tháng</w:t>
            </w:r>
          </w:p>
        </w:tc>
        <w:tc>
          <w:tcPr>
            <w:tcW w:type="dxa" w:w="2215"/>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6,5%</w:t>
            </w:r>
          </w:p>
        </w:tc>
        <w:tc>
          <w:tcPr>
            <w:tcW w:type="dxa" w:w="2658"/>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6,5%</w:t>
            </w:r>
          </w:p>
        </w:tc>
      </w:tr>
      <w:tr>
        <w:trPr>
          <w:cantSplit/>
        </w:trPr>
        <w:tc>
          <w:tcPr>
            <w:tcW w:type="dxa" w:w="4873"/>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1–3 tháng</w:t>
            </w:r>
          </w:p>
        </w:tc>
        <w:tc>
          <w:tcPr>
            <w:tcW w:type="dxa" w:w="2215"/>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12,1%</w:t>
            </w:r>
          </w:p>
        </w:tc>
        <w:tc>
          <w:tcPr>
            <w:tcW w:type="dxa" w:w="2658"/>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18,6%</w:t>
            </w:r>
          </w:p>
        </w:tc>
      </w:tr>
      <w:tr>
        <w:trPr>
          <w:cantSplit/>
        </w:trPr>
        <w:tc>
          <w:tcPr>
            <w:tcW w:type="dxa" w:w="4873"/>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3–6 tháng</w:t>
            </w:r>
          </w:p>
        </w:tc>
        <w:tc>
          <w:tcPr>
            <w:tcW w:type="dxa" w:w="2215"/>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14,6%</w:t>
            </w:r>
          </w:p>
        </w:tc>
        <w:tc>
          <w:tcPr>
            <w:tcW w:type="dxa" w:w="2658"/>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33,3%</w:t>
            </w:r>
          </w:p>
        </w:tc>
      </w:tr>
      <w:tr>
        <w:trPr>
          <w:cantSplit/>
        </w:trPr>
        <w:tc>
          <w:tcPr>
            <w:tcW w:type="dxa" w:w="4873"/>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6–12 tháng</w:t>
            </w:r>
          </w:p>
        </w:tc>
        <w:tc>
          <w:tcPr>
            <w:tcW w:type="dxa" w:w="2215"/>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24,1%</w:t>
            </w:r>
          </w:p>
        </w:tc>
        <w:tc>
          <w:tcPr>
            <w:tcW w:type="dxa" w:w="2658"/>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sz w:val="19"/>
                <w:szCs w:val="19"/>
              </w:rPr>
              <w:t xml:space="preserve">57,4%</w:t>
            </w:r>
          </w:p>
        </w:tc>
      </w:tr>
      <w:tr>
        <w:trPr>
          <w:cantSplit/>
        </w:trPr>
        <w:tc>
          <w:tcPr>
            <w:tcW w:type="dxa" w:w="4873"/>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1–2 năm</w:t>
            </w:r>
          </w:p>
        </w:tc>
        <w:tc>
          <w:tcPr>
            <w:tcW w:type="dxa" w:w="2215"/>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27,7%</w:t>
            </w:r>
          </w:p>
        </w:tc>
        <w:tc>
          <w:tcPr>
            <w:tcW w:type="dxa" w:w="2658"/>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85,1%</w:t>
            </w:r>
          </w:p>
        </w:tc>
      </w:tr>
      <w:tr>
        <w:trPr>
          <w:cantSplit/>
        </w:trPr>
        <w:tc>
          <w:tcPr>
            <w:tcW w:type="dxa" w:w="4873"/>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&gt; 2 năm</w:t>
            </w:r>
          </w:p>
        </w:tc>
        <w:tc>
          <w:tcPr>
            <w:tcW w:type="dxa" w:w="2215"/>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14,9%</w:t>
            </w:r>
          </w:p>
        </w:tc>
        <w:tc>
          <w:tcPr>
            <w:tcW w:type="dxa" w:w="2658"/>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100%</w:t>
            </w:r>
          </w:p>
        </w:tc>
      </w:tr>
    </w:tbl>
    <w:p>
      <w:pPr>
        <w:spacing w:after="200"/>
      </w:pPr>
      <w:r>
        <w:rPr>
          <w:sz w:val="8"/>
          <w:szCs w:val="8"/>
        </w:rPr>
        <w:t xml:space="preserve"/>
      </w:r>
    </w:p>
    <w:p>
      <w:pPr>
        <w:pBdr>
          <w:left w:val="single" w:color="C8A020" w:sz="18" w:space="8"/>
        </w:pBdr>
        <w:shd w:fill="FDF3D8" w:color="auto" w:val="clear"/>
        <w:spacing w:after="60" w:before="60" w:line="290"/>
        <w:ind w:left="280" w:right="200"/>
      </w:pPr>
      <w:r>
        <w:rPr>
          <w:rFonts w:ascii="Times New Roman" w:cs="Times New Roman" w:eastAsia="Times New Roman" w:hAnsi="Times New Roman"/>
          <w:b/>
          <w:bCs/>
          <w:sz w:val="21"/>
          <w:szCs w:val="21"/>
        </w:rPr>
        <w:t xml:space="preserve">Chu kỳ mua lại điển hình là ~10 tháng</w:t>
      </w:r>
      <w:r>
        <w:rPr>
          <w:rFonts w:ascii="Times New Roman" w:cs="Times New Roman" w:eastAsia="Times New Roman" w:hAnsi="Times New Roman"/>
          <w:sz w:val="21"/>
          <w:szCs w:val="21"/>
        </w:rPr>
        <w:t xml:space="preserve"> — rất dài. Chỉ 18,6% khách quay lại trong vòng 3 tháng, trong khi 42,6% mất hơn một năm.</w:t>
      </w:r>
    </w:p>
    <w:p>
      <w:pPr>
        <w:spacing w:after="160"/>
      </w:pPr>
      <w:r>
        <w:rPr>
          <w:sz w:val="8"/>
          <w:szCs w:val="8"/>
        </w:rPr>
        <w:t xml:space="preserve"/>
      </w:r>
    </w:p>
    <w:p>
      <w:pPr>
        <w:pStyle w:val="Heading2"/>
        <w:spacing w:after="120" w:before="260"/>
      </w:pPr>
      <w:r>
        <w:rPr>
          <w:rFonts w:ascii="Times New Roman" w:cs="Times New Roman" w:eastAsia="Times New Roman" w:hAnsi="Times New Roman"/>
          <w:b/>
          <w:bCs/>
          <w:color w:val="2E5C9A"/>
          <w:sz w:val="25"/>
          <w:szCs w:val="25"/>
        </w:rPr>
        <w:t xml:space="preserve">9.3. Tỷ lệ mua lại theo cửa sổ thời gian</w:t>
      </w:r>
    </w:p>
    <w:p>
      <w:pPr>
        <w:spacing w:after="120" w:before="60" w:line="290"/>
        <w:jc w:val="left"/>
      </w:pPr>
      <w:r>
        <w:rPr>
          <w:rFonts w:ascii="Times New Roman" w:cs="Times New Roman" w:eastAsia="Times New Roman" w:hAnsi="Times New Roman"/>
          <w:i/>
          <w:iCs/>
          <w:color w:val="555555"/>
          <w:sz w:val="20"/>
          <w:szCs w:val="20"/>
        </w:rPr>
        <w:t xml:space="preserve">(Chỉ tính 12.778 khách hàng có đủ tối thiểu 365 ngày theo dõi — tránh sai lệch do khách mới mua cuối kỳ)</w:t>
      </w:r>
    </w:p>
    <w:tbl>
      <w:tblPr>
        <w:tblW w:type="dxa" w:w="9746"/>
        <w:tblBorders>
          <w:top w:val="single" w:color="A6B4CC" w:sz="3"/>
          <w:left w:val="single" w:color="A6B4CC" w:sz="3"/>
          <w:bottom w:val="single" w:color="A6B4CC" w:sz="3"/>
          <w:right w:val="single" w:color="A6B4CC" w:sz="3"/>
          <w:insideH w:val="single" w:color="A6B4CC" w:sz="3"/>
          <w:insideV w:val="single" w:color="A6B4CC" w:sz="3"/>
        </w:tblBorders>
      </w:tblPr>
      <w:tblGrid>
        <w:gridCol w:w="3713"/>
        <w:gridCol w:w="6033"/>
      </w:tblGrid>
      <w:tr>
        <w:trPr>
          <w:tblHeader/>
        </w:trPr>
        <w:tc>
          <w:tcPr>
            <w:tcW w:type="dxa" w:w="3713"/>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Cửa sổ</w:t>
            </w:r>
          </w:p>
        </w:tc>
        <w:tc>
          <w:tcPr>
            <w:tcW w:type="dxa" w:w="6033"/>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Tỷ lệ mua lại</w:t>
            </w:r>
          </w:p>
        </w:tc>
      </w:tr>
      <w:tr>
        <w:trPr>
          <w:cantSplit/>
        </w:trPr>
        <w:tc>
          <w:tcPr>
            <w:tcW w:type="dxa" w:w="3713"/>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30 ngày</w:t>
            </w:r>
          </w:p>
        </w:tc>
        <w:tc>
          <w:tcPr>
            <w:tcW w:type="dxa" w:w="6033"/>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1,5%</w:t>
            </w:r>
          </w:p>
        </w:tc>
      </w:tr>
      <w:tr>
        <w:trPr>
          <w:cantSplit/>
        </w:trPr>
        <w:tc>
          <w:tcPr>
            <w:tcW w:type="dxa" w:w="3713"/>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60 ngày</w:t>
            </w:r>
          </w:p>
        </w:tc>
        <w:tc>
          <w:tcPr>
            <w:tcW w:type="dxa" w:w="6033"/>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3,1%</w:t>
            </w:r>
          </w:p>
        </w:tc>
      </w:tr>
      <w:tr>
        <w:trPr>
          <w:cantSplit/>
        </w:trPr>
        <w:tc>
          <w:tcPr>
            <w:tcW w:type="dxa" w:w="3713"/>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90 ngày</w:t>
            </w:r>
          </w:p>
        </w:tc>
        <w:tc>
          <w:tcPr>
            <w:tcW w:type="dxa" w:w="6033"/>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4,6%</w:t>
            </w:r>
          </w:p>
        </w:tc>
      </w:tr>
      <w:tr>
        <w:trPr>
          <w:cantSplit/>
        </w:trPr>
        <w:tc>
          <w:tcPr>
            <w:tcW w:type="dxa" w:w="3713"/>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180 ngày</w:t>
            </w:r>
          </w:p>
        </w:tc>
        <w:tc>
          <w:tcPr>
            <w:tcW w:type="dxa" w:w="6033"/>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9,0%</w:t>
            </w:r>
          </w:p>
        </w:tc>
      </w:tr>
      <w:tr>
        <w:trPr>
          <w:cantSplit/>
        </w:trPr>
        <w:tc>
          <w:tcPr>
            <w:tcW w:type="dxa" w:w="3713"/>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b/>
                <w:bCs/>
                <w:sz w:val="19"/>
                <w:szCs w:val="19"/>
              </w:rPr>
              <w:t xml:space="preserve">365 ngày</w:t>
            </w:r>
          </w:p>
        </w:tc>
        <w:tc>
          <w:tcPr>
            <w:tcW w:type="dxa" w:w="6033"/>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sz w:val="19"/>
                <w:szCs w:val="19"/>
              </w:rPr>
              <w:t xml:space="preserve">17,7%</w:t>
            </w:r>
          </w:p>
        </w:tc>
      </w:tr>
    </w:tbl>
    <w:p>
      <w:pPr>
        <w:spacing w:after="200"/>
      </w:pPr>
      <w:r>
        <w:rPr>
          <w:sz w:val="8"/>
          <w:szCs w:val="8"/>
        </w:rPr>
        <w:t xml:space="preserve"/>
      </w:r>
    </w:p>
    <w:p>
      <w:pPr>
        <w:pBdr>
          <w:left w:val="single" w:color="C8A020" w:sz="18" w:space="8"/>
        </w:pBdr>
        <w:shd w:fill="FDF3D8" w:color="auto" w:val="clear"/>
        <w:spacing w:after="60" w:before="60" w:line="290"/>
        <w:ind w:left="280" w:right="200"/>
      </w:pPr>
      <w:r>
        <w:rPr>
          <w:rFonts w:ascii="Times New Roman" w:cs="Times New Roman" w:eastAsia="Times New Roman" w:hAnsi="Times New Roman"/>
          <w:sz w:val="21"/>
          <w:szCs w:val="21"/>
        </w:rPr>
        <w:t xml:space="preserve">Sau </w:t>
      </w:r>
      <w:r>
        <w:rPr>
          <w:rFonts w:ascii="Times New Roman" w:cs="Times New Roman" w:eastAsia="Times New Roman" w:hAnsi="Times New Roman"/>
          <w:b/>
          <w:bCs/>
          <w:sz w:val="21"/>
          <w:szCs w:val="21"/>
        </w:rPr>
        <w:t xml:space="preserve">một năm trọn vẹn</w:t>
      </w:r>
      <w:r>
        <w:rPr>
          <w:rFonts w:ascii="Times New Roman" w:cs="Times New Roman" w:eastAsia="Times New Roman" w:hAnsi="Times New Roman"/>
          <w:sz w:val="21"/>
          <w:szCs w:val="21"/>
        </w:rPr>
        <w:t xml:space="preserve">, chưa tới 1/5 khách hàng quay lại. Cửa sổ 30 ngày gần như bằng không (1,5%) → </w:t>
      </w:r>
      <w:r>
        <w:rPr>
          <w:rFonts w:ascii="Times New Roman" w:cs="Times New Roman" w:eastAsia="Times New Roman" w:hAnsi="Times New Roman"/>
          <w:b/>
          <w:bCs/>
          <w:sz w:val="21"/>
          <w:szCs w:val="21"/>
        </w:rPr>
        <w:t xml:space="preserve">không có hành vi mua lặp ngắn hạn</w:t>
      </w:r>
      <w:r>
        <w:rPr>
          <w:rFonts w:ascii="Times New Roman" w:cs="Times New Roman" w:eastAsia="Times New Roman" w:hAnsi="Times New Roman"/>
          <w:sz w:val="21"/>
          <w:szCs w:val="21"/>
        </w:rPr>
        <w:t xml:space="preserve">, kể cả với danh mục văn phòng phẩm tiêu hao vốn lẽ ra phải mua định kỳ. Đây là dấu hiệu doanh nghiệp </w:t>
      </w:r>
      <w:r>
        <w:rPr>
          <w:rFonts w:ascii="Times New Roman" w:cs="Times New Roman" w:eastAsia="Times New Roman" w:hAnsi="Times New Roman"/>
          <w:b/>
          <w:bCs/>
          <w:sz w:val="21"/>
          <w:szCs w:val="21"/>
        </w:rPr>
        <w:t xml:space="preserve">chưa chiếm được đơn hàng bổ sung định kỳ</w:t>
      </w:r>
      <w:r>
        <w:rPr>
          <w:rFonts w:ascii="Times New Roman" w:cs="Times New Roman" w:eastAsia="Times New Roman" w:hAnsi="Times New Roman"/>
          <w:sz w:val="21"/>
          <w:szCs w:val="21"/>
        </w:rPr>
        <w:t xml:space="preserve"> của khách.</w:t>
      </w:r>
    </w:p>
    <w:p>
      <w:pPr>
        <w:spacing w:after="160"/>
      </w:pPr>
      <w:r>
        <w:rPr>
          <w:sz w:val="8"/>
          <w:szCs w:val="8"/>
        </w:rPr>
        <w:t xml:space="preserve"/>
      </w:r>
    </w:p>
    <w:p>
      <w:pPr>
        <w:pStyle w:val="Heading2"/>
        <w:spacing w:after="120" w:before="260"/>
      </w:pPr>
      <w:r>
        <w:rPr>
          <w:rFonts w:ascii="Times New Roman" w:cs="Times New Roman" w:eastAsia="Times New Roman" w:hAnsi="Times New Roman"/>
          <w:b/>
          <w:bCs/>
          <w:color w:val="2E5C9A"/>
          <w:sz w:val="25"/>
          <w:szCs w:val="25"/>
        </w:rPr>
        <w:t xml:space="preserve">9.4. ⭐ Chu kỳ rút ngắn dần theo số lần mua</w:t>
      </w:r>
    </w:p>
    <w:tbl>
      <w:tblPr>
        <w:tblW w:type="dxa" w:w="9746"/>
        <w:tblBorders>
          <w:top w:val="single" w:color="A6B4CC" w:sz="3"/>
          <w:left w:val="single" w:color="A6B4CC" w:sz="3"/>
          <w:bottom w:val="single" w:color="A6B4CC" w:sz="3"/>
          <w:right w:val="single" w:color="A6B4CC" w:sz="3"/>
          <w:insideH w:val="single" w:color="A6B4CC" w:sz="3"/>
          <w:insideV w:val="single" w:color="A6B4CC" w:sz="3"/>
        </w:tblBorders>
      </w:tblPr>
      <w:tblGrid>
        <w:gridCol w:w="2062"/>
        <w:gridCol w:w="2062"/>
        <w:gridCol w:w="3748"/>
        <w:gridCol w:w="1874"/>
      </w:tblGrid>
      <w:tr>
        <w:trPr>
          <w:tblHeader/>
        </w:trPr>
        <w:tc>
          <w:tcPr>
            <w:tcW w:type="dxa" w:w="2062"/>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Lần mua thứ</w:t>
            </w:r>
          </w:p>
        </w:tc>
        <w:tc>
          <w:tcPr>
            <w:tcW w:type="dxa" w:w="2062"/>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Số quan sát</w:t>
            </w:r>
          </w:p>
        </w:tc>
        <w:tc>
          <w:tcPr>
            <w:tcW w:type="dxa" w:w="3748"/>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Khoảng cách trung vị</w:t>
            </w:r>
          </w:p>
        </w:tc>
        <w:tc>
          <w:tcPr>
            <w:tcW w:type="dxa" w:w="1874"/>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Trung bình</w:t>
            </w:r>
          </w:p>
        </w:tc>
      </w:tr>
      <w:tr>
        <w:trPr>
          <w:cantSplit/>
        </w:trPr>
        <w:tc>
          <w:tcPr>
            <w:tcW w:type="dxa" w:w="2062"/>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1 → 2</w:t>
            </w:r>
          </w:p>
        </w:tc>
        <w:tc>
          <w:tcPr>
            <w:tcW w:type="dxa" w:w="2062"/>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5.433</w:t>
            </w:r>
          </w:p>
        </w:tc>
        <w:tc>
          <w:tcPr>
            <w:tcW w:type="dxa" w:w="3748"/>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b/>
                <w:bCs/>
                <w:sz w:val="19"/>
                <w:szCs w:val="19"/>
              </w:rPr>
              <w:t xml:space="preserve">364 ngày</w:t>
            </w:r>
          </w:p>
        </w:tc>
        <w:tc>
          <w:tcPr>
            <w:tcW w:type="dxa" w:w="1874"/>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432</w:t>
            </w:r>
          </w:p>
        </w:tc>
      </w:tr>
      <w:tr>
        <w:trPr>
          <w:cantSplit/>
        </w:trPr>
        <w:tc>
          <w:tcPr>
            <w:tcW w:type="dxa" w:w="2062"/>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2 → 3</w:t>
            </w:r>
          </w:p>
        </w:tc>
        <w:tc>
          <w:tcPr>
            <w:tcW w:type="dxa" w:w="2062"/>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1.967</w:t>
            </w:r>
          </w:p>
        </w:tc>
        <w:tc>
          <w:tcPr>
            <w:tcW w:type="dxa" w:w="3748"/>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b/>
                <w:bCs/>
                <w:sz w:val="19"/>
                <w:szCs w:val="19"/>
              </w:rPr>
              <w:t xml:space="preserve">250 ngày</w:t>
            </w:r>
          </w:p>
        </w:tc>
        <w:tc>
          <w:tcPr>
            <w:tcW w:type="dxa" w:w="1874"/>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309</w:t>
            </w:r>
          </w:p>
        </w:tc>
      </w:tr>
      <w:tr>
        <w:trPr>
          <w:cantSplit/>
        </w:trPr>
        <w:tc>
          <w:tcPr>
            <w:tcW w:type="dxa" w:w="2062"/>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3 → 4</w:t>
            </w:r>
          </w:p>
        </w:tc>
        <w:tc>
          <w:tcPr>
            <w:tcW w:type="dxa" w:w="2062"/>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654</w:t>
            </w:r>
          </w:p>
        </w:tc>
        <w:tc>
          <w:tcPr>
            <w:tcW w:type="dxa" w:w="3748"/>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b/>
                <w:bCs/>
                <w:sz w:val="19"/>
                <w:szCs w:val="19"/>
              </w:rPr>
              <w:t xml:space="preserve">168 ngày</w:t>
            </w:r>
          </w:p>
        </w:tc>
        <w:tc>
          <w:tcPr>
            <w:tcW w:type="dxa" w:w="1874"/>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228</w:t>
            </w:r>
          </w:p>
        </w:tc>
      </w:tr>
      <w:tr>
        <w:trPr>
          <w:cantSplit/>
        </w:trPr>
        <w:tc>
          <w:tcPr>
            <w:tcW w:type="dxa" w:w="2062"/>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4 → 5</w:t>
            </w:r>
          </w:p>
        </w:tc>
        <w:tc>
          <w:tcPr>
            <w:tcW w:type="dxa" w:w="2062"/>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200</w:t>
            </w:r>
          </w:p>
        </w:tc>
        <w:tc>
          <w:tcPr>
            <w:tcW w:type="dxa" w:w="3748"/>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b/>
                <w:bCs/>
                <w:sz w:val="19"/>
                <w:szCs w:val="19"/>
              </w:rPr>
              <w:t xml:space="preserve">133 ngày</w:t>
            </w:r>
          </w:p>
        </w:tc>
        <w:tc>
          <w:tcPr>
            <w:tcW w:type="dxa" w:w="1874"/>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189</w:t>
            </w:r>
          </w:p>
        </w:tc>
      </w:tr>
      <w:tr>
        <w:trPr>
          <w:cantSplit/>
        </w:trPr>
        <w:tc>
          <w:tcPr>
            <w:tcW w:type="dxa" w:w="2062"/>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5 → 6</w:t>
            </w:r>
          </w:p>
        </w:tc>
        <w:tc>
          <w:tcPr>
            <w:tcW w:type="dxa" w:w="2062"/>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43</w:t>
            </w:r>
          </w:p>
        </w:tc>
        <w:tc>
          <w:tcPr>
            <w:tcW w:type="dxa" w:w="3748"/>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149 ngày</w:t>
            </w:r>
          </w:p>
        </w:tc>
        <w:tc>
          <w:tcPr>
            <w:tcW w:type="dxa" w:w="1874"/>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172</w:t>
            </w:r>
          </w:p>
        </w:tc>
      </w:tr>
    </w:tbl>
    <w:p>
      <w:pPr>
        <w:spacing w:after="200"/>
      </w:pPr>
      <w:r>
        <w:rPr>
          <w:sz w:val="8"/>
          <w:szCs w:val="8"/>
        </w:rPr>
        <w:t xml:space="preserve"/>
      </w:r>
    </w:p>
    <w:p>
      <w:pPr>
        <w:pBdr>
          <w:left w:val="single" w:color="C8A020" w:sz="18" w:space="8"/>
        </w:pBdr>
        <w:shd w:fill="FDF3D8" w:color="auto" w:val="clear"/>
        <w:spacing w:after="40" w:before="60" w:line="290"/>
        <w:ind w:left="280" w:right="200"/>
      </w:pPr>
      <w:r>
        <w:rPr>
          <w:rFonts w:ascii="Times New Roman" w:cs="Times New Roman" w:eastAsia="Times New Roman" w:hAnsi="Times New Roman"/>
          <w:b/>
          <w:bCs/>
          <w:sz w:val="21"/>
          <w:szCs w:val="21"/>
        </w:rPr>
        <w:t xml:space="preserve">Phát hiện quan trọng nhất của câu này:</w:t>
      </w:r>
      <w:r>
        <w:rPr>
          <w:rFonts w:ascii="Times New Roman" w:cs="Times New Roman" w:eastAsia="Times New Roman" w:hAnsi="Times New Roman"/>
          <w:sz w:val="21"/>
          <w:szCs w:val="21"/>
        </w:rPr>
        <w:t xml:space="preserve"> mỗi lần khách quay lại, khoảng cách tới lần sau </w:t>
      </w:r>
      <w:r>
        <w:rPr>
          <w:rFonts w:ascii="Times New Roman" w:cs="Times New Roman" w:eastAsia="Times New Roman" w:hAnsi="Times New Roman"/>
          <w:b/>
          <w:bCs/>
          <w:sz w:val="21"/>
          <w:szCs w:val="21"/>
        </w:rPr>
        <w:t xml:space="preserve">rút ngắn khoảng 30%</w:t>
      </w:r>
      <w:r>
        <w:rPr>
          <w:rFonts w:ascii="Times New Roman" w:cs="Times New Roman" w:eastAsia="Times New Roman" w:hAnsi="Times New Roman"/>
          <w:sz w:val="21"/>
          <w:szCs w:val="21"/>
        </w:rPr>
        <w:t xml:space="preserve">. Từ 364 ngày (lần 2) xuống còn 133 ngày (lần 5) — </w:t>
      </w:r>
      <w:r>
        <w:rPr>
          <w:rFonts w:ascii="Times New Roman" w:cs="Times New Roman" w:eastAsia="Times New Roman" w:hAnsi="Times New Roman"/>
          <w:b/>
          <w:bCs/>
          <w:sz w:val="21"/>
          <w:szCs w:val="21"/>
        </w:rPr>
        <w:t xml:space="preserve">nhanh hơn 2,7 lần</w:t>
      </w:r>
      <w:r>
        <w:rPr>
          <w:rFonts w:ascii="Times New Roman" w:cs="Times New Roman" w:eastAsia="Times New Roman" w:hAnsi="Times New Roman"/>
          <w:sz w:val="21"/>
          <w:szCs w:val="21"/>
        </w:rPr>
        <w:t xml:space="preserve">.</w:t>
      </w:r>
    </w:p>
    <w:p>
      <w:pPr>
        <w:pBdr>
          <w:left w:val="single" w:color="C8A020" w:sz="18" w:space="8"/>
        </w:pBdr>
        <w:shd w:fill="FDF3D8" w:color="auto" w:val="clear"/>
        <w:spacing w:after="60" w:before="40" w:line="290"/>
        <w:ind w:left="280" w:right="200"/>
      </w:pPr>
      <w:r>
        <w:rPr>
          <w:rFonts w:ascii="Times New Roman" w:cs="Times New Roman" w:eastAsia="Times New Roman" w:hAnsi="Times New Roman"/>
          <w:b/>
          <w:bCs/>
          <w:sz w:val="21"/>
          <w:szCs w:val="21"/>
        </w:rPr>
        <w:t xml:space="preserve">Hàm ý chiến lược:</w:t>
      </w:r>
      <w:r>
        <w:rPr>
          <w:rFonts w:ascii="Times New Roman" w:cs="Times New Roman" w:eastAsia="Times New Roman" w:hAnsi="Times New Roman"/>
          <w:sz w:val="21"/>
          <w:szCs w:val="21"/>
        </w:rPr>
        <w:t xml:space="preserve"> rào cản lớn nhất nằm ở </w:t>
      </w:r>
      <w:r>
        <w:rPr>
          <w:rFonts w:ascii="Times New Roman" w:cs="Times New Roman" w:eastAsia="Times New Roman" w:hAnsi="Times New Roman"/>
          <w:b/>
          <w:bCs/>
          <w:sz w:val="21"/>
          <w:szCs w:val="21"/>
        </w:rPr>
        <w:t xml:space="preserve">đơn hàng thứ hai</w:t>
      </w:r>
      <w:r>
        <w:rPr>
          <w:rFonts w:ascii="Times New Roman" w:cs="Times New Roman" w:eastAsia="Times New Roman" w:hAnsi="Times New Roman"/>
          <w:sz w:val="21"/>
          <w:szCs w:val="21"/>
        </w:rPr>
        <w:t xml:space="preserve">. Nếu đưa được khách qua mốc đó, hành vi mua sẽ tự tăng tốc. Ngân sách giữ chân nên dồn gần như toàn bộ vào cửa sổ </w:t>
      </w:r>
      <w:r>
        <w:rPr>
          <w:rFonts w:ascii="Times New Roman" w:cs="Times New Roman" w:eastAsia="Times New Roman" w:hAnsi="Times New Roman"/>
          <w:b/>
          <w:bCs/>
          <w:sz w:val="21"/>
          <w:szCs w:val="21"/>
        </w:rPr>
        <w:t xml:space="preserve">0–12 tháng sau đơn đầu tiên</w:t>
      </w:r>
      <w:r>
        <w:rPr>
          <w:rFonts w:ascii="Times New Roman" w:cs="Times New Roman" w:eastAsia="Times New Roman" w:hAnsi="Times New Roman"/>
          <w:sz w:val="21"/>
          <w:szCs w:val="21"/>
        </w:rPr>
        <w:t xml:space="preserve">, không rải đều cho mọi khách hàng.</w:t>
      </w:r>
    </w:p>
    <w:p>
      <w:pPr>
        <w:spacing w:after="160"/>
      </w:pPr>
      <w:r>
        <w:rPr>
          <w:sz w:val="8"/>
          <w:szCs w:val="8"/>
        </w:rPr>
        <w:t xml:space="preserve"/>
      </w:r>
    </w:p>
    <w:p>
      <w:pPr>
        <w:pStyle w:val="Heading2"/>
        <w:spacing w:after="120" w:before="260"/>
      </w:pPr>
      <w:r>
        <w:rPr>
          <w:rFonts w:ascii="Times New Roman" w:cs="Times New Roman" w:eastAsia="Times New Roman" w:hAnsi="Times New Roman"/>
          <w:b/>
          <w:bCs/>
          <w:color w:val="2E5C9A"/>
          <w:sz w:val="25"/>
          <w:szCs w:val="25"/>
        </w:rPr>
        <w:t xml:space="preserve">9.5. Khách quay lại có giá trị gấp 2,75 lần</w:t>
      </w:r>
    </w:p>
    <w:tbl>
      <w:tblPr>
        <w:tblW w:type="dxa" w:w="9746"/>
        <w:tblBorders>
          <w:top w:val="single" w:color="A6B4CC" w:sz="3"/>
          <w:left w:val="single" w:color="A6B4CC" w:sz="3"/>
          <w:bottom w:val="single" w:color="A6B4CC" w:sz="3"/>
          <w:right w:val="single" w:color="A6B4CC" w:sz="3"/>
          <w:insideH w:val="single" w:color="A6B4CC" w:sz="3"/>
          <w:insideV w:val="single" w:color="A6B4CC" w:sz="3"/>
        </w:tblBorders>
      </w:tblPr>
      <w:tblGrid>
        <w:gridCol w:w="1655"/>
        <w:gridCol w:w="1103"/>
        <w:gridCol w:w="919"/>
        <w:gridCol w:w="2023"/>
        <w:gridCol w:w="2391"/>
        <w:gridCol w:w="1655"/>
      </w:tblGrid>
      <w:tr>
        <w:trPr>
          <w:tblHeader/>
        </w:trPr>
        <w:tc>
          <w:tcPr>
            <w:tcW w:type="dxa" w:w="1655"/>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Nhóm</w:t>
            </w:r>
          </w:p>
        </w:tc>
        <w:tc>
          <w:tcPr>
            <w:tcW w:type="dxa" w:w="1103"/>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Số KH</w:t>
            </w:r>
          </w:p>
        </w:tc>
        <w:tc>
          <w:tcPr>
            <w:tcW w:type="dxa" w:w="919"/>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 KH</w:t>
            </w:r>
          </w:p>
        </w:tc>
        <w:tc>
          <w:tcPr>
            <w:tcW w:type="dxa" w:w="2023"/>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 Doanh thu</w:t>
            </w:r>
          </w:p>
        </w:tc>
        <w:tc>
          <w:tcPr>
            <w:tcW w:type="dxa" w:w="2391"/>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Giá trị TB/KH</w:t>
            </w:r>
          </w:p>
        </w:tc>
        <w:tc>
          <w:tcPr>
            <w:tcW w:type="dxa" w:w="1655"/>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Số đơn TB</w:t>
            </w:r>
          </w:p>
        </w:tc>
      </w:tr>
      <w:tr>
        <w:trPr>
          <w:cantSplit/>
        </w:trPr>
        <w:tc>
          <w:tcPr>
            <w:tcW w:type="dxa" w:w="1655"/>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Mua 1 lần</w:t>
            </w:r>
          </w:p>
        </w:tc>
        <w:tc>
          <w:tcPr>
            <w:tcW w:type="dxa" w:w="1103"/>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11.981</w:t>
            </w:r>
          </w:p>
        </w:tc>
        <w:tc>
          <w:tcPr>
            <w:tcW w:type="dxa" w:w="919"/>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68,8%</w:t>
            </w:r>
          </w:p>
        </w:tc>
        <w:tc>
          <w:tcPr>
            <w:tcW w:type="dxa" w:w="2023"/>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44,5%</w:t>
            </w:r>
          </w:p>
        </w:tc>
        <w:tc>
          <w:tcPr>
            <w:tcW w:type="dxa" w:w="2391"/>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469</w:t>
            </w:r>
          </w:p>
        </w:tc>
        <w:tc>
          <w:tcPr>
            <w:tcW w:type="dxa" w:w="1655"/>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1,0</w:t>
            </w:r>
          </w:p>
        </w:tc>
      </w:tr>
      <w:tr>
        <w:trPr>
          <w:cantSplit/>
        </w:trPr>
        <w:tc>
          <w:tcPr>
            <w:tcW w:type="dxa" w:w="1655"/>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b/>
                <w:bCs/>
                <w:sz w:val="19"/>
                <w:szCs w:val="19"/>
              </w:rPr>
              <w:t xml:space="preserve">Quay lại</w:t>
            </w:r>
          </w:p>
        </w:tc>
        <w:tc>
          <w:tcPr>
            <w:tcW w:type="dxa" w:w="1103"/>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5.433</w:t>
            </w:r>
          </w:p>
        </w:tc>
        <w:tc>
          <w:tcPr>
            <w:tcW w:type="dxa" w:w="919"/>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sz w:val="19"/>
                <w:szCs w:val="19"/>
              </w:rPr>
              <w:t xml:space="preserve">31,2%</w:t>
            </w:r>
          </w:p>
        </w:tc>
        <w:tc>
          <w:tcPr>
            <w:tcW w:type="dxa" w:w="2023"/>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sz w:val="19"/>
                <w:szCs w:val="19"/>
              </w:rPr>
              <w:t xml:space="preserve">55,5%</w:t>
            </w:r>
          </w:p>
        </w:tc>
        <w:tc>
          <w:tcPr>
            <w:tcW w:type="dxa" w:w="2391"/>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sz w:val="19"/>
                <w:szCs w:val="19"/>
              </w:rPr>
              <w:t xml:space="preserve">1.292</w:t>
            </w:r>
          </w:p>
        </w:tc>
        <w:tc>
          <w:tcPr>
            <w:tcW w:type="dxa" w:w="1655"/>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2,5</w:t>
            </w:r>
          </w:p>
        </w:tc>
      </w:tr>
    </w:tbl>
    <w:p>
      <w:pPr>
        <w:spacing w:after="200"/>
      </w:pPr>
      <w:r>
        <w:rPr>
          <w:sz w:val="8"/>
          <w:szCs w:val="8"/>
        </w:rPr>
        <w:t xml:space="preserve"/>
      </w:r>
    </w:p>
    <w:p>
      <w:pPr>
        <w:pBdr>
          <w:left w:val="single" w:color="C8A020" w:sz="18" w:space="8"/>
        </w:pBdr>
        <w:shd w:fill="FDF3D8" w:color="auto" w:val="clear"/>
        <w:spacing w:after="40" w:before="60" w:line="290"/>
        <w:ind w:left="280" w:right="200"/>
      </w:pPr>
      <w:r>
        <w:rPr>
          <w:rFonts w:ascii="Times New Roman" w:cs="Times New Roman" w:eastAsia="Times New Roman" w:hAnsi="Times New Roman"/>
          <w:b/>
          <w:bCs/>
          <w:sz w:val="21"/>
          <w:szCs w:val="21"/>
        </w:rPr>
        <w:t xml:space="preserve">31,2% khách hàng tạo ra 55,5% doanh thu.</w:t>
      </w:r>
      <w:r>
        <w:rPr>
          <w:rFonts w:ascii="Times New Roman" w:cs="Times New Roman" w:eastAsia="Times New Roman" w:hAnsi="Times New Roman"/>
          <w:sz w:val="21"/>
          <w:szCs w:val="21"/>
        </w:rPr>
        <w:t xml:space="preserve"> Mỗi khách quay lại đáng giá 1.292 so với 469 của khách một lần.</w:t>
      </w:r>
    </w:p>
    <w:p>
      <w:pPr>
        <w:pBdr>
          <w:left w:val="single" w:color="C8A020" w:sz="18" w:space="8"/>
        </w:pBdr>
        <w:shd w:fill="FDF3D8" w:color="auto" w:val="clear"/>
        <w:spacing w:after="60" w:before="40" w:line="290"/>
        <w:ind w:left="280" w:right="200"/>
      </w:pPr>
      <w:r>
        <w:rPr>
          <w:rFonts w:ascii="Times New Roman" w:cs="Times New Roman" w:eastAsia="Times New Roman" w:hAnsi="Times New Roman"/>
          <w:sz w:val="21"/>
          <w:szCs w:val="21"/>
        </w:rPr>
        <w:t xml:space="preserve">Ước tính tác động: nếu nâng tỷ lệ quay lại từ 31,2% lên 40% (thêm ~1.530 khách), doanh thu tăng thêm khoảng </w:t>
      </w:r>
      <w:r>
        <w:rPr>
          <w:rFonts w:ascii="Times New Roman" w:cs="Times New Roman" w:eastAsia="Times New Roman" w:hAnsi="Times New Roman"/>
          <w:b/>
          <w:bCs/>
          <w:sz w:val="21"/>
          <w:szCs w:val="21"/>
        </w:rPr>
        <w:t xml:space="preserve">1,26 triệu</w:t>
      </w:r>
      <w:r>
        <w:rPr>
          <w:rFonts w:ascii="Times New Roman" w:cs="Times New Roman" w:eastAsia="Times New Roman" w:hAnsi="Times New Roman"/>
          <w:sz w:val="21"/>
          <w:szCs w:val="21"/>
        </w:rPr>
        <w:t xml:space="preserve"> — tương đương 10% tổng doanh thu 4 năm.</w:t>
      </w:r>
    </w:p>
    <w:p>
      <w:pPr>
        <w:spacing w:after="160"/>
      </w:pPr>
      <w:r>
        <w:rPr>
          <w:sz w:val="8"/>
          <w:szCs w:val="8"/>
        </w:rPr>
        <w:t xml:space="preserve"/>
      </w:r>
    </w:p>
    <w:p>
      <w:pPr>
        <w:pStyle w:val="Heading2"/>
        <w:spacing w:after="120" w:before="260"/>
      </w:pPr>
      <w:r>
        <w:rPr>
          <w:rFonts w:ascii="Times New Roman" w:cs="Times New Roman" w:eastAsia="Times New Roman" w:hAnsi="Times New Roman"/>
          <w:b/>
          <w:bCs/>
          <w:color w:val="2E5C9A"/>
          <w:sz w:val="25"/>
          <w:szCs w:val="25"/>
        </w:rPr>
        <w:t xml:space="preserve">9.6. Chênh lệch cực lớn giữa các thị trường</w:t>
      </w:r>
    </w:p>
    <w:tbl>
      <w:tblPr>
        <w:tblW w:type="dxa" w:w="9746"/>
        <w:tblBorders>
          <w:top w:val="single" w:color="A6B4CC" w:sz="3"/>
          <w:left w:val="single" w:color="A6B4CC" w:sz="3"/>
          <w:bottom w:val="single" w:color="A6B4CC" w:sz="3"/>
          <w:right w:val="single" w:color="A6B4CC" w:sz="3"/>
          <w:insideH w:val="single" w:color="A6B4CC" w:sz="3"/>
          <w:insideV w:val="single" w:color="A6B4CC" w:sz="3"/>
        </w:tblBorders>
      </w:tblPr>
      <w:tblGrid>
        <w:gridCol w:w="2924"/>
        <w:gridCol w:w="1218"/>
        <w:gridCol w:w="2437"/>
        <w:gridCol w:w="3167"/>
      </w:tblGrid>
      <w:tr>
        <w:trPr>
          <w:tblHeader/>
        </w:trPr>
        <w:tc>
          <w:tcPr>
            <w:tcW w:type="dxa" w:w="2924"/>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Market</w:t>
            </w:r>
          </w:p>
        </w:tc>
        <w:tc>
          <w:tcPr>
            <w:tcW w:type="dxa" w:w="1218"/>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Số KH</w:t>
            </w:r>
          </w:p>
        </w:tc>
        <w:tc>
          <w:tcPr>
            <w:tcW w:type="dxa" w:w="2437"/>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 quay lại</w:t>
            </w:r>
          </w:p>
        </w:tc>
        <w:tc>
          <w:tcPr>
            <w:tcW w:type="dxa" w:w="3167"/>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Giá trị TB/KH</w:t>
            </w:r>
          </w:p>
        </w:tc>
      </w:tr>
      <w:tr>
        <w:trPr>
          <w:cantSplit/>
        </w:trPr>
        <w:tc>
          <w:tcPr>
            <w:tcW w:type="dxa" w:w="2924"/>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b/>
                <w:bCs/>
                <w:sz w:val="19"/>
                <w:szCs w:val="19"/>
              </w:rPr>
              <w:t xml:space="preserve">USCA</w:t>
            </w:r>
          </w:p>
        </w:tc>
        <w:tc>
          <w:tcPr>
            <w:tcW w:type="dxa" w:w="1218"/>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2.681</w:t>
            </w:r>
          </w:p>
        </w:tc>
        <w:tc>
          <w:tcPr>
            <w:tcW w:type="dxa" w:w="2437"/>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sz w:val="19"/>
                <w:szCs w:val="19"/>
              </w:rPr>
              <w:t xml:space="preserve">55,1%</w:t>
            </w:r>
          </w:p>
        </w:tc>
        <w:tc>
          <w:tcPr>
            <w:tcW w:type="dxa" w:w="3167"/>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882</w:t>
            </w:r>
          </w:p>
        </w:tc>
      </w:tr>
      <w:tr>
        <w:trPr>
          <w:cantSplit/>
        </w:trPr>
        <w:tc>
          <w:tcPr>
            <w:tcW w:type="dxa" w:w="2924"/>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Europe</w:t>
            </w:r>
          </w:p>
        </w:tc>
        <w:tc>
          <w:tcPr>
            <w:tcW w:type="dxa" w:w="1218"/>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4.035</w:t>
            </w:r>
          </w:p>
        </w:tc>
        <w:tc>
          <w:tcPr>
            <w:tcW w:type="dxa" w:w="2437"/>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31,9%</w:t>
            </w:r>
          </w:p>
        </w:tc>
        <w:tc>
          <w:tcPr>
            <w:tcW w:type="dxa" w:w="3167"/>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815</w:t>
            </w:r>
          </w:p>
        </w:tc>
      </w:tr>
      <w:tr>
        <w:trPr>
          <w:cantSplit/>
        </w:trPr>
        <w:tc>
          <w:tcPr>
            <w:tcW w:type="dxa" w:w="2924"/>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Asia Pacific</w:t>
            </w:r>
          </w:p>
        </w:tc>
        <w:tc>
          <w:tcPr>
            <w:tcW w:type="dxa" w:w="1218"/>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4.941</w:t>
            </w:r>
          </w:p>
        </w:tc>
        <w:tc>
          <w:tcPr>
            <w:tcW w:type="dxa" w:w="2437"/>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29,3%</w:t>
            </w:r>
          </w:p>
        </w:tc>
        <w:tc>
          <w:tcPr>
            <w:tcW w:type="dxa" w:w="3167"/>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818</w:t>
            </w:r>
          </w:p>
        </w:tc>
      </w:tr>
      <w:tr>
        <w:trPr>
          <w:cantSplit/>
        </w:trPr>
        <w:tc>
          <w:tcPr>
            <w:tcW w:type="dxa" w:w="2924"/>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LATAM</w:t>
            </w:r>
          </w:p>
        </w:tc>
        <w:tc>
          <w:tcPr>
            <w:tcW w:type="dxa" w:w="1218"/>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3.702</w:t>
            </w:r>
          </w:p>
        </w:tc>
        <w:tc>
          <w:tcPr>
            <w:tcW w:type="dxa" w:w="2437"/>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27,3%</w:t>
            </w:r>
          </w:p>
        </w:tc>
        <w:tc>
          <w:tcPr>
            <w:tcW w:type="dxa" w:w="3167"/>
            <w:shd w:fill="F2F5FA"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585</w:t>
            </w:r>
          </w:p>
        </w:tc>
      </w:tr>
      <w:tr>
        <w:trPr>
          <w:cantSplit/>
        </w:trPr>
        <w:tc>
          <w:tcPr>
            <w:tcW w:type="dxa" w:w="2924"/>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b/>
                <w:bCs/>
                <w:sz w:val="19"/>
                <w:szCs w:val="19"/>
              </w:rPr>
              <w:t xml:space="preserve">Africa</w:t>
            </w:r>
          </w:p>
        </w:tc>
        <w:tc>
          <w:tcPr>
            <w:tcW w:type="dxa" w:w="1218"/>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2.055</w:t>
            </w:r>
          </w:p>
        </w:tc>
        <w:tc>
          <w:tcPr>
            <w:tcW w:type="dxa" w:w="2437"/>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sz w:val="19"/>
                <w:szCs w:val="19"/>
              </w:rPr>
              <w:t xml:space="preserve">10,2%</w:t>
            </w:r>
          </w:p>
        </w:tc>
        <w:tc>
          <w:tcPr>
            <w:tcW w:type="dxa" w:w="3167"/>
            <w:shd w:fill="FFFFFF"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sz w:val="19"/>
                <w:szCs w:val="19"/>
              </w:rPr>
              <w:t xml:space="preserve">381</w:t>
            </w:r>
          </w:p>
        </w:tc>
      </w:tr>
    </w:tbl>
    <w:p>
      <w:pPr>
        <w:spacing w:after="200"/>
      </w:pPr>
      <w:r>
        <w:rPr>
          <w:sz w:val="8"/>
          <w:szCs w:val="8"/>
        </w:rPr>
        <w:t xml:space="preserve"/>
      </w:r>
    </w:p>
    <w:p>
      <w:pPr>
        <w:pBdr>
          <w:left w:val="single" w:color="C8A020" w:sz="18" w:space="8"/>
        </w:pBdr>
        <w:shd w:fill="FDF3D8" w:color="auto" w:val="clear"/>
        <w:spacing w:after="40" w:before="60" w:line="290"/>
        <w:ind w:left="280" w:right="200"/>
      </w:pPr>
      <w:r>
        <w:rPr>
          <w:rFonts w:ascii="Times New Roman" w:cs="Times New Roman" w:eastAsia="Times New Roman" w:hAnsi="Times New Roman"/>
          <w:b/>
          <w:bCs/>
          <w:sz w:val="21"/>
          <w:szCs w:val="21"/>
        </w:rPr>
        <w:t xml:space="preserve">USCA giữ chân khách gấp 5,4 lần Africa.</w:t>
      </w:r>
      <w:r>
        <w:rPr>
          <w:rFonts w:ascii="Times New Roman" w:cs="Times New Roman" w:eastAsia="Times New Roman" w:hAnsi="Times New Roman"/>
          <w:sz w:val="21"/>
          <w:szCs w:val="21"/>
        </w:rPr>
        <w:t xml:space="preserve"> Điều này giải thích nghịch lý ở câu 1 và câu 4: USCA có AOV thấp nhất (454) và tăng trưởng chậm nhất (+54%), nhưng lại là thị trường </w:t>
      </w:r>
      <w:r>
        <w:rPr>
          <w:rFonts w:ascii="Times New Roman" w:cs="Times New Roman" w:eastAsia="Times New Roman" w:hAnsi="Times New Roman"/>
          <w:b/>
          <w:bCs/>
          <w:sz w:val="21"/>
          <w:szCs w:val="21"/>
        </w:rPr>
        <w:t xml:space="preserve">trưởng thành</w:t>
      </w:r>
      <w:r>
        <w:rPr>
          <w:rFonts w:ascii="Times New Roman" w:cs="Times New Roman" w:eastAsia="Times New Roman" w:hAnsi="Times New Roman"/>
          <w:sz w:val="21"/>
          <w:szCs w:val="21"/>
        </w:rPr>
        <w:t xml:space="preserve"> — doanh thu đến từ tập khách hàng trung thành đã có, không phải từ việc liên tục săn khách mới.</w:t>
      </w:r>
    </w:p>
    <w:p>
      <w:pPr>
        <w:pBdr>
          <w:left w:val="single" w:color="C8A020" w:sz="18" w:space="8"/>
        </w:pBdr>
        <w:shd w:fill="FDF3D8" w:color="auto" w:val="clear"/>
        <w:spacing w:after="60" w:before="40" w:line="290"/>
        <w:ind w:left="280" w:right="200"/>
      </w:pPr>
      <w:r>
        <w:rPr>
          <w:rFonts w:ascii="Times New Roman" w:cs="Times New Roman" w:eastAsia="Times New Roman" w:hAnsi="Times New Roman"/>
          <w:sz w:val="21"/>
          <w:szCs w:val="21"/>
        </w:rPr>
        <w:t xml:space="preserve">Ngược lại, tăng trưởng +123% của Africa được xây trên nền khách hàng gần như </w:t>
      </w:r>
      <w:r>
        <w:rPr>
          <w:rFonts w:ascii="Times New Roman" w:cs="Times New Roman" w:eastAsia="Times New Roman" w:hAnsi="Times New Roman"/>
          <w:b/>
          <w:bCs/>
          <w:sz w:val="21"/>
          <w:szCs w:val="21"/>
        </w:rPr>
        <w:t xml:space="preserve">không quay lại</w:t>
      </w:r>
      <w:r>
        <w:rPr>
          <w:rFonts w:ascii="Times New Roman" w:cs="Times New Roman" w:eastAsia="Times New Roman" w:hAnsi="Times New Roman"/>
          <w:sz w:val="21"/>
          <w:szCs w:val="21"/>
        </w:rPr>
        <w:t xml:space="preserve"> (10,2%) — tăng trưởng này </w:t>
      </w:r>
      <w:r>
        <w:rPr>
          <w:rFonts w:ascii="Times New Roman" w:cs="Times New Roman" w:eastAsia="Times New Roman" w:hAnsi="Times New Roman"/>
          <w:b/>
          <w:bCs/>
          <w:sz w:val="21"/>
          <w:szCs w:val="21"/>
        </w:rPr>
        <w:t xml:space="preserve">không bền vững</w:t>
      </w:r>
      <w:r>
        <w:rPr>
          <w:rFonts w:ascii="Times New Roman" w:cs="Times New Roman" w:eastAsia="Times New Roman" w:hAnsi="Times New Roman"/>
          <w:sz w:val="21"/>
          <w:szCs w:val="21"/>
        </w:rPr>
        <w:t xml:space="preserve"> nếu chi phí thu hút khách mới tăng lên.</w:t>
      </w:r>
    </w:p>
    <w:p>
      <w:pPr>
        <w:spacing w:after="160"/>
      </w:pPr>
      <w:r>
        <w:rPr>
          <w:sz w:val="8"/>
          <w:szCs w:val="8"/>
        </w:rPr>
        <w:t xml:space="preserve"/>
      </w:r>
    </w:p>
    <w:p>
      <w:pPr>
        <w:spacing w:after="120" w:before="60" w:line="300"/>
        <w:jc w:val="both"/>
      </w:pPr>
      <w:r>
        <w:rPr>
          <w:rFonts w:ascii="Times New Roman" w:cs="Times New Roman" w:eastAsia="Times New Roman" w:hAnsi="Times New Roman"/>
          <w:sz w:val="22"/>
          <w:szCs w:val="22"/>
        </w:rPr>
        <w:t xml:space="preserve">Theo phân khúc: Consumer 31,5% · Home Office 31,4% · Corporate 30,6% → </w:t>
      </w:r>
      <w:r>
        <w:rPr>
          <w:rFonts w:ascii="Times New Roman" w:cs="Times New Roman" w:eastAsia="Times New Roman" w:hAnsi="Times New Roman"/>
          <w:b/>
          <w:bCs/>
          <w:sz w:val="22"/>
          <w:szCs w:val="22"/>
        </w:rPr>
        <w:t xml:space="preserve">không khác biệt</w:t>
      </w:r>
      <w:r>
        <w:rPr>
          <w:rFonts w:ascii="Times New Roman" w:cs="Times New Roman" w:eastAsia="Times New Roman" w:hAnsi="Times New Roman"/>
          <w:sz w:val="22"/>
          <w:szCs w:val="22"/>
        </w:rPr>
        <w:t xml:space="preserve">, tiếp tục khẳng định Segment không phải biến hữu ích trong bộ dữ liệu này.</w:t>
      </w:r>
    </w:p>
    <w:p>
      <w:pPr>
        <w:pStyle w:val="Heading2"/>
        <w:spacing w:after="120" w:before="260"/>
      </w:pPr>
      <w:r>
        <w:rPr>
          <w:rFonts w:ascii="Times New Roman" w:cs="Times New Roman" w:eastAsia="Times New Roman" w:hAnsi="Times New Roman"/>
          <w:b/>
          <w:bCs/>
          <w:color w:val="2E5C9A"/>
          <w:sz w:val="25"/>
          <w:szCs w:val="25"/>
        </w:rPr>
        <w:t xml:space="preserve">9.7. Khuyến nghị</w:t>
      </w:r>
    </w:p>
    <w:p>
      <w:pPr>
        <w:pStyle w:val="ListParagraph"/>
        <w:numPr>
          <w:ilvl w:val="0"/>
          <w:numId w:val="3"/>
        </w:numPr>
        <w:spacing w:after="40" w:before="40" w:line="300"/>
      </w:pPr>
      <w:r>
        <w:rPr>
          <w:rFonts w:ascii="Times New Roman" w:cs="Times New Roman" w:eastAsia="Times New Roman" w:hAnsi="Times New Roman"/>
          <w:b/>
          <w:bCs/>
          <w:sz w:val="22"/>
          <w:szCs w:val="22"/>
        </w:rPr>
        <w:t xml:space="preserve">Chiến dịch "đơn hàng thứ hai"</w:t>
      </w:r>
      <w:r>
        <w:rPr>
          <w:rFonts w:ascii="Times New Roman" w:cs="Times New Roman" w:eastAsia="Times New Roman" w:hAnsi="Times New Roman"/>
          <w:sz w:val="22"/>
          <w:szCs w:val="22"/>
        </w:rPr>
        <w:t xml:space="preserve"> — tập trung toàn bộ vào 0–6 tháng sau đơn đầu, vì đây là nút thắt duy nhất có đòn bẩy cao (qua được mốc này, chu kỳ tự rút ngắn 30% mỗi lần).</w:t>
      </w:r>
    </w:p>
    <w:p>
      <w:pPr>
        <w:pStyle w:val="ListParagraph"/>
        <w:numPr>
          <w:ilvl w:val="0"/>
          <w:numId w:val="3"/>
        </w:numPr>
        <w:spacing w:after="40" w:before="40" w:line="300"/>
      </w:pPr>
      <w:r>
        <w:rPr>
          <w:rFonts w:ascii="Times New Roman" w:cs="Times New Roman" w:eastAsia="Times New Roman" w:hAnsi="Times New Roman"/>
          <w:b/>
          <w:bCs/>
          <w:sz w:val="22"/>
          <w:szCs w:val="22"/>
        </w:rPr>
        <w:t xml:space="preserve">Thiết lập cảnh báo ngủ đông ở mốc 127 ngày</w:t>
      </w:r>
      <w:r>
        <w:rPr>
          <w:rFonts w:ascii="Times New Roman" w:cs="Times New Roman" w:eastAsia="Times New Roman" w:hAnsi="Times New Roman"/>
          <w:sz w:val="22"/>
          <w:szCs w:val="22"/>
        </w:rPr>
        <w:t xml:space="preserve"> (phân vị 25% của khoảng cách mua lại) — khách vượt mốc này mà chưa quay lại là đang lệch khỏi quỹ đạo bình thường.</w:t>
      </w:r>
    </w:p>
    <w:p>
      <w:pPr>
        <w:pStyle w:val="ListParagraph"/>
        <w:numPr>
          <w:ilvl w:val="0"/>
          <w:numId w:val="3"/>
        </w:numPr>
        <w:spacing w:after="40" w:before="40" w:line="300"/>
      </w:pPr>
      <w:r>
        <w:rPr>
          <w:rFonts w:ascii="Times New Roman" w:cs="Times New Roman" w:eastAsia="Times New Roman" w:hAnsi="Times New Roman"/>
          <w:b/>
          <w:bCs/>
          <w:sz w:val="22"/>
          <w:szCs w:val="22"/>
        </w:rPr>
        <w:t xml:space="preserve">Khai thác danh mục tiêu hao để tạo nhịp mua định kỳ</w:t>
      </w:r>
      <w:r>
        <w:rPr>
          <w:rFonts w:ascii="Times New Roman" w:cs="Times New Roman" w:eastAsia="Times New Roman" w:hAnsi="Times New Roman"/>
          <w:sz w:val="22"/>
          <w:szCs w:val="22"/>
        </w:rPr>
        <w:t xml:space="preserve"> — Binders, Paper, Art, Labels xuất hiện trong 9–21% số đơn nhưng tỷ lệ mua lại 30 ngày chỉ 1,5%. Đăng ký định kỳ hoặc nhắc bổ sung hàng là đòn bẩy trực tiếp.</w:t>
      </w:r>
    </w:p>
    <w:p>
      <w:pPr>
        <w:pStyle w:val="ListParagraph"/>
        <w:numPr>
          <w:ilvl w:val="0"/>
          <w:numId w:val="3"/>
        </w:numPr>
        <w:spacing w:after="40" w:before="40" w:line="300"/>
      </w:pPr>
      <w:r>
        <w:rPr>
          <w:rFonts w:ascii="Times New Roman" w:cs="Times New Roman" w:eastAsia="Times New Roman" w:hAnsi="Times New Roman"/>
          <w:b/>
          <w:bCs/>
          <w:sz w:val="22"/>
          <w:szCs w:val="22"/>
        </w:rPr>
        <w:t xml:space="preserve">Nhân rộng mô hình vận hành của USCA sang Europe và APAC</w:t>
      </w:r>
      <w:r>
        <w:rPr>
          <w:rFonts w:ascii="Times New Roman" w:cs="Times New Roman" w:eastAsia="Times New Roman" w:hAnsi="Times New Roman"/>
          <w:sz w:val="22"/>
          <w:szCs w:val="22"/>
        </w:rPr>
        <w:t xml:space="preserve"> — hai thị trường này có giá trị khách hàng tương đương USCA (815–818 so với 882) nhưng tỷ lệ quay lại chỉ bằng một nửa. Dư địa ở đây lớn hơn ở Africa.</w:t>
      </w:r>
    </w:p>
    <w:p>
      <w:r>
        <w:br w:type="page"/>
      </w:r>
    </w:p>
    <w:p>
      <w:pPr>
        <w:pStyle w:val="Heading1"/>
        <w:pBdr>
          <w:bottom w:val="single" w:color="1F3864" w:sz="12" w:space="6"/>
        </w:pBdr>
        <w:spacing w:after="160" w:before="160"/>
      </w:pPr>
      <w:r>
        <w:rPr>
          <w:rFonts w:ascii="Times New Roman" w:cs="Times New Roman" w:eastAsia="Times New Roman" w:hAnsi="Times New Roman"/>
          <w:b/>
          <w:bCs/>
          <w:color w:val="1F3864"/>
          <w:sz w:val="30"/>
          <w:szCs w:val="30"/>
        </w:rPr>
        <w:t xml:space="preserve">TỔNG KẾT — 6 PHÁT HIỆN CỐT LÕI</w:t>
      </w:r>
    </w:p>
    <w:tbl>
      <w:tblPr>
        <w:tblW w:type="dxa" w:w="9746"/>
        <w:tblBorders>
          <w:top w:val="single" w:color="A6B4CC" w:sz="3"/>
          <w:left w:val="single" w:color="A6B4CC" w:sz="3"/>
          <w:bottom w:val="single" w:color="A6B4CC" w:sz="3"/>
          <w:right w:val="single" w:color="A6B4CC" w:sz="3"/>
          <w:insideH w:val="single" w:color="A6B4CC" w:sz="3"/>
          <w:insideV w:val="single" w:color="A6B4CC" w:sz="3"/>
        </w:tblBorders>
      </w:tblPr>
      <w:tblGrid>
        <w:gridCol w:w="406"/>
        <w:gridCol w:w="4670"/>
        <w:gridCol w:w="4670"/>
      </w:tblGrid>
      <w:tr>
        <w:trPr>
          <w:tblHeader/>
        </w:trPr>
        <w:tc>
          <w:tcPr>
            <w:tcW w:type="dxa" w:w="406"/>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w:t>
            </w:r>
          </w:p>
        </w:tc>
        <w:tc>
          <w:tcPr>
            <w:tcW w:type="dxa" w:w="4670"/>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Phát hiện</w:t>
            </w:r>
          </w:p>
        </w:tc>
        <w:tc>
          <w:tcPr>
            <w:tcW w:type="dxa" w:w="4670"/>
            <w:shd w:fill="1F3864" w:color="auto" w:val="clear"/>
            <w:tcMar>
              <w:top w:type="dxa" w:w="60"/>
              <w:left w:type="dxa" w:w="110"/>
              <w:bottom w:type="dxa" w:w="60"/>
              <w:right w:type="dxa" w:w="110"/>
            </w:tcMar>
          </w:tcPr>
          <w:p>
            <w:pPr>
              <w:spacing w:after="20" w:before="20"/>
              <w:jc w:val="center"/>
            </w:pPr>
            <w:r>
              <w:rPr>
                <w:rFonts w:ascii="Times New Roman" w:cs="Times New Roman" w:eastAsia="Times New Roman" w:hAnsi="Times New Roman"/>
                <w:b/>
                <w:bCs/>
                <w:color w:val="FFFFFF"/>
                <w:sz w:val="19"/>
                <w:szCs w:val="19"/>
              </w:rPr>
              <w:t xml:space="preserve">Bằng chứng</w:t>
            </w:r>
          </w:p>
        </w:tc>
      </w:tr>
      <w:tr>
        <w:trPr>
          <w:cantSplit/>
        </w:trPr>
        <w:tc>
          <w:tcPr>
            <w:tcW w:type="dxa" w:w="406"/>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1</w:t>
            </w:r>
          </w:p>
        </w:tc>
        <w:tc>
          <w:tcPr>
            <w:tcW w:type="dxa" w:w="4670"/>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Doanh thu tập trung ở cấp </w:t>
            </w:r>
            <w:r>
              <w:rPr>
                <w:rFonts w:ascii="Times New Roman" w:cs="Times New Roman" w:eastAsia="Times New Roman" w:hAnsi="Times New Roman"/>
                <w:b/>
                <w:bCs/>
                <w:sz w:val="19"/>
                <w:szCs w:val="19"/>
              </w:rPr>
              <w:t xml:space="preserve">quốc gia</w:t>
            </w:r>
            <w:r>
              <w:rPr>
                <w:rFonts w:ascii="Times New Roman" w:cs="Times New Roman" w:eastAsia="Times New Roman" w:hAnsi="Times New Roman"/>
                <w:sz w:val="19"/>
                <w:szCs w:val="19"/>
              </w:rPr>
              <w:t xml:space="preserve"> nhưng phân tán ở cấp </w:t>
            </w:r>
            <w:r>
              <w:rPr>
                <w:rFonts w:ascii="Times New Roman" w:cs="Times New Roman" w:eastAsia="Times New Roman" w:hAnsi="Times New Roman"/>
                <w:b/>
                <w:bCs/>
                <w:sz w:val="19"/>
                <w:szCs w:val="19"/>
              </w:rPr>
              <w:t xml:space="preserve">thành phố</w:t>
            </w:r>
          </w:p>
        </w:tc>
        <w:tc>
          <w:tcPr>
            <w:tcW w:type="dxa" w:w="4670"/>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Top 10 QG = 62,6% DT nhưng Top 10 TP chỉ = 10,0% DT</w:t>
            </w:r>
          </w:p>
        </w:tc>
      </w:tr>
      <w:tr>
        <w:trPr>
          <w:cantSplit/>
        </w:trPr>
        <w:tc>
          <w:tcPr>
            <w:tcW w:type="dxa" w:w="406"/>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2</w:t>
            </w:r>
          </w:p>
        </w:tc>
        <w:tc>
          <w:tcPr>
            <w:tcW w:type="dxa" w:w="4670"/>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Thứ khách </w:t>
            </w:r>
            <w:r>
              <w:rPr>
                <w:rFonts w:ascii="Times New Roman" w:cs="Times New Roman" w:eastAsia="Times New Roman" w:hAnsi="Times New Roman"/>
                <w:b/>
                <w:bCs/>
                <w:sz w:val="19"/>
                <w:szCs w:val="19"/>
              </w:rPr>
              <w:t xml:space="preserve">mua nhiều</w:t>
            </w:r>
            <w:r>
              <w:rPr>
                <w:rFonts w:ascii="Times New Roman" w:cs="Times New Roman" w:eastAsia="Times New Roman" w:hAnsi="Times New Roman"/>
                <w:sz w:val="19"/>
                <w:szCs w:val="19"/>
              </w:rPr>
              <w:t xml:space="preserve"> ≠ thứ mang lại </w:t>
            </w:r>
            <w:r>
              <w:rPr>
                <w:rFonts w:ascii="Times New Roman" w:cs="Times New Roman" w:eastAsia="Times New Roman" w:hAnsi="Times New Roman"/>
                <w:b/>
                <w:bCs/>
                <w:sz w:val="19"/>
                <w:szCs w:val="19"/>
              </w:rPr>
              <w:t xml:space="preserve">tiền</w:t>
            </w:r>
          </w:p>
        </w:tc>
        <w:tc>
          <w:tcPr>
            <w:tcW w:type="dxa" w:w="4670"/>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Office Supplies 60,7% sản lượng / 30,0% DT; Technology 19,7% sản lượng / 37,5% DT</w:t>
            </w:r>
          </w:p>
        </w:tc>
      </w:tr>
      <w:tr>
        <w:trPr>
          <w:cantSplit/>
        </w:trPr>
        <w:tc>
          <w:tcPr>
            <w:tcW w:type="dxa" w:w="406"/>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3</w:t>
            </w:r>
          </w:p>
        </w:tc>
        <w:tc>
          <w:tcPr>
            <w:tcW w:type="dxa" w:w="4670"/>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AOV trung bình </w:t>
            </w:r>
            <w:r>
              <w:rPr>
                <w:rFonts w:ascii="Times New Roman" w:cs="Times New Roman" w:eastAsia="Times New Roman" w:hAnsi="Times New Roman"/>
                <w:b/>
                <w:bCs/>
                <w:sz w:val="19"/>
                <w:szCs w:val="19"/>
              </w:rPr>
              <w:t xml:space="preserve">gây hiểu nhầm</w:t>
            </w:r>
            <w:r>
              <w:rPr>
                <w:rFonts w:ascii="Times New Roman" w:cs="Times New Roman" w:eastAsia="Times New Roman" w:hAnsi="Times New Roman"/>
                <w:sz w:val="19"/>
                <w:szCs w:val="19"/>
              </w:rPr>
              <w:t xml:space="preserve">; 34% đơn hàng gần như không sinh lời</w:t>
            </w:r>
          </w:p>
        </w:tc>
        <w:tc>
          <w:tcPr>
            <w:tcW w:type="dxa" w:w="4670"/>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Trung bình 491 vs trung vị 202; đơn &lt;100 có biên LN 1,8%</w:t>
            </w:r>
          </w:p>
        </w:tc>
      </w:tr>
      <w:tr>
        <w:trPr>
          <w:cantSplit/>
        </w:trPr>
        <w:tc>
          <w:tcPr>
            <w:tcW w:type="dxa" w:w="406"/>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4</w:t>
            </w:r>
          </w:p>
        </w:tc>
        <w:tc>
          <w:tcPr>
            <w:tcW w:type="dxa" w:w="4670"/>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Tăng trưởng 23,9%/năm </w:t>
            </w:r>
            <w:r>
              <w:rPr>
                <w:rFonts w:ascii="Times New Roman" w:cs="Times New Roman" w:eastAsia="Times New Roman" w:hAnsi="Times New Roman"/>
                <w:b/>
                <w:bCs/>
                <w:sz w:val="19"/>
                <w:szCs w:val="19"/>
              </w:rPr>
              <w:t xml:space="preserve">hoàn toàn nhờ số lượng đơn</w:t>
            </w:r>
            <w:r>
              <w:rPr>
                <w:rFonts w:ascii="Times New Roman" w:cs="Times New Roman" w:eastAsia="Times New Roman" w:hAnsi="Times New Roman"/>
                <w:sz w:val="19"/>
                <w:szCs w:val="19"/>
              </w:rPr>
              <w:t xml:space="preserve">, không nhờ giá trị đơn</w:t>
            </w:r>
          </w:p>
        </w:tc>
        <w:tc>
          <w:tcPr>
            <w:tcW w:type="dxa" w:w="4670"/>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AOV đi ngang 500→486 suốt 4 năm</w:t>
            </w:r>
          </w:p>
        </w:tc>
      </w:tr>
      <w:tr>
        <w:trPr>
          <w:cantSplit/>
        </w:trPr>
        <w:tc>
          <w:tcPr>
            <w:tcW w:type="dxa" w:w="406"/>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5</w:t>
            </w:r>
          </w:p>
        </w:tc>
        <w:tc>
          <w:tcPr>
            <w:tcW w:type="dxa" w:w="4670"/>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Rủi ro trả hàng gắn với </w:t>
            </w:r>
            <w:r>
              <w:rPr>
                <w:rFonts w:ascii="Times New Roman" w:cs="Times New Roman" w:eastAsia="Times New Roman" w:hAnsi="Times New Roman"/>
                <w:b/>
                <w:bCs/>
                <w:sz w:val="19"/>
                <w:szCs w:val="19"/>
              </w:rPr>
              <w:t xml:space="preserve">đơn hàng</w:t>
            </w:r>
            <w:r>
              <w:rPr>
                <w:rFonts w:ascii="Times New Roman" w:cs="Times New Roman" w:eastAsia="Times New Roman" w:hAnsi="Times New Roman"/>
                <w:sz w:val="19"/>
                <w:szCs w:val="19"/>
              </w:rPr>
              <w:t xml:space="preserve">, không gắn với </w:t>
            </w:r>
            <w:r>
              <w:rPr>
                <w:rFonts w:ascii="Times New Roman" w:cs="Times New Roman" w:eastAsia="Times New Roman" w:hAnsi="Times New Roman"/>
                <w:b/>
                <w:bCs/>
                <w:sz w:val="19"/>
                <w:szCs w:val="19"/>
              </w:rPr>
              <w:t xml:space="preserve">khách hàng</w:t>
            </w:r>
          </w:p>
        </w:tc>
        <w:tc>
          <w:tcPr>
            <w:tcW w:type="dxa" w:w="4670"/>
            <w:shd w:fill="FFFFFF"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Số dòng/đơn: lift 3,36× — trong khi lịch sử trả hàng của KH chỉ 1,08×</w:t>
            </w:r>
          </w:p>
        </w:tc>
      </w:tr>
      <w:tr>
        <w:trPr>
          <w:cantSplit/>
        </w:trPr>
        <w:tc>
          <w:tcPr>
            <w:tcW w:type="dxa" w:w="406"/>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6</w:t>
            </w:r>
          </w:p>
        </w:tc>
        <w:tc>
          <w:tcPr>
            <w:tcW w:type="dxa" w:w="4670"/>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Nút thắt lớn nhất là </w:t>
            </w:r>
            <w:r>
              <w:rPr>
                <w:rFonts w:ascii="Times New Roman" w:cs="Times New Roman" w:eastAsia="Times New Roman" w:hAnsi="Times New Roman"/>
                <w:b/>
                <w:bCs/>
                <w:sz w:val="19"/>
                <w:szCs w:val="19"/>
              </w:rPr>
              <w:t xml:space="preserve">đơn hàng thứ hai</w:t>
            </w:r>
          </w:p>
        </w:tc>
        <w:tc>
          <w:tcPr>
            <w:tcW w:type="dxa" w:w="4670"/>
            <w:shd w:fill="F2F5FA" w:color="auto" w:val="clear"/>
            <w:tcMar>
              <w:top w:type="dxa" w:w="60"/>
              <w:left w:type="dxa" w:w="110"/>
              <w:bottom w:type="dxa" w:w="60"/>
              <w:right w:type="dxa" w:w="110"/>
            </w:tcMar>
          </w:tcPr>
          <w:p>
            <w:pPr>
              <w:spacing w:after="20" w:before="20"/>
              <w:jc w:val="left"/>
            </w:pPr>
            <w:r>
              <w:rPr>
                <w:rFonts w:ascii="Times New Roman" w:cs="Times New Roman" w:eastAsia="Times New Roman" w:hAnsi="Times New Roman"/>
                <w:sz w:val="19"/>
                <w:szCs w:val="19"/>
              </w:rPr>
              <w:t xml:space="preserve">68,8% KH mua 1 lần; nhưng chu kỳ rút từ 364 → 133 ngày sau mỗi lần quay lại</w:t>
            </w:r>
          </w:p>
        </w:tc>
      </w:tr>
    </w:tbl>
    <w:p>
      <w:pPr>
        <w:spacing w:after="200"/>
      </w:pPr>
      <w:r>
        <w:rPr>
          <w:sz w:val="8"/>
          <w:szCs w:val="8"/>
        </w:rPr>
        <w:t xml:space="preserve"/>
      </w:r>
    </w:p>
    <w:p>
      <w:r>
        <w:br w:type="page"/>
      </w:r>
    </w:p>
    <w:p>
      <w:pPr>
        <w:pStyle w:val="Heading1"/>
        <w:pBdr>
          <w:bottom w:val="single" w:color="1F3864" w:sz="12" w:space="6"/>
        </w:pBdr>
        <w:spacing w:after="160" w:before="160"/>
      </w:pPr>
      <w:r>
        <w:rPr>
          <w:rFonts w:ascii="Times New Roman" w:cs="Times New Roman" w:eastAsia="Times New Roman" w:hAnsi="Times New Roman"/>
          <w:b/>
          <w:bCs/>
          <w:color w:val="1F3864"/>
          <w:sz w:val="30"/>
          <w:szCs w:val="30"/>
        </w:rPr>
        <w:t xml:space="preserve">GIỚI HẠN CỦA PHÂN TÍCH</w:t>
      </w:r>
    </w:p>
    <w:p>
      <w:pPr>
        <w:pStyle w:val="ListParagraph"/>
        <w:numPr>
          <w:ilvl w:val="0"/>
          <w:numId w:val="2"/>
        </w:numPr>
        <w:spacing w:after="40" w:before="40" w:line="300"/>
      </w:pPr>
      <w:r>
        <w:rPr>
          <w:rFonts w:ascii="Times New Roman" w:cs="Times New Roman" w:eastAsia="Times New Roman" w:hAnsi="Times New Roman"/>
          <w:sz w:val="22"/>
          <w:szCs w:val="22"/>
        </w:rPr>
        <w:t xml:space="preserve">Cột </w:t>
      </w:r>
      <w:r>
        <w:rPr>
          <w:rFonts w:ascii="Consolas" w:cs="Consolas" w:eastAsia="Consolas" w:hAnsi="Consolas"/>
          <w:sz w:val="20"/>
          <w:szCs w:val="20"/>
        </w:rPr>
        <w:t xml:space="preserve">Return</w:t>
      </w:r>
      <w:r>
        <w:rPr>
          <w:rFonts w:ascii="Times New Roman" w:cs="Times New Roman" w:eastAsia="Times New Roman" w:hAnsi="Times New Roman"/>
          <w:sz w:val="22"/>
          <w:szCs w:val="22"/>
        </w:rPr>
        <w:t xml:space="preserve"> chỉ ghi nhận </w:t>
      </w:r>
      <w:r>
        <w:rPr>
          <w:rFonts w:ascii="Consolas" w:cs="Consolas" w:eastAsia="Consolas" w:hAnsi="Consolas"/>
          <w:sz w:val="20"/>
          <w:szCs w:val="20"/>
        </w:rPr>
        <w:t xml:space="preserve">Yes</w:t>
      </w:r>
      <w:r>
        <w:rPr>
          <w:rFonts w:ascii="Times New Roman" w:cs="Times New Roman" w:eastAsia="Times New Roman" w:hAnsi="Times New Roman"/>
          <w:sz w:val="22"/>
          <w:szCs w:val="22"/>
        </w:rPr>
        <w:t xml:space="preserve">/rỗng, </w:t>
      </w:r>
      <w:r>
        <w:rPr>
          <w:rFonts w:ascii="Times New Roman" w:cs="Times New Roman" w:eastAsia="Times New Roman" w:hAnsi="Times New Roman"/>
          <w:b/>
          <w:bCs/>
          <w:sz w:val="22"/>
          <w:szCs w:val="22"/>
        </w:rPr>
        <w:t xml:space="preserve">không có ngày trả hàng, lý do trả hàng, hay sản phẩm cụ thể bị trả</w:t>
      </w:r>
      <w:r>
        <w:rPr>
          <w:rFonts w:ascii="Times New Roman" w:cs="Times New Roman" w:eastAsia="Times New Roman" w:hAnsi="Times New Roman"/>
          <w:sz w:val="22"/>
          <w:szCs w:val="22"/>
        </w:rPr>
        <w:t xml:space="preserve"> → không thể phân tích độ trễ hoàn trả hay nguyên nhân.</w:t>
      </w:r>
    </w:p>
    <w:p>
      <w:pPr>
        <w:pStyle w:val="ListParagraph"/>
        <w:numPr>
          <w:ilvl w:val="0"/>
          <w:numId w:val="2"/>
        </w:numPr>
        <w:spacing w:after="40" w:before="40" w:line="300"/>
      </w:pPr>
      <w:r>
        <w:rPr>
          <w:rFonts w:ascii="Times New Roman" w:cs="Times New Roman" w:eastAsia="Times New Roman" w:hAnsi="Times New Roman"/>
          <w:sz w:val="22"/>
          <w:szCs w:val="22"/>
        </w:rPr>
        <w:t xml:space="preserve">Cột </w:t>
      </w:r>
      <w:r>
        <w:rPr>
          <w:rFonts w:ascii="Consolas" w:cs="Consolas" w:eastAsia="Consolas" w:hAnsi="Consolas"/>
          <w:sz w:val="20"/>
          <w:szCs w:val="20"/>
        </w:rPr>
        <w:t xml:space="preserve">Postal Code</w:t>
      </w:r>
      <w:r>
        <w:rPr>
          <w:rFonts w:ascii="Times New Roman" w:cs="Times New Roman" w:eastAsia="Times New Roman" w:hAnsi="Times New Roman"/>
          <w:sz w:val="22"/>
          <w:szCs w:val="22"/>
        </w:rPr>
        <w:t xml:space="preserve"> thiếu 41.296/51.290 giá trị (80,5%) → không dùng được cho phân tích vi mô địa lý.</w:t>
      </w:r>
    </w:p>
    <w:p>
      <w:pPr>
        <w:pStyle w:val="ListParagraph"/>
        <w:numPr>
          <w:ilvl w:val="0"/>
          <w:numId w:val="2"/>
        </w:numPr>
        <w:spacing w:after="40" w:before="40" w:line="300"/>
      </w:pPr>
      <w:r>
        <w:rPr>
          <w:rFonts w:ascii="Times New Roman" w:cs="Times New Roman" w:eastAsia="Times New Roman" w:hAnsi="Times New Roman"/>
          <w:sz w:val="22"/>
          <w:szCs w:val="22"/>
        </w:rPr>
        <w:t xml:space="preserve">Không có dữ liệu chi phí marketing, lượt truy cập, hay kênh bán → không tính được CAC hay hiệu quả kênh.</w:t>
      </w:r>
    </w:p>
    <w:p>
      <w:pPr>
        <w:pStyle w:val="ListParagraph"/>
        <w:numPr>
          <w:ilvl w:val="0"/>
          <w:numId w:val="2"/>
        </w:numPr>
        <w:spacing w:after="40" w:before="40" w:line="300"/>
      </w:pPr>
      <w:r>
        <w:rPr>
          <w:rFonts w:ascii="Times New Roman" w:cs="Times New Roman" w:eastAsia="Times New Roman" w:hAnsi="Times New Roman"/>
          <w:sz w:val="22"/>
          <w:szCs w:val="22"/>
        </w:rPr>
        <w:t xml:space="preserve">Phân phối đơn theo thứ trong tuần bất thường (thứ Tư 6,1%) gợi ý dữ liệu có yếu tố mô phỏng → tránh kết luận từ chiều này.</w:t>
      </w:r>
    </w:p>
    <w:p>
      <w:pPr>
        <w:pStyle w:val="ListParagraph"/>
        <w:numPr>
          <w:ilvl w:val="0"/>
          <w:numId w:val="2"/>
        </w:numPr>
        <w:spacing w:after="40" w:before="40" w:line="300"/>
      </w:pPr>
      <w:r>
        <w:rPr>
          <w:rFonts w:ascii="Times New Roman" w:cs="Times New Roman" w:eastAsia="Times New Roman" w:hAnsi="Times New Roman"/>
          <w:sz w:val="22"/>
          <w:szCs w:val="22"/>
        </w:rPr>
        <w:t xml:space="preserve">Các nhóm mẫu nhỏ (Central Asia 112 đơn, khách hàng trả 3+ lần: 2 người) chỉ mang tính tham khảo.</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1 — Phân tích hành vi khách hàng</dc:title>
  <dc:creator>Phân tích dữ liệu</dc:creator>
  <cp:lastModifiedBy>Un-named</cp:lastModifiedBy>
  <cp:revision>1</cp:revision>
  <dcterms:created xsi:type="dcterms:W3CDTF">2026-09-21T12:38:19.343Z</dcterms:created>
  <dcterms:modified xsi:type="dcterms:W3CDTF">2026-09-21T12:38:19.345Z</dcterms:modified>
</cp:coreProperties>
</file>

<file path=docProps/custom.xml><?xml version="1.0" encoding="utf-8"?>
<Properties xmlns="http://schemas.openxmlformats.org/officeDocument/2006/custom-properties" xmlns:vt="http://schemas.openxmlformats.org/officeDocument/2006/docPropsVTypes"/>
</file>