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6B" w:val="clear"/>
        <w:spacing w:after="200" w:before="2400"/>
        <w:jc w:val="center"/>
      </w:pPr>
      <w:r>
        <w:rPr>
          <w:rFonts w:ascii="Arial" w:cs="Arial" w:eastAsia="Arial" w:hAnsi="Arial"/>
          <w:b/>
          <w:bCs/>
          <w:color w:val="FFFFFF"/>
          <w:sz w:val="56"/>
          <w:szCs w:val="56"/>
        </w:rPr>
        <w:t xml:space="preserve">RISE ICT Monitor</w:t>
      </w:r>
    </w:p>
    <w:p>
      <w:pPr>
        <w:spacing w:after="160"/>
        <w:jc w:val="center"/>
      </w:pPr>
      <w:r>
        <w:rPr>
          <w:rFonts w:ascii="Arial" w:cs="Arial" w:eastAsia="Arial" w:hAnsi="Arial"/>
          <w:color w:val="00A693"/>
          <w:sz w:val="28"/>
          <w:szCs w:val="28"/>
        </w:rPr>
        <w:t xml:space="preserve">Manual do Utilizador e Documentação Técnica</w:t>
      </w:r>
    </w:p>
    <w:p>
      <w:pPr>
        <w:spacing w:after="80"/>
        <w:jc w:val="center"/>
      </w:pPr>
      <w:r>
        <w:rPr>
          <w:rFonts w:ascii="Arial" w:cs="Arial" w:eastAsia="Arial" w:hAnsi="Arial"/>
          <w:color w:val="718096"/>
          <w:sz w:val="22"/>
          <w:szCs w:val="22"/>
        </w:rPr>
        <w:t xml:space="preserve">Sistema de Monitorização de Testes Rápidos VIH — Conselheiros Leigos</w:t>
      </w:r>
    </w:p>
    <w:p>
      <w:pPr>
        <w:spacing w:after="600"/>
        <w:jc w:val="center"/>
      </w:pPr>
      <w:r>
        <w:rPr>
          <w:rFonts w:ascii="Arial" w:cs="Arial" w:eastAsia="Arial" w:hAnsi="Arial"/>
          <w:color w:val="718096"/>
          <w:sz w:val="20"/>
          <w:szCs w:val="20"/>
        </w:rPr>
        <w:t xml:space="preserve">JHPIEGO Moçambique · PEPFAR/USAID RISE · Manica &amp; Zambézia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Versão</w:t>
            </w:r>
          </w:p>
        </w:tc>
        <w:tc>
          <w:tcPr>
            <w:tcW w:type="dxa" w:w="72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1.1.0</w:t>
            </w:r>
          </w:p>
        </w:tc>
      </w:tr>
      <w:tr>
        <w:tc>
          <w:tcPr>
            <w:tcW w:type="dxa" w:w="24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Data</w:t>
            </w:r>
          </w:p>
        </w:tc>
        <w:tc>
          <w:tcPr>
            <w:tcW w:type="dxa" w:w="72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Junho 2026</w:t>
            </w:r>
          </w:p>
        </w:tc>
      </w:tr>
      <w:tr>
        <w:tc>
          <w:tcPr>
            <w:tcW w:type="dxa" w:w="24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Programa</w:t>
            </w:r>
          </w:p>
        </w:tc>
        <w:tc>
          <w:tcPr>
            <w:tcW w:type="dxa" w:w="72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USAID RISE — Reaching Impact, Saturation and Epidemic Control</w:t>
            </w:r>
          </w:p>
        </w:tc>
      </w:tr>
      <w:tr>
        <w:tc>
          <w:tcPr>
            <w:tcW w:type="dxa" w:w="24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Implementador</w:t>
            </w:r>
          </w:p>
        </w:tc>
        <w:tc>
          <w:tcPr>
            <w:tcW w:type="dxa" w:w="72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JHPIEGO Moçambique</w:t>
            </w:r>
          </w:p>
        </w:tc>
      </w:tr>
      <w:tr>
        <w:tc>
          <w:tcPr>
            <w:tcW w:type="dxa" w:w="24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Províncias</w:t>
            </w:r>
          </w:p>
        </w:tc>
        <w:tc>
          <w:tcPr>
            <w:tcW w:type="dxa" w:w="72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Manica e Zambézia</w:t>
            </w:r>
          </w:p>
        </w:tc>
      </w:tr>
      <w:tr>
        <w:tc>
          <w:tcPr>
            <w:tcW w:type="dxa" w:w="24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Financiador</w:t>
            </w:r>
          </w:p>
        </w:tc>
        <w:tc>
          <w:tcPr>
            <w:tcW w:type="dxa" w:w="72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PEPFAR / USAID</w:t>
            </w:r>
          </w:p>
        </w:tc>
      </w:tr>
    </w:tbl>
    <w:p>
      <w:pPr>
        <w:spacing w:after="400"/>
      </w:pPr>
      <w:r>
        <w:rPr>
          <w:rFonts w:ascii="Arial" w:cs="Arial" w:eastAsia="Arial" w:hAnsi="Arial"/>
        </w:rPr>
        <w:t xml:space="preserve"/>
      </w:r>
    </w:p>
    <w:p>
      <w:r>
        <w:br w:type="page"/>
      </w:r>
    </w:p>
    <w:p>
      <w:pPr>
        <w:pStyle w:val="Heading1"/>
        <w:spacing w:after="160" w:before="360"/>
      </w:pPr>
      <w:r>
        <w:rPr>
          <w:rFonts w:ascii="Arial" w:cs="Arial" w:eastAsia="Arial" w:hAnsi="Arial"/>
          <w:b/>
          <w:bCs/>
          <w:color w:val="1B3A6B"/>
          <w:sz w:val="32"/>
          <w:szCs w:val="32"/>
        </w:rPr>
        <w:t xml:space="preserve">Índice</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Arial" w:cs="Arial" w:eastAsia="Arial" w:hAnsi="Arial"/>
          <w:b/>
          <w:bCs/>
          <w:color w:val="1B3A6B"/>
          <w:sz w:val="32"/>
          <w:szCs w:val="32"/>
        </w:rPr>
        <w:t xml:space="preserve">1. Visão Geral do Sistema</w:t>
      </w:r>
    </w:p>
    <w:p>
      <w:pPr>
        <w:spacing w:after="140"/>
      </w:pPr>
      <w:r>
        <w:rPr>
          <w:rFonts w:ascii="Arial" w:cs="Arial" w:eastAsia="Arial" w:hAnsi="Arial"/>
          <w:sz w:val="22"/>
          <w:szCs w:val="22"/>
        </w:rPr>
        <w:t xml:space="preserve">O RISE ICT Monitor é uma aplicação web offline-first desenvolvida para apoiar a supervisão dos Conselheiros Leigos de Testagem de VIH (ATS-C) no âmbito do programa PEPFAR/USAID RISE implementado pelo JHPIEGO em Moçambique. A aplicação cobre as províncias de Manica e Zambézia.</w:t>
      </w:r>
    </w:p>
    <w:p>
      <w:pPr>
        <w:spacing w:after="140"/>
      </w:pPr>
      <w:r>
        <w:rPr>
          <w:rFonts w:ascii="Arial" w:cs="Arial" w:eastAsia="Arial" w:hAnsi="Arial"/>
          <w:sz w:val="22"/>
          <w:szCs w:val="22"/>
        </w:rPr>
        <w:t xml:space="preserve">O sistema permite o registo semanal ou mensal do Mapa de Consumo de Testes Rápidos (Determine e Unigold), calcula automaticamente indicadores de qualidade com base no algoritmo VIH de dois testes de Moçambique, e produz um score de fiabilidade a quatro dimensões para cada conselheiro.</w:t>
      </w:r>
    </w:p>
    <w:p>
      <w:pPr>
        <w:pStyle w:val="Heading2"/>
        <w:spacing w:after="120" w:before="280"/>
      </w:pPr>
      <w:r>
        <w:rPr>
          <w:rFonts w:ascii="Arial" w:cs="Arial" w:eastAsia="Arial" w:hAnsi="Arial"/>
          <w:b/>
          <w:bCs/>
          <w:color w:val="1B3A6B"/>
          <w:sz w:val="26"/>
          <w:szCs w:val="26"/>
        </w:rPr>
        <w:t xml:space="preserve">1.1 Objectivos Principais</w:t>
      </w:r>
    </w:p>
    <w:p>
      <w:pPr>
        <w:pStyle w:val="ListParagraph"/>
        <w:numPr>
          <w:ilvl w:val="0"/>
          <w:numId w:val="2"/>
        </w:numPr>
        <w:spacing w:after="80"/>
      </w:pPr>
      <w:r>
        <w:rPr>
          <w:rFonts w:ascii="Arial" w:cs="Arial" w:eastAsia="Arial" w:hAnsi="Arial"/>
          <w:sz w:val="22"/>
          <w:szCs w:val="22"/>
        </w:rPr>
        <w:t xml:space="preserve">Digitalizar o Mapa de Consumo de Testes Rápidos (Determine e Unigold) ao nível do conselheiro leigo</w:t>
      </w:r>
    </w:p>
    <w:p>
      <w:pPr>
        <w:pStyle w:val="ListParagraph"/>
        <w:numPr>
          <w:ilvl w:val="0"/>
          <w:numId w:val="2"/>
        </w:numPr>
        <w:spacing w:after="80"/>
      </w:pPr>
      <w:r>
        <w:rPr>
          <w:rFonts w:ascii="Arial" w:cs="Arial" w:eastAsia="Arial" w:hAnsi="Arial"/>
          <w:sz w:val="22"/>
          <w:szCs w:val="22"/>
        </w:rPr>
        <w:t xml:space="preserve">Calcular automaticamente indicadores PEPFAR MER: Yield%, Aderência ao Algoritmo, Taxa de Indeterminados</w:t>
      </w:r>
    </w:p>
    <w:p>
      <w:pPr>
        <w:pStyle w:val="ListParagraph"/>
        <w:numPr>
          <w:ilvl w:val="0"/>
          <w:numId w:val="2"/>
        </w:numPr>
        <w:spacing w:after="80"/>
      </w:pPr>
      <w:r>
        <w:rPr>
          <w:rFonts w:ascii="Arial" w:cs="Arial" w:eastAsia="Arial" w:hAnsi="Arial"/>
          <w:sz w:val="22"/>
          <w:szCs w:val="22"/>
        </w:rPr>
        <w:t xml:space="preserve">Detectar inconsistências nos dados em tempo real (checks C01–C09 e S01–S08)</w:t>
      </w:r>
    </w:p>
    <w:p>
      <w:pPr>
        <w:pStyle w:val="ListParagraph"/>
        <w:numPr>
          <w:ilvl w:val="0"/>
          <w:numId w:val="2"/>
        </w:numPr>
        <w:spacing w:after="80"/>
      </w:pPr>
      <w:r>
        <w:rPr>
          <w:rFonts w:ascii="Arial" w:cs="Arial" w:eastAsia="Arial" w:hAnsi="Arial"/>
          <w:sz w:val="22"/>
          <w:szCs w:val="22"/>
        </w:rPr>
        <w:t xml:space="preserve">Classificar cada conselheiro como GREEN / YELLOW / RED com base num score de fiabilidade a quatro dimensões</w:t>
      </w:r>
    </w:p>
    <w:p>
      <w:pPr>
        <w:pStyle w:val="ListParagraph"/>
        <w:numPr>
          <w:ilvl w:val="0"/>
          <w:numId w:val="2"/>
        </w:numPr>
        <w:spacing w:after="80"/>
      </w:pPr>
      <w:r>
        <w:rPr>
          <w:rFonts w:ascii="Arial" w:cs="Arial" w:eastAsia="Arial" w:hAnsi="Arial"/>
          <w:sz w:val="22"/>
          <w:szCs w:val="22"/>
        </w:rPr>
        <w:t xml:space="preserve">Permitir supervisão distrital, provincial e nacional a partir de uma única aplicação</w:t>
      </w:r>
    </w:p>
    <w:p>
      <w:pPr>
        <w:pStyle w:val="ListParagraph"/>
        <w:numPr>
          <w:ilvl w:val="0"/>
          <w:numId w:val="2"/>
        </w:numPr>
        <w:spacing w:after="80"/>
      </w:pPr>
      <w:r>
        <w:rPr>
          <w:rFonts w:ascii="Arial" w:cs="Arial" w:eastAsia="Arial" w:hAnsi="Arial"/>
          <w:sz w:val="22"/>
          <w:szCs w:val="22"/>
        </w:rPr>
        <w:t xml:space="preserve">Funcionar sem internet (offline-first) e sincronizar dados com Google Sheets quando disponível</w:t>
      </w:r>
    </w:p>
    <w:p>
      <w:pPr>
        <w:pStyle w:val="Heading2"/>
        <w:spacing w:after="120" w:before="280"/>
      </w:pPr>
      <w:r>
        <w:rPr>
          <w:rFonts w:ascii="Arial" w:cs="Arial" w:eastAsia="Arial" w:hAnsi="Arial"/>
          <w:b/>
          <w:bCs/>
          <w:color w:val="1B3A6B"/>
          <w:sz w:val="26"/>
          <w:szCs w:val="26"/>
        </w:rPr>
        <w:t xml:space="preserve">1.2 Contexto Programático</w:t>
      </w:r>
    </w:p>
    <w:p>
      <w:pPr>
        <w:spacing w:after="140"/>
      </w:pPr>
      <w:r>
        <w:rPr>
          <w:rFonts w:ascii="Arial" w:cs="Arial" w:eastAsia="Arial" w:hAnsi="Arial"/>
          <w:sz w:val="22"/>
          <w:szCs w:val="22"/>
        </w:rPr>
        <w:t xml:space="preserve">A Testagem de VIH por Índice de Caso (ICT) é uma abordagem de testagem baseada em contactos de pessoas VIH positivas. Os conselheiros leigos conduzem sessões de testagem usando o algoritmo de dois testes do Ministério da Saúde de Moçambique (Determine → Unigold). O RISE ICT Monitor foi concebido para dar suporte à supervisão destes conselheiros ao nível distrital, provincial e nacional.</w:t>
      </w:r>
    </w:p>
    <w:p>
      <w:pPr>
        <w:pBdr>
          <w:bottom w:val="single" w:color="E2E8F0" w:sz="6" w:space="1"/>
        </w:pBdr>
        <w:spacing w:after="200"/>
      </w:pPr>
      <w:r>
        <w:rPr>
          <w:rFonts w:ascii="Arial" w:cs="Arial" w:eastAsia="Arial" w:hAnsi="Arial"/>
        </w:rPr>
        <w:t xml:space="preserve"/>
      </w:r>
    </w:p>
    <w:p>
      <w:pPr>
        <w:pStyle w:val="Heading1"/>
        <w:spacing w:after="160" w:before="360"/>
      </w:pPr>
      <w:r>
        <w:rPr>
          <w:rFonts w:ascii="Arial" w:cs="Arial" w:eastAsia="Arial" w:hAnsi="Arial"/>
          <w:b/>
          <w:bCs/>
          <w:color w:val="1B3A6B"/>
          <w:sz w:val="32"/>
          <w:szCs w:val="32"/>
        </w:rPr>
        <w:t xml:space="preserve">2. Arquitectura e Armazenamento de Dados</w:t>
      </w:r>
    </w:p>
    <w:p>
      <w:pPr>
        <w:pStyle w:val="Heading2"/>
        <w:spacing w:after="120" w:before="280"/>
      </w:pPr>
      <w:r>
        <w:rPr>
          <w:rFonts w:ascii="Arial" w:cs="Arial" w:eastAsia="Arial" w:hAnsi="Arial"/>
          <w:b/>
          <w:bCs/>
          <w:color w:val="1B3A6B"/>
          <w:sz w:val="26"/>
          <w:szCs w:val="26"/>
        </w:rPr>
        <w:t xml:space="preserve">2.1 Modelo Offline-First</w:t>
      </w:r>
    </w:p>
    <w:p>
      <w:pPr>
        <w:spacing w:after="140"/>
      </w:pPr>
      <w:r>
        <w:rPr>
          <w:rFonts w:ascii="Arial" w:cs="Arial" w:eastAsia="Arial" w:hAnsi="Arial"/>
          <w:sz w:val="22"/>
          <w:szCs w:val="22"/>
        </w:rPr>
        <w:t xml:space="preserve">A aplicação funciona inteiramente no browser (Chrome, Firefox, Edge) sem necessidade de instalar software. Todos os dados são guardados no localStorage do browser, uma área de armazenamento persistente incorporada em todos os browsers modernos. Os dados ficam disponíveis mesmo sem internet.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EF3C7" w:val="clear"/>
            <w:tcMar>
              <w:top w:type="dxa" w:w="120"/>
              <w:left w:type="dxa" w:w="200"/>
              <w:bottom w:type="dxa" w:w="120"/>
              <w:right w:type="dxa" w:w="200"/>
            </w:tcMar>
          </w:tcPr>
          <w:p>
            <w:pPr>
              <w:spacing w:after="0"/>
            </w:pPr>
            <w:r>
              <w:rPr>
                <w:rFonts w:ascii="Arial" w:cs="Arial" w:eastAsia="Arial" w:hAnsi="Arial"/>
                <w:b/>
                <w:bCs/>
                <w:color w:val="92400E"/>
                <w:sz w:val="22"/>
                <w:szCs w:val="22"/>
              </w:rPr>
              <w:t xml:space="preserve">⚠️  IMPORTANTE: Os dados ficam guardados no browser daquele dispositivo específico. Se um utilizador apagar o cache do browser, abre a aplicação noutro dispositivo, ou usa um browser diferente, não verá os dados anteriores — a menos que a sincronização com Google Sheets esteja configurada.</w:t>
            </w:r>
          </w:p>
        </w:tc>
      </w:tr>
    </w:tbl>
    <w:p>
      <w:pPr>
        <w:spacing w:after="160"/>
      </w:pPr>
      <w:r>
        <w:rPr>
          <w:rFonts w:ascii="Arial" w:cs="Arial" w:eastAsia="Arial" w:hAnsi="Arial"/>
        </w:rPr>
        <w:t xml:space="preserve"/>
      </w:r>
    </w:p>
    <w:p>
      <w:pPr>
        <w:pStyle w:val="Heading2"/>
        <w:spacing w:after="120" w:before="280"/>
      </w:pPr>
      <w:r>
        <w:rPr>
          <w:rFonts w:ascii="Arial" w:cs="Arial" w:eastAsia="Arial" w:hAnsi="Arial"/>
          <w:b/>
          <w:bCs/>
          <w:color w:val="1B3A6B"/>
          <w:sz w:val="26"/>
          <w:szCs w:val="26"/>
        </w:rPr>
        <w:t xml:space="preserve">2.2 Estrutura de Dados em localStorage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E2E8F0" w:sz="4"/>
              <w:left w:val="single" w:color="E2E8F0" w:sz="4"/>
              <w:bottom w:val="single" w:color="E2E8F0" w:sz="4"/>
              <w:right w:val="single" w:color="E2E8F0" w:sz="4"/>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Chave localStorage</w:t>
            </w:r>
          </w:p>
        </w:tc>
        <w:tc>
          <w:tcPr>
            <w:tcW w:type="dxa" w:w="6438"/>
            <w:tcBorders>
              <w:top w:val="single" w:color="E2E8F0" w:sz="4"/>
              <w:left w:val="single" w:color="E2E8F0" w:sz="4"/>
              <w:bottom w:val="single" w:color="E2E8F0" w:sz="4"/>
              <w:right w:val="single" w:color="E2E8F0" w:sz="4"/>
            </w:tcBorders>
            <w:shd w:fill="1B3A6B" w:val="clear"/>
            <w:tcMar>
              <w:top w:type="dxa" w:w="80"/>
              <w:left w:type="dxa" w:w="120"/>
              <w:bottom w:type="dxa" w:w="80"/>
              <w:right w:type="dxa" w:w="120"/>
            </w:tcMar>
          </w:tcPr>
          <w:p>
            <w:pPr>
              <w:spacing w:after="0"/>
            </w:pPr>
            <w:r>
              <w:rPr>
                <w:rFonts w:ascii="Arial" w:cs="Arial" w:eastAsia="Arial" w:hAnsi="Arial"/>
                <w:color w:val="FFFFFF"/>
                <w:sz w:val="20"/>
                <w:szCs w:val="20"/>
              </w:rPr>
              <w:t xml:space="preserve">Conteúdo</w:t>
            </w:r>
          </w:p>
        </w:tc>
      </w:tr>
      <w:tr>
        <w:tc>
          <w:tcPr>
            <w:tcW w:type="dxa" w:w="32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rise_ict_conselheiros</w:t>
            </w:r>
          </w:p>
        </w:tc>
        <w:tc>
          <w:tcPr>
            <w:tcW w:type="dxa" w:w="64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Lista de conselheiros (nome, distrito, US, contacto, status)</w:t>
            </w:r>
          </w:p>
        </w:tc>
      </w:tr>
      <w:tr>
        <w:tc>
          <w:tcPr>
            <w:tcW w:type="dxa" w:w="32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rise_ict_resultados</w:t>
            </w:r>
          </w:p>
        </w:tc>
        <w:tc>
          <w:tcPr>
            <w:tcW w:type="dxa" w:w="64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Registos do Mapa de Consumo por conselheiro e período</w:t>
            </w:r>
          </w:p>
        </w:tc>
      </w:tr>
      <w:tr>
        <w:tc>
          <w:tcPr>
            <w:tcW w:type="dxa" w:w="32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rise_ict_stock</w:t>
            </w:r>
          </w:p>
        </w:tc>
        <w:tc>
          <w:tcPr>
            <w:tcW w:type="dxa" w:w="64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Registos de reconciliação de stock por conselheiro e período</w:t>
            </w:r>
          </w:p>
        </w:tc>
      </w:tr>
      <w:tr>
        <w:tc>
          <w:tcPr>
            <w:tcW w:type="dxa" w:w="32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rise_ict_sync_queue</w:t>
            </w:r>
          </w:p>
        </w:tc>
        <w:tc>
          <w:tcPr>
            <w:tcW w:type="dxa" w:w="64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IDs de registos pendentes de sincronização</w:t>
            </w:r>
          </w:p>
        </w:tc>
      </w:tr>
      <w:tr>
        <w:tc>
          <w:tcPr>
            <w:tcW w:type="dxa" w:w="32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rise_ict_config</w:t>
            </w:r>
          </w:p>
        </w:tc>
        <w:tc>
          <w:tcPr>
            <w:tcW w:type="dxa" w:w="64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URL do Google Apps Script e configurações</w:t>
            </w:r>
          </w:p>
        </w:tc>
      </w:tr>
      <w:tr>
        <w:tc>
          <w:tcPr>
            <w:tcW w:type="dxa" w:w="32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rise_ict_role</w:t>
            </w:r>
          </w:p>
        </w:tc>
        <w:tc>
          <w:tcPr>
            <w:tcW w:type="dxa" w:w="64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Perfil do utilizador activo (distrital/provincial/nacional)</w:t>
            </w:r>
          </w:p>
        </w:tc>
      </w:tr>
      <w:tr>
        <w:tc>
          <w:tcPr>
            <w:tcW w:type="dxa" w:w="32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rise_ict_provincia</w:t>
            </w:r>
          </w:p>
        </w:tc>
        <w:tc>
          <w:tcPr>
            <w:tcW w:type="dxa" w:w="64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Província seleccionada (apenas para perfil distrital)</w:t>
            </w:r>
          </w:p>
        </w:tc>
      </w:tr>
      <w:tr>
        <w:tc>
          <w:tcPr>
            <w:tcW w:type="dxa" w:w="32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rise_ict_last_sync</w:t>
            </w:r>
          </w:p>
        </w:tc>
        <w:tc>
          <w:tcPr>
            <w:tcW w:type="dxa" w:w="64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Timestamp da última sincronização enviada</w:t>
            </w:r>
          </w:p>
        </w:tc>
      </w:tr>
      <w:tr>
        <w:tc>
          <w:tcPr>
            <w:tcW w:type="dxa" w:w="32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rise_ict_last_pull</w:t>
            </w:r>
          </w:p>
        </w:tc>
        <w:tc>
          <w:tcPr>
            <w:tcW w:type="dxa" w:w="64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Timestamp da última actualização recebida do servidor</w:t>
            </w:r>
          </w:p>
        </w:tc>
      </w:tr>
    </w:tbl>
    <w:p>
      <w:pPr>
        <w:spacing w:after="160"/>
      </w:pPr>
      <w:r>
        <w:rPr>
          <w:rFonts w:ascii="Arial" w:cs="Arial" w:eastAsia="Arial" w:hAnsi="Arial"/>
        </w:rPr>
        <w:t xml:space="preserve"/>
      </w:r>
    </w:p>
    <w:p>
      <w:pPr>
        <w:pStyle w:val="Heading2"/>
        <w:spacing w:after="120" w:before="280"/>
      </w:pPr>
      <w:r>
        <w:rPr>
          <w:rFonts w:ascii="Arial" w:cs="Arial" w:eastAsia="Arial" w:hAnsi="Arial"/>
          <w:b/>
          <w:bCs/>
          <w:color w:val="1B3A6B"/>
          <w:sz w:val="26"/>
          <w:szCs w:val="26"/>
        </w:rPr>
        <w:t xml:space="preserve">2.3 Sincronização com Google Sheets</w:t>
      </w:r>
    </w:p>
    <w:p>
      <w:pPr>
        <w:spacing w:after="140"/>
      </w:pPr>
      <w:r>
        <w:rPr>
          <w:rFonts w:ascii="Arial" w:cs="Arial" w:eastAsia="Arial" w:hAnsi="Arial"/>
          <w:sz w:val="22"/>
          <w:szCs w:val="22"/>
        </w:rPr>
        <w:t xml:space="preserve">A sincronização é bidirecional e usa um Google Apps Script como ponte entre o browser e o Google Sheets:</w:t>
      </w:r>
    </w:p>
    <w:p>
      <w:pPr>
        <w:pStyle w:val="ListParagraph"/>
        <w:numPr>
          <w:ilvl w:val="0"/>
          <w:numId w:val="2"/>
        </w:numPr>
        <w:spacing w:after="80"/>
      </w:pPr>
      <w:r>
        <w:rPr>
          <w:rFonts w:ascii="Arial" w:cs="Arial" w:eastAsia="Arial" w:hAnsi="Arial"/>
          <w:sz w:val="22"/>
          <w:szCs w:val="22"/>
        </w:rPr>
        <w:t xml:space="preserve">Envio (PUSH): Os supervisores distritais enviam novos registos para o Google Sheets via POST. A operação usa modo no-cors, pelo que não bloqueia em caso de falha CORS.</w:t>
      </w:r>
    </w:p>
    <w:p>
      <w:pPr>
        <w:pStyle w:val="ListParagraph"/>
        <w:numPr>
          <w:ilvl w:val="0"/>
          <w:numId w:val="2"/>
        </w:numPr>
        <w:spacing w:after="80"/>
      </w:pPr>
      <w:r>
        <w:rPr>
          <w:rFonts w:ascii="Arial" w:cs="Arial" w:eastAsia="Arial" w:hAnsi="Arial"/>
          <w:sz w:val="22"/>
          <w:szCs w:val="22"/>
        </w:rPr>
        <w:t xml:space="preserve">Recepção (PULL): Os supervisores provinciais e nacionais descarregam todos os dados do Google Sheets via GET para o seu localStorage, actualizando a sua cópia local.</w:t>
      </w:r>
    </w:p>
    <w:p>
      <w:pPr>
        <w:pStyle w:val="ListParagraph"/>
        <w:numPr>
          <w:ilvl w:val="0"/>
          <w:numId w:val="2"/>
        </w:numPr>
        <w:spacing w:after="80"/>
      </w:pPr>
      <w:r>
        <w:rPr>
          <w:rFonts w:ascii="Arial" w:cs="Arial" w:eastAsia="Arial" w:hAnsi="Arial"/>
          <w:sz w:val="22"/>
          <w:szCs w:val="22"/>
        </w:rPr>
        <w:t xml:space="preserve">Auto-sync: A cada 5 minutos, quando há internet e registos pendentes, o envio é feito automaticamente.</w:t>
      </w:r>
    </w:p>
    <w:p>
      <w:pPr>
        <w:spacing w:after="140"/>
      </w:pPr>
      <w:r>
        <w:rPr>
          <w:rFonts w:ascii="Arial" w:cs="Arial" w:eastAsia="Arial" w:hAnsi="Arial"/>
          <w:sz w:val="22"/>
          <w:szCs w:val="22"/>
        </w:rPr>
        <w:t xml:space="preserve">A sincronização é incremental: só registos novos ou alterados são enviados. O Google Sheets funciona como repositório central e fonte de verdade partilhada entre todos os utilizadores.</w:t>
      </w:r>
    </w:p>
    <w:p>
      <w:pPr>
        <w:pStyle w:val="Heading2"/>
        <w:spacing w:after="120" w:before="280"/>
      </w:pPr>
      <w:r>
        <w:rPr>
          <w:rFonts w:ascii="Arial" w:cs="Arial" w:eastAsia="Arial" w:hAnsi="Arial"/>
          <w:b/>
          <w:bCs/>
          <w:color w:val="1B3A6B"/>
          <w:sz w:val="26"/>
          <w:szCs w:val="26"/>
        </w:rPr>
        <w:t xml:space="preserve">2.4 Fluxo de Dados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E2E8F0" w:sz="4"/>
              <w:left w:val="single" w:color="E2E8F0" w:sz="4"/>
              <w:bottom w:val="single" w:color="E2E8F0" w:sz="4"/>
              <w:right w:val="single" w:color="E2E8F0" w:sz="4"/>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Papel</w:t>
            </w:r>
          </w:p>
        </w:tc>
        <w:tc>
          <w:tcPr>
            <w:tcW w:type="dxa" w:w="6838"/>
            <w:tcBorders>
              <w:top w:val="single" w:color="E2E8F0" w:sz="4"/>
              <w:left w:val="single" w:color="E2E8F0" w:sz="4"/>
              <w:bottom w:val="single" w:color="E2E8F0" w:sz="4"/>
              <w:right w:val="single" w:color="E2E8F0" w:sz="4"/>
            </w:tcBorders>
            <w:shd w:fill="1B3A6B" w:val="clear"/>
            <w:tcMar>
              <w:top w:type="dxa" w:w="80"/>
              <w:left w:type="dxa" w:w="120"/>
              <w:bottom w:type="dxa" w:w="80"/>
              <w:right w:type="dxa" w:w="120"/>
            </w:tcMar>
          </w:tcPr>
          <w:p>
            <w:pPr>
              <w:spacing w:after="0"/>
            </w:pPr>
            <w:r>
              <w:rPr>
                <w:rFonts w:ascii="Arial" w:cs="Arial" w:eastAsia="Arial" w:hAnsi="Arial"/>
                <w:color w:val="FFFFFF"/>
                <w:sz w:val="20"/>
                <w:szCs w:val="20"/>
              </w:rPr>
              <w:t xml:space="preserve">Acção de Dados</w:t>
            </w:r>
          </w:p>
        </w:tc>
      </w:tr>
      <w:tr>
        <w:tc>
          <w:tcPr>
            <w:tcW w:type="dxa" w:w="28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Supervisor Distrital</w:t>
            </w:r>
          </w:p>
        </w:tc>
        <w:tc>
          <w:tcPr>
            <w:tcW w:type="dxa" w:w="68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Cria e edita registos → guarda em localStorage → envia para Google Sheets (PUSH)</w:t>
            </w:r>
          </w:p>
        </w:tc>
      </w:tr>
      <w:tr>
        <w:tc>
          <w:tcPr>
            <w:tcW w:type="dxa" w:w="28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Supervisor Provincial</w:t>
            </w:r>
          </w:p>
        </w:tc>
        <w:tc>
          <w:tcPr>
            <w:tcW w:type="dxa" w:w="68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Recebe dados do Google Sheets (PULL) → lê apenas → exporta relatórios</w:t>
            </w:r>
          </w:p>
        </w:tc>
      </w:tr>
      <w:tr>
        <w:tc>
          <w:tcPr>
            <w:tcW w:type="dxa" w:w="28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Assessor Técnico Nacional</w:t>
            </w:r>
          </w:p>
        </w:tc>
        <w:tc>
          <w:tcPr>
            <w:tcW w:type="dxa" w:w="68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Recebe todos os dados do Google Sheets (PULL) → visão nacional → exporta</w:t>
            </w:r>
          </w:p>
        </w:tc>
      </w:tr>
    </w:tbl>
    <w:p>
      <w:pPr>
        <w:spacing w:after="200"/>
      </w:pPr>
      <w:r>
        <w:rPr>
          <w:rFonts w:ascii="Arial" w:cs="Arial" w:eastAsia="Arial" w:hAnsi="Arial"/>
        </w:rPr>
        <w:t xml:space="preserve"/>
      </w:r>
    </w:p>
    <w:p>
      <w:r>
        <w:br w:type="page"/>
      </w:r>
    </w:p>
    <w:p>
      <w:pPr>
        <w:pStyle w:val="Heading1"/>
        <w:spacing w:after="160" w:before="360"/>
      </w:pPr>
      <w:r>
        <w:rPr>
          <w:rFonts w:ascii="Arial" w:cs="Arial" w:eastAsia="Arial" w:hAnsi="Arial"/>
          <w:b/>
          <w:bCs/>
          <w:color w:val="1B3A6B"/>
          <w:sz w:val="32"/>
          <w:szCs w:val="32"/>
        </w:rPr>
        <w:t xml:space="preserve">3. Perfis de Utilizador</w:t>
      </w:r>
    </w:p>
    <w:p>
      <w:pPr>
        <w:spacing w:after="140"/>
      </w:pPr>
      <w:r>
        <w:rPr>
          <w:rFonts w:ascii="Arial" w:cs="Arial" w:eastAsia="Arial" w:hAnsi="Arial"/>
          <w:sz w:val="22"/>
          <w:szCs w:val="22"/>
        </w:rPr>
        <w:t xml:space="preserve">A aplicação tem três perfis de utilizador, seleccionados no ecrã inicial. Cada perfil dá acesso a módulos diferentes e tem permissões distintas.</w:t>
      </w:r>
    </w:p>
    <w:p>
      <w:pPr>
        <w:pStyle w:val="Heading2"/>
        <w:spacing w:after="120" w:before="280"/>
      </w:pPr>
      <w:r>
        <w:rPr>
          <w:rFonts w:ascii="Arial" w:cs="Arial" w:eastAsia="Arial" w:hAnsi="Arial"/>
          <w:b/>
          <w:bCs/>
          <w:color w:val="1B3A6B"/>
          <w:sz w:val="26"/>
          <w:szCs w:val="26"/>
        </w:rPr>
        <w:t xml:space="preserve">3.1 Supervisor Distrital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pPr>
              <w:spacing w:after="0"/>
            </w:pPr>
            <w:r>
              <w:rPr>
                <w:rFonts w:ascii="Arial" w:cs="Arial" w:eastAsia="Arial" w:hAnsi="Arial"/>
                <w:b/>
                <w:bCs/>
                <w:color w:val="FFFFFF"/>
                <w:sz w:val="22"/>
                <w:szCs w:val="22"/>
              </w:rPr>
              <w:t xml:space="preserve">🏥  Perfil: DISTRITAL  |  Acesso: Leitura + Escrita  |  Âmbito: Uma província</w:t>
            </w:r>
          </w:p>
        </w:tc>
      </w:tr>
    </w:tbl>
    <w:p>
      <w:pPr>
        <w:spacing w:after="120"/>
      </w:pPr>
      <w:r>
        <w:rPr>
          <w:rFonts w:ascii="Arial" w:cs="Arial" w:eastAsia="Arial" w:hAnsi="Arial"/>
        </w:rPr>
        <w:t xml:space="preserve"/>
      </w:r>
    </w:p>
    <w:p>
      <w:pPr>
        <w:spacing w:after="140"/>
      </w:pPr>
      <w:r>
        <w:rPr>
          <w:rFonts w:ascii="Arial" w:cs="Arial" w:eastAsia="Arial" w:hAnsi="Arial"/>
          <w:sz w:val="22"/>
          <w:szCs w:val="22"/>
        </w:rPr>
        <w:t xml:space="preserve">É o perfil de trabalho principal. O supervisor distrital é responsável por registar os dados de cada conselheiro leigo da sua zona de supervisão. Ao seleccionar este perfil, o utilizador escolhe a sua província (Manica ou Zambézia), ficando com os dados isolados por província.</w:t>
      </w:r>
    </w:p>
    <w:p>
      <w:pPr>
        <w:spacing w:after="140"/>
      </w:pPr>
      <w:r>
        <w:rPr>
          <w:rFonts w:ascii="Arial" w:cs="Arial" w:eastAsia="Arial" w:hAnsi="Arial"/>
          <w:sz w:val="22"/>
          <w:szCs w:val="22"/>
        </w:rPr>
        <w:t xml:space="preserve">Tem acesso a todos os módulos de entrada de dados:</w:t>
      </w:r>
    </w:p>
    <w:p>
      <w:pPr>
        <w:pStyle w:val="ListParagraph"/>
        <w:numPr>
          <w:ilvl w:val="0"/>
          <w:numId w:val="2"/>
        </w:numPr>
        <w:spacing w:after="80"/>
      </w:pPr>
      <w:r>
        <w:rPr>
          <w:rFonts w:ascii="Arial" w:cs="Arial" w:eastAsia="Arial" w:hAnsi="Arial"/>
          <w:sz w:val="22"/>
          <w:szCs w:val="22"/>
        </w:rPr>
        <w:t xml:space="preserve">Gestão de conselheiros (criar, editar, desactivar)</w:t>
      </w:r>
    </w:p>
    <w:p>
      <w:pPr>
        <w:pStyle w:val="ListParagraph"/>
        <w:numPr>
          <w:ilvl w:val="0"/>
          <w:numId w:val="2"/>
        </w:numPr>
        <w:spacing w:after="80"/>
      </w:pPr>
      <w:r>
        <w:rPr>
          <w:rFonts w:ascii="Arial" w:cs="Arial" w:eastAsia="Arial" w:hAnsi="Arial"/>
          <w:sz w:val="22"/>
          <w:szCs w:val="22"/>
        </w:rPr>
        <w:t xml:space="preserve">Registo do Mapa de Consumo de Testes Rápidos (semanal ou mensal)</w:t>
      </w:r>
    </w:p>
    <w:p>
      <w:pPr>
        <w:pStyle w:val="ListParagraph"/>
        <w:numPr>
          <w:ilvl w:val="0"/>
          <w:numId w:val="2"/>
        </w:numPr>
        <w:spacing w:after="80"/>
      </w:pPr>
      <w:r>
        <w:rPr>
          <w:rFonts w:ascii="Arial" w:cs="Arial" w:eastAsia="Arial" w:hAnsi="Arial"/>
          <w:sz w:val="22"/>
          <w:szCs w:val="22"/>
        </w:rPr>
        <w:t xml:space="preserve">Ficha de fiabilidade individual de cada conselheiro</w:t>
      </w:r>
    </w:p>
    <w:p>
      <w:pPr>
        <w:pStyle w:val="ListParagraph"/>
        <w:numPr>
          <w:ilvl w:val="0"/>
          <w:numId w:val="2"/>
        </w:numPr>
        <w:spacing w:after="80"/>
      </w:pPr>
      <w:r>
        <w:rPr>
          <w:rFonts w:ascii="Arial" w:cs="Arial" w:eastAsia="Arial" w:hAnsi="Arial"/>
          <w:sz w:val="22"/>
          <w:szCs w:val="22"/>
        </w:rPr>
        <w:t xml:space="preserve">Histórico de registos com edição e eliminação</w:t>
      </w:r>
    </w:p>
    <w:p>
      <w:pPr>
        <w:pStyle w:val="ListParagraph"/>
        <w:numPr>
          <w:ilvl w:val="0"/>
          <w:numId w:val="2"/>
        </w:numPr>
        <w:spacing w:after="80"/>
      </w:pPr>
      <w:r>
        <w:rPr>
          <w:rFonts w:ascii="Arial" w:cs="Arial" w:eastAsia="Arial" w:hAnsi="Arial"/>
          <w:sz w:val="22"/>
          <w:szCs w:val="22"/>
        </w:rPr>
        <w:t xml:space="preserve">Exportação de dados e relatórios de supervisão</w:t>
      </w:r>
    </w:p>
    <w:p>
      <w:pPr>
        <w:pStyle w:val="ListParagraph"/>
        <w:numPr>
          <w:ilvl w:val="0"/>
          <w:numId w:val="2"/>
        </w:numPr>
        <w:spacing w:after="80"/>
      </w:pPr>
      <w:r>
        <w:rPr>
          <w:rFonts w:ascii="Arial" w:cs="Arial" w:eastAsia="Arial" w:hAnsi="Arial"/>
          <w:sz w:val="22"/>
          <w:szCs w:val="22"/>
        </w:rPr>
        <w:t xml:space="preserve">Sincronização (envio) para Google Sheets</w:t>
      </w:r>
    </w:p>
    <w:p>
      <w:pPr>
        <w:pStyle w:val="Heading2"/>
        <w:spacing w:after="120" w:before="280"/>
      </w:pPr>
      <w:r>
        <w:rPr>
          <w:rFonts w:ascii="Arial" w:cs="Arial" w:eastAsia="Arial" w:hAnsi="Arial"/>
          <w:b/>
          <w:bCs/>
          <w:color w:val="1B3A6B"/>
          <w:sz w:val="26"/>
          <w:szCs w:val="26"/>
        </w:rPr>
        <w:t xml:space="preserve">3.2 Supervisor Provincial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6B5A" w:val="clear"/>
            <w:tcMar>
              <w:top w:type="dxa" w:w="120"/>
              <w:left w:type="dxa" w:w="200"/>
              <w:bottom w:type="dxa" w:w="120"/>
              <w:right w:type="dxa" w:w="200"/>
            </w:tcMar>
          </w:tcPr>
          <w:p>
            <w:pPr>
              <w:spacing w:after="0"/>
            </w:pPr>
            <w:r>
              <w:rPr>
                <w:rFonts w:ascii="Arial" w:cs="Arial" w:eastAsia="Arial" w:hAnsi="Arial"/>
                <w:b/>
                <w:bCs/>
                <w:color w:val="FFFFFF"/>
                <w:sz w:val="22"/>
                <w:szCs w:val="22"/>
              </w:rPr>
              <w:t xml:space="preserve">📊  Perfil: PROVINCIAL  |  Acesso: Leitura  |  Âmbito: Uma ou ambas as províncias</w:t>
            </w:r>
          </w:p>
        </w:tc>
      </w:tr>
    </w:tbl>
    <w:p>
      <w:pPr>
        <w:spacing w:after="120"/>
      </w:pPr>
      <w:r>
        <w:rPr>
          <w:rFonts w:ascii="Arial" w:cs="Arial" w:eastAsia="Arial" w:hAnsi="Arial"/>
        </w:rPr>
        <w:t xml:space="preserve"/>
      </w:r>
    </w:p>
    <w:p>
      <w:pPr>
        <w:spacing w:after="140"/>
      </w:pPr>
      <w:r>
        <w:rPr>
          <w:rFonts w:ascii="Arial" w:cs="Arial" w:eastAsia="Arial" w:hAnsi="Arial"/>
          <w:sz w:val="22"/>
          <w:szCs w:val="22"/>
        </w:rPr>
        <w:t xml:space="preserve">Perfil de leitura para supervisores provinciais. Depois de seleccionar este perfil, o utilizador recebe os dados actualizados do Google Sheets usando a função de Actualização (PULL). Pode filtrar por Manica, Zambézia ou ambas as províncias.</w:t>
      </w:r>
    </w:p>
    <w:p>
      <w:pPr>
        <w:spacing w:after="140"/>
      </w:pPr>
      <w:r>
        <w:rPr>
          <w:rFonts w:ascii="Arial" w:cs="Arial" w:eastAsia="Arial" w:hAnsi="Arial"/>
          <w:sz w:val="22"/>
          <w:szCs w:val="22"/>
        </w:rPr>
        <w:t xml:space="preserve">Tem acesso aos módulos de análise:</w:t>
      </w:r>
    </w:p>
    <w:p>
      <w:pPr>
        <w:pStyle w:val="ListParagraph"/>
        <w:numPr>
          <w:ilvl w:val="0"/>
          <w:numId w:val="2"/>
        </w:numPr>
        <w:spacing w:after="80"/>
      </w:pPr>
      <w:r>
        <w:rPr>
          <w:rFonts w:ascii="Arial" w:cs="Arial" w:eastAsia="Arial" w:hAnsi="Arial"/>
          <w:sz w:val="22"/>
          <w:szCs w:val="22"/>
        </w:rPr>
        <w:t xml:space="preserve">Dashboard Provincial com KPIs, comparação entre províncias e tabela de conselheiros</w:t>
      </w:r>
    </w:p>
    <w:p>
      <w:pPr>
        <w:pStyle w:val="ListParagraph"/>
        <w:numPr>
          <w:ilvl w:val="0"/>
          <w:numId w:val="2"/>
        </w:numPr>
        <w:spacing w:after="80"/>
      </w:pPr>
      <w:r>
        <w:rPr>
          <w:rFonts w:ascii="Arial" w:cs="Arial" w:eastAsia="Arial" w:hAnsi="Arial"/>
          <w:sz w:val="22"/>
          <w:szCs w:val="22"/>
        </w:rPr>
        <w:t xml:space="preserve">Scorecard de conselheiros — classificação por score de fiabilidade, exportável para CSV</w:t>
      </w:r>
    </w:p>
    <w:p>
      <w:pPr>
        <w:pStyle w:val="ListParagraph"/>
        <w:numPr>
          <w:ilvl w:val="0"/>
          <w:numId w:val="2"/>
        </w:numPr>
        <w:spacing w:after="80"/>
      </w:pPr>
      <w:r>
        <w:rPr>
          <w:rFonts w:ascii="Arial" w:cs="Arial" w:eastAsia="Arial" w:hAnsi="Arial"/>
          <w:sz w:val="22"/>
          <w:szCs w:val="22"/>
        </w:rPr>
        <w:t xml:space="preserve">Relatório por Período — tendência de 8 períodos com gráfico Yield% e contagem RED</w:t>
      </w:r>
    </w:p>
    <w:p>
      <w:pPr>
        <w:pStyle w:val="ListParagraph"/>
        <w:numPr>
          <w:ilvl w:val="0"/>
          <w:numId w:val="2"/>
        </w:numPr>
        <w:spacing w:after="80"/>
      </w:pPr>
      <w:r>
        <w:rPr>
          <w:rFonts w:ascii="Arial" w:cs="Arial" w:eastAsia="Arial" w:hAnsi="Arial"/>
          <w:sz w:val="22"/>
          <w:szCs w:val="22"/>
        </w:rPr>
        <w:t xml:space="preserve">Exportação de dados</w:t>
      </w:r>
    </w:p>
    <w:p>
      <w:pPr>
        <w:pStyle w:val="Heading2"/>
        <w:spacing w:after="120" w:before="280"/>
      </w:pPr>
      <w:r>
        <w:rPr>
          <w:rFonts w:ascii="Arial" w:cs="Arial" w:eastAsia="Arial" w:hAnsi="Arial"/>
          <w:b/>
          <w:bCs/>
          <w:color w:val="1B3A6B"/>
          <w:sz w:val="26"/>
          <w:szCs w:val="26"/>
        </w:rPr>
        <w:t xml:space="preserve">3.3 Assessor Técnico Nacional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2D3748" w:val="clear"/>
            <w:tcMar>
              <w:top w:type="dxa" w:w="120"/>
              <w:left w:type="dxa" w:w="200"/>
              <w:bottom w:type="dxa" w:w="120"/>
              <w:right w:type="dxa" w:w="200"/>
            </w:tcMar>
          </w:tcPr>
          <w:p>
            <w:pPr>
              <w:spacing w:after="0"/>
            </w:pPr>
            <w:r>
              <w:rPr>
                <w:rFonts w:ascii="Arial" w:cs="Arial" w:eastAsia="Arial" w:hAnsi="Arial"/>
                <w:b/>
                <w:bCs/>
                <w:color w:val="FFFFFF"/>
                <w:sz w:val="22"/>
                <w:szCs w:val="22"/>
              </w:rPr>
              <w:t xml:space="preserve">🌍  Perfil: NACIONAL  |  Acesso: Leitura  |  Âmbito: Todas as províncias</w:t>
            </w:r>
          </w:p>
        </w:tc>
      </w:tr>
    </w:tbl>
    <w:p>
      <w:pPr>
        <w:spacing w:after="120"/>
      </w:pPr>
      <w:r>
        <w:rPr>
          <w:rFonts w:ascii="Arial" w:cs="Arial" w:eastAsia="Arial" w:hAnsi="Arial"/>
        </w:rPr>
        <w:t xml:space="preserve"/>
      </w:r>
    </w:p>
    <w:p>
      <w:pPr>
        <w:spacing w:after="140"/>
      </w:pPr>
      <w:r>
        <w:rPr>
          <w:rFonts w:ascii="Arial" w:cs="Arial" w:eastAsia="Arial" w:hAnsi="Arial"/>
          <w:sz w:val="22"/>
          <w:szCs w:val="22"/>
        </w:rPr>
        <w:t xml:space="preserve">Perfil de leitura para assessores técnicos nacionais ou consultores PEPFAR/USAID. Recebe dados de todas as províncias simultaneamente sem necessidade de filtrar. Mostra sempre o quadro comparativo entre Manica e Zambézia.</w:t>
      </w:r>
    </w:p>
    <w:p>
      <w:pPr>
        <w:spacing w:after="140"/>
      </w:pPr>
      <w:r>
        <w:rPr>
          <w:rFonts w:ascii="Arial" w:cs="Arial" w:eastAsia="Arial" w:hAnsi="Arial"/>
          <w:sz w:val="22"/>
          <w:szCs w:val="22"/>
        </w:rPr>
        <w:t xml:space="preserve">Tem as mesmas funcionalidades de análise do perfil Provincial mas com âmbito nacional, e um marcador visual "🌍 Acesso Nacional · Leitura" no cabeçalho das páginas.</w:t>
      </w:r>
    </w:p>
    <w:p>
      <w:r>
        <w:br w:type="page"/>
      </w:r>
    </w:p>
    <w:p>
      <w:pPr>
        <w:pStyle w:val="Heading1"/>
        <w:spacing w:after="160" w:before="360"/>
      </w:pPr>
      <w:r>
        <w:rPr>
          <w:rFonts w:ascii="Arial" w:cs="Arial" w:eastAsia="Arial" w:hAnsi="Arial"/>
          <w:b/>
          <w:bCs/>
          <w:color w:val="1B3A6B"/>
          <w:sz w:val="32"/>
          <w:szCs w:val="32"/>
        </w:rPr>
        <w:t xml:space="preserve">4. Módulos e Funcionalidades</w:t>
      </w:r>
    </w:p>
    <w:p>
      <w:pPr>
        <w:pStyle w:val="Heading2"/>
        <w:spacing w:after="120" w:before="280"/>
      </w:pPr>
      <w:r>
        <w:rPr>
          <w:rFonts w:ascii="Arial" w:cs="Arial" w:eastAsia="Arial" w:hAnsi="Arial"/>
          <w:b/>
          <w:bCs/>
          <w:color w:val="1B3A6B"/>
          <w:sz w:val="26"/>
          <w:szCs w:val="26"/>
        </w:rPr>
        <w:t xml:space="preserve">4.1 Gestão de Conselheiros</w:t>
      </w:r>
    </w:p>
    <w:p>
      <w:pPr>
        <w:spacing w:after="140"/>
      </w:pPr>
      <w:r>
        <w:rPr>
          <w:rFonts w:ascii="Arial" w:cs="Arial" w:eastAsia="Arial" w:hAnsi="Arial"/>
          <w:sz w:val="22"/>
          <w:szCs w:val="22"/>
        </w:rPr>
        <w:t xml:space="preserve">O módulo de Conselheiros permite criar e gerir a lista de conselheiros leigos atribuídos ao supervisor distrital. Cada conselheiro tem os seguintes campos: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E2E8F0" w:sz="4"/>
              <w:left w:val="single" w:color="E2E8F0" w:sz="4"/>
              <w:bottom w:val="single" w:color="E2E8F0" w:sz="4"/>
              <w:right w:val="single" w:color="E2E8F0" w:sz="4"/>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Campo</w:t>
            </w:r>
          </w:p>
        </w:tc>
        <w:tc>
          <w:tcPr>
            <w:tcW w:type="dxa" w:w="6838"/>
            <w:tcBorders>
              <w:top w:val="single" w:color="E2E8F0" w:sz="4"/>
              <w:left w:val="single" w:color="E2E8F0" w:sz="4"/>
              <w:bottom w:val="single" w:color="E2E8F0" w:sz="4"/>
              <w:right w:val="single" w:color="E2E8F0" w:sz="4"/>
            </w:tcBorders>
            <w:shd w:fill="1B3A6B" w:val="clear"/>
            <w:tcMar>
              <w:top w:type="dxa" w:w="80"/>
              <w:left w:type="dxa" w:w="120"/>
              <w:bottom w:type="dxa" w:w="80"/>
              <w:right w:type="dxa" w:w="120"/>
            </w:tcMar>
          </w:tcPr>
          <w:p>
            <w:pPr>
              <w:spacing w:after="0"/>
            </w:pPr>
            <w:r>
              <w:rPr>
                <w:rFonts w:ascii="Arial" w:cs="Arial" w:eastAsia="Arial" w:hAnsi="Arial"/>
                <w:color w:val="FFFFFF"/>
                <w:sz w:val="20"/>
                <w:szCs w:val="20"/>
              </w:rPr>
              <w:t xml:space="preserve">Descrição</w:t>
            </w:r>
          </w:p>
        </w:tc>
      </w:tr>
      <w:tr>
        <w:tc>
          <w:tcPr>
            <w:tcW w:type="dxa" w:w="28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Nome Completo</w:t>
            </w:r>
          </w:p>
        </w:tc>
        <w:tc>
          <w:tcPr>
            <w:tcW w:type="dxa" w:w="68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Nome do conselheiro (obrigatório)</w:t>
            </w:r>
          </w:p>
        </w:tc>
      </w:tr>
      <w:tr>
        <w:tc>
          <w:tcPr>
            <w:tcW w:type="dxa" w:w="28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Distrito</w:t>
            </w:r>
          </w:p>
        </w:tc>
        <w:tc>
          <w:tcPr>
            <w:tcW w:type="dxa" w:w="68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Distrito de trabalho, seleccionado a partir da lista de distritos da província (obrigatório)</w:t>
            </w:r>
          </w:p>
        </w:tc>
      </w:tr>
      <w:tr>
        <w:tc>
          <w:tcPr>
            <w:tcW w:type="dxa" w:w="28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Unidade Sanitária</w:t>
            </w:r>
          </w:p>
        </w:tc>
        <w:tc>
          <w:tcPr>
            <w:tcW w:type="dxa" w:w="68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Nome da US onde o conselheiro trabalha</w:t>
            </w:r>
          </w:p>
        </w:tc>
      </w:tr>
      <w:tr>
        <w:tc>
          <w:tcPr>
            <w:tcW w:type="dxa" w:w="28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Nível de Formação</w:t>
            </w:r>
          </w:p>
        </w:tc>
        <w:tc>
          <w:tcPr>
            <w:tcW w:type="dxa" w:w="68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Básico / Médio / Superior</w:t>
            </w:r>
          </w:p>
        </w:tc>
      </w:tr>
      <w:tr>
        <w:tc>
          <w:tcPr>
            <w:tcW w:type="dxa" w:w="28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Telefone</w:t>
            </w:r>
          </w:p>
        </w:tc>
        <w:tc>
          <w:tcPr>
            <w:tcW w:type="dxa" w:w="68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Contacto do conselheiro</w:t>
            </w:r>
          </w:p>
        </w:tc>
      </w:tr>
      <w:tr>
        <w:tc>
          <w:tcPr>
            <w:tcW w:type="dxa" w:w="28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Responsável Clínico</w:t>
            </w:r>
          </w:p>
        </w:tc>
        <w:tc>
          <w:tcPr>
            <w:tcW w:type="dxa" w:w="68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Nome do supervisor directo na US</w:t>
            </w:r>
          </w:p>
        </w:tc>
      </w:tr>
      <w:tr>
        <w:tc>
          <w:tcPr>
            <w:tcW w:type="dxa" w:w="28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Estado</w:t>
            </w:r>
          </w:p>
        </w:tc>
        <w:tc>
          <w:tcPr>
            <w:tcW w:type="dxa" w:w="68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Activo / Inactivo — conselheiros inactivos são excluídos dos registos</w:t>
            </w:r>
          </w:p>
        </w:tc>
      </w:tr>
    </w:tbl>
    <w:p>
      <w:pPr>
        <w:spacing w:after="120"/>
      </w:pPr>
      <w:r>
        <w:rPr>
          <w:rFonts w:ascii="Arial" w:cs="Arial" w:eastAsia="Arial" w:hAnsi="Arial"/>
        </w:rPr>
        <w:t xml:space="preserve"/>
      </w:r>
    </w:p>
    <w:p>
      <w:pPr>
        <w:spacing w:after="140"/>
      </w:pPr>
      <w:r>
        <w:rPr>
          <w:rFonts w:ascii="Arial" w:cs="Arial" w:eastAsia="Arial" w:hAnsi="Arial"/>
          <w:sz w:val="22"/>
          <w:szCs w:val="22"/>
        </w:rPr>
        <w:t xml:space="preserve">A lista pode ser filtrada por nome/US, distrito e estado. A tabela de conselheiros mostra o score do período actual para cada conselheiro, com link directo para a sua Ficha de Fiabilidade.</w:t>
      </w:r>
    </w:p>
    <w:p>
      <w:pPr>
        <w:spacing w:after="140"/>
      </w:pPr>
      <w:r>
        <w:rPr>
          <w:rFonts w:ascii="Arial" w:cs="Arial" w:eastAsia="Arial" w:hAnsi="Arial"/>
          <w:sz w:val="22"/>
          <w:szCs w:val="22"/>
        </w:rPr>
        <w:t xml:space="preserve">A eliminação de um conselheiro remove também todos os seus registos de resultados e stock associados.</w:t>
      </w:r>
    </w:p>
    <w:p>
      <w:pPr>
        <w:pStyle w:val="Heading2"/>
        <w:spacing w:after="120" w:before="280"/>
      </w:pPr>
      <w:r>
        <w:rPr>
          <w:rFonts w:ascii="Arial" w:cs="Arial" w:eastAsia="Arial" w:hAnsi="Arial"/>
          <w:b/>
          <w:bCs/>
          <w:color w:val="1B3A6B"/>
          <w:sz w:val="26"/>
          <w:szCs w:val="26"/>
        </w:rPr>
        <w:t xml:space="preserve">4.2 Registar Resultados — Mapa de Consumo</w:t>
      </w:r>
    </w:p>
    <w:p>
      <w:pPr>
        <w:spacing w:after="140"/>
      </w:pPr>
      <w:r>
        <w:rPr>
          <w:rFonts w:ascii="Arial" w:cs="Arial" w:eastAsia="Arial" w:hAnsi="Arial"/>
          <w:sz w:val="22"/>
          <w:szCs w:val="22"/>
        </w:rPr>
        <w:t xml:space="preserve">Este é o módulo principal de entrada de dados. Replica a estrutura do formulário oficial do MISAU "Mapa de Consumo de Testes Rápidos", restrito às secções de VIH (Determine e Unigold).</w:t>
      </w:r>
    </w:p>
    <w:p>
      <w:pPr>
        <w:pStyle w:val="Heading3"/>
        <w:spacing w:after="80" w:before="200"/>
      </w:pPr>
      <w:r>
        <w:rPr>
          <w:rFonts w:ascii="Arial" w:cs="Arial" w:eastAsia="Arial" w:hAnsi="Arial"/>
          <w:b/>
          <w:bCs/>
          <w:color w:val="2D3748"/>
          <w:sz w:val="22"/>
          <w:szCs w:val="22"/>
        </w:rPr>
        <w:t xml:space="preserve">Cabeçalho do Registo</w:t>
      </w:r>
    </w:p>
    <w:p>
      <w:pPr>
        <w:pStyle w:val="ListParagraph"/>
        <w:numPr>
          <w:ilvl w:val="0"/>
          <w:numId w:val="2"/>
        </w:numPr>
        <w:spacing w:after="80"/>
      </w:pPr>
      <w:r>
        <w:rPr>
          <w:rFonts w:ascii="Arial" w:cs="Arial" w:eastAsia="Arial" w:hAnsi="Arial"/>
          <w:sz w:val="22"/>
          <w:szCs w:val="22"/>
        </w:rPr>
        <w:t xml:space="preserve">Conselheiro — selecção da lista de conselheiros activos</w:t>
      </w:r>
    </w:p>
    <w:p>
      <w:pPr>
        <w:pStyle w:val="ListParagraph"/>
        <w:numPr>
          <w:ilvl w:val="0"/>
          <w:numId w:val="2"/>
        </w:numPr>
        <w:spacing w:after="80"/>
      </w:pPr>
      <w:r>
        <w:rPr>
          <w:rFonts w:ascii="Arial" w:cs="Arial" w:eastAsia="Arial" w:hAnsi="Arial"/>
          <w:sz w:val="22"/>
          <w:szCs w:val="22"/>
        </w:rPr>
        <w:t xml:space="preserve">Tipo de Período — Semanal (referência 2026-W23) ou Mensal (referência 2026-06)</w:t>
      </w:r>
    </w:p>
    <w:p>
      <w:pPr>
        <w:pStyle w:val="ListParagraph"/>
        <w:numPr>
          <w:ilvl w:val="0"/>
          <w:numId w:val="2"/>
        </w:numPr>
        <w:spacing w:after="80"/>
      </w:pPr>
      <w:r>
        <w:rPr>
          <w:rFonts w:ascii="Arial" w:cs="Arial" w:eastAsia="Arial" w:hAnsi="Arial"/>
          <w:sz w:val="22"/>
          <w:szCs w:val="22"/>
        </w:rPr>
        <w:t xml:space="preserve">Depósito / Serviço Utilizador — secção da US onde os testes foram feitos (ex: ATS Consulta, Maternidade)</w:t>
      </w:r>
    </w:p>
    <w:p>
      <w:pPr>
        <w:pStyle w:val="ListParagraph"/>
        <w:numPr>
          <w:ilvl w:val="0"/>
          <w:numId w:val="2"/>
        </w:numPr>
        <w:spacing w:after="80"/>
      </w:pPr>
      <w:r>
        <w:rPr>
          <w:rFonts w:ascii="Arial" w:cs="Arial" w:eastAsia="Arial" w:hAnsi="Arial"/>
          <w:sz w:val="22"/>
          <w:szCs w:val="22"/>
        </w:rPr>
        <w:t xml:space="preserve">Assinatura — nome do responsável pelo preenchimento</w:t>
      </w:r>
    </w:p>
    <w:p>
      <w:pPr>
        <w:pStyle w:val="Heading3"/>
        <w:spacing w:after="80" w:before="200"/>
      </w:pPr>
      <w:r>
        <w:rPr>
          <w:rFonts w:ascii="Arial" w:cs="Arial" w:eastAsia="Arial" w:hAnsi="Arial"/>
          <w:b/>
          <w:bCs/>
          <w:color w:val="2D3748"/>
          <w:sz w:val="22"/>
          <w:szCs w:val="22"/>
        </w:rPr>
        <w:t xml:space="preserve">Mapa de Consumo (Tabela Oficial)</w:t>
      </w:r>
    </w:p>
    <w:p>
      <w:pPr>
        <w:spacing w:after="140"/>
      </w:pPr>
      <w:r>
        <w:rPr>
          <w:rFonts w:ascii="Arial" w:cs="Arial" w:eastAsia="Arial" w:hAnsi="Arial"/>
          <w:sz w:val="22"/>
          <w:szCs w:val="22"/>
        </w:rPr>
        <w:t xml:space="preserve">A tabela principal espelha o formulário MISAU com colunas Consumo | Positivos | Injustificados para cada teste: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E2E8F0" w:sz="4"/>
              <w:left w:val="single" w:color="E2E8F0" w:sz="4"/>
              <w:bottom w:val="single" w:color="E2E8F0" w:sz="4"/>
              <w:right w:val="single" w:color="E2E8F0" w:sz="4"/>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Coluna</w:t>
            </w:r>
          </w:p>
        </w:tc>
        <w:tc>
          <w:tcPr>
            <w:tcW w:type="dxa" w:w="7438"/>
            <w:tcBorders>
              <w:top w:val="single" w:color="E2E8F0" w:sz="4"/>
              <w:left w:val="single" w:color="E2E8F0" w:sz="4"/>
              <w:bottom w:val="single" w:color="E2E8F0" w:sz="4"/>
              <w:right w:val="single" w:color="E2E8F0" w:sz="4"/>
            </w:tcBorders>
            <w:shd w:fill="1B3A6B" w:val="clear"/>
            <w:tcMar>
              <w:top w:type="dxa" w:w="80"/>
              <w:left w:type="dxa" w:w="120"/>
              <w:bottom w:type="dxa" w:w="80"/>
              <w:right w:type="dxa" w:w="120"/>
            </w:tcMar>
          </w:tcPr>
          <w:p>
            <w:pPr>
              <w:spacing w:after="0"/>
            </w:pPr>
            <w:r>
              <w:rPr>
                <w:rFonts w:ascii="Arial" w:cs="Arial" w:eastAsia="Arial" w:hAnsi="Arial"/>
                <w:color w:val="FFFFFF"/>
                <w:sz w:val="20"/>
                <w:szCs w:val="20"/>
              </w:rPr>
              <w:t xml:space="preserve">Determine / Unigold</w:t>
            </w:r>
          </w:p>
        </w:tc>
      </w:tr>
      <w:tr>
        <w:tc>
          <w:tcPr>
            <w:tcW w:type="dxa" w:w="22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Consumo</w:t>
            </w:r>
          </w:p>
        </w:tc>
        <w:tc>
          <w:tcPr>
            <w:tcW w:type="dxa" w:w="74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Nº de testes Determine consumidos / Nº de testes Unigold consumidos</w:t>
            </w:r>
          </w:p>
        </w:tc>
      </w:tr>
      <w:tr>
        <w:tc>
          <w:tcPr>
            <w:tcW w:type="dxa" w:w="22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Positivos</w:t>
            </w:r>
          </w:p>
        </w:tc>
        <w:tc>
          <w:tcPr>
            <w:tcW w:type="dxa" w:w="74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Nº de resultados reactivos Determine / Nº de resultados reactivos Unigold</w:t>
            </w:r>
          </w:p>
        </w:tc>
      </w:tr>
      <w:tr>
        <w:tc>
          <w:tcPr>
            <w:tcW w:type="dxa" w:w="22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Injustificados</w:t>
            </w:r>
          </w:p>
        </w:tc>
        <w:tc>
          <w:tcPr>
            <w:tcW w:type="dxa" w:w="74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Testes consumidos sem resultado registado (Determine) / Testes consumidos sem resultado registado (Unigold)</w:t>
            </w:r>
          </w:p>
        </w:tc>
      </w:tr>
    </w:tbl>
    <w:p>
      <w:pPr>
        <w:spacing w:after="120"/>
      </w:pPr>
      <w:r>
        <w:rPr>
          <w:rFonts w:ascii="Arial" w:cs="Arial" w:eastAsia="Arial" w:hAnsi="Arial"/>
        </w:rPr>
        <w:t xml:space="preserve"/>
      </w:r>
    </w:p>
    <w:p>
      <w:pPr>
        <w:spacing w:after="140"/>
      </w:pPr>
      <w:r>
        <w:rPr>
          <w:rFonts w:ascii="Arial" w:cs="Arial" w:eastAsia="Arial" w:hAnsi="Arial"/>
          <w:sz w:val="22"/>
          <w:szCs w:val="22"/>
        </w:rPr>
        <w:t xml:space="preserve">Os Injustificados podem ser calculados automaticamente (Determine: Consumo − Total Testados; Unigold: Consumo − Unigold Realizados) ou introduzidos manualmente.</w:t>
      </w:r>
    </w:p>
    <w:p>
      <w:pPr>
        <w:pStyle w:val="Heading3"/>
        <w:spacing w:after="80" w:before="200"/>
      </w:pPr>
      <w:r>
        <w:rPr>
          <w:rFonts w:ascii="Arial" w:cs="Arial" w:eastAsia="Arial" w:hAnsi="Arial"/>
          <w:b/>
          <w:bCs/>
          <w:color w:val="2D3748"/>
          <w:sz w:val="22"/>
          <w:szCs w:val="22"/>
        </w:rPr>
        <w:t xml:space="preserve">Detalhe do Algoritmo VIH (colapsável)</w:t>
      </w:r>
    </w:p>
    <w:p>
      <w:pPr>
        <w:spacing w:after="140"/>
      </w:pPr>
      <w:r>
        <w:rPr>
          <w:rFonts w:ascii="Arial" w:cs="Arial" w:eastAsia="Arial" w:hAnsi="Arial"/>
          <w:sz w:val="22"/>
          <w:szCs w:val="22"/>
        </w:rPr>
        <w:t xml:space="preserve">Secção colapsável com os campos necessários para o motor de fiabilidade (C01–C09):</w:t>
      </w:r>
    </w:p>
    <w:p>
      <w:pPr>
        <w:pStyle w:val="ListParagraph"/>
        <w:numPr>
          <w:ilvl w:val="0"/>
          <w:numId w:val="2"/>
        </w:numPr>
        <w:spacing w:after="80"/>
      </w:pPr>
      <w:r>
        <w:rPr>
          <w:rFonts w:ascii="Arial" w:cs="Arial" w:eastAsia="Arial" w:hAnsi="Arial"/>
          <w:sz w:val="22"/>
          <w:szCs w:val="22"/>
        </w:rPr>
        <w:t xml:space="preserve">Total Testados — todos os indivíduos testados no período</w:t>
      </w:r>
    </w:p>
    <w:p>
      <w:pPr>
        <w:pStyle w:val="ListParagraph"/>
        <w:numPr>
          <w:ilvl w:val="0"/>
          <w:numId w:val="2"/>
        </w:numPr>
        <w:spacing w:after="80"/>
      </w:pPr>
      <w:r>
        <w:rPr>
          <w:rFonts w:ascii="Arial" w:cs="Arial" w:eastAsia="Arial" w:hAnsi="Arial"/>
          <w:sz w:val="22"/>
          <w:szCs w:val="22"/>
        </w:rPr>
        <w:t xml:space="preserve">Determine Reactivos — resultado positivo no teste de triagem</w:t>
      </w:r>
    </w:p>
    <w:p>
      <w:pPr>
        <w:pStyle w:val="ListParagraph"/>
        <w:numPr>
          <w:ilvl w:val="0"/>
          <w:numId w:val="2"/>
        </w:numPr>
        <w:spacing w:after="80"/>
      </w:pPr>
      <w:r>
        <w:rPr>
          <w:rFonts w:ascii="Arial" w:cs="Arial" w:eastAsia="Arial" w:hAnsi="Arial"/>
          <w:sz w:val="22"/>
          <w:szCs w:val="22"/>
        </w:rPr>
        <w:t xml:space="preserve">Determine Não Reactivos — resultado negativo no teste de triagem (HIV− final)</w:t>
      </w:r>
    </w:p>
    <w:p>
      <w:pPr>
        <w:pStyle w:val="ListParagraph"/>
        <w:numPr>
          <w:ilvl w:val="0"/>
          <w:numId w:val="2"/>
        </w:numPr>
        <w:spacing w:after="80"/>
      </w:pPr>
      <w:r>
        <w:rPr>
          <w:rFonts w:ascii="Arial" w:cs="Arial" w:eastAsia="Arial" w:hAnsi="Arial"/>
          <w:sz w:val="22"/>
          <w:szCs w:val="22"/>
        </w:rPr>
        <w:t xml:space="preserve">Unigold Realizados — nº de testes confirmatórios feitos</w:t>
      </w:r>
    </w:p>
    <w:p>
      <w:pPr>
        <w:pStyle w:val="ListParagraph"/>
        <w:numPr>
          <w:ilvl w:val="0"/>
          <w:numId w:val="2"/>
        </w:numPr>
        <w:spacing w:after="80"/>
      </w:pPr>
      <w:r>
        <w:rPr>
          <w:rFonts w:ascii="Arial" w:cs="Arial" w:eastAsia="Arial" w:hAnsi="Arial"/>
          <w:sz w:val="22"/>
          <w:szCs w:val="22"/>
        </w:rPr>
        <w:t xml:space="preserve">Unigold Reactivos — resultado positivo no teste confirmatório (HIV+ final)</w:t>
      </w:r>
    </w:p>
    <w:p>
      <w:pPr>
        <w:pStyle w:val="ListParagraph"/>
        <w:numPr>
          <w:ilvl w:val="0"/>
          <w:numId w:val="2"/>
        </w:numPr>
        <w:spacing w:after="80"/>
      </w:pPr>
      <w:r>
        <w:rPr>
          <w:rFonts w:ascii="Arial" w:cs="Arial" w:eastAsia="Arial" w:hAnsi="Arial"/>
          <w:sz w:val="22"/>
          <w:szCs w:val="22"/>
        </w:rPr>
        <w:t xml:space="preserve">Unigold Não Reactivos — resultado negativo no confirmatório (Indeterminado)</w:t>
      </w:r>
    </w:p>
    <w:p>
      <w:pPr>
        <w:pStyle w:val="ListParagraph"/>
        <w:numPr>
          <w:ilvl w:val="0"/>
          <w:numId w:val="2"/>
        </w:numPr>
        <w:spacing w:after="80"/>
      </w:pPr>
      <w:r>
        <w:rPr>
          <w:rFonts w:ascii="Arial" w:cs="Arial" w:eastAsia="Arial" w:hAnsi="Arial"/>
          <w:sz w:val="22"/>
          <w:szCs w:val="22"/>
        </w:rPr>
        <w:t xml:space="preserve">Positivos Confirmados — total de resultados HIV+ finais</w:t>
      </w:r>
    </w:p>
    <w:p>
      <w:pPr>
        <w:pStyle w:val="ListParagraph"/>
        <w:numPr>
          <w:ilvl w:val="0"/>
          <w:numId w:val="2"/>
        </w:numPr>
        <w:spacing w:after="80"/>
      </w:pPr>
      <w:r>
        <w:rPr>
          <w:rFonts w:ascii="Arial" w:cs="Arial" w:eastAsia="Arial" w:hAnsi="Arial"/>
          <w:sz w:val="22"/>
          <w:szCs w:val="22"/>
        </w:rPr>
        <w:t xml:space="preserve">Negativos Finais — total de resultados HIV− finais</w:t>
      </w:r>
    </w:p>
    <w:p>
      <w:pPr>
        <w:pStyle w:val="ListParagraph"/>
        <w:numPr>
          <w:ilvl w:val="0"/>
          <w:numId w:val="2"/>
        </w:numPr>
        <w:spacing w:after="80"/>
      </w:pPr>
      <w:r>
        <w:rPr>
          <w:rFonts w:ascii="Arial" w:cs="Arial" w:eastAsia="Arial" w:hAnsi="Arial"/>
          <w:sz w:val="22"/>
          <w:szCs w:val="22"/>
        </w:rPr>
        <w:t xml:space="preserve">Indeterminados — resultados inconclusivos</w:t>
      </w:r>
    </w:p>
    <w:p>
      <w:pPr>
        <w:pStyle w:val="Heading3"/>
        <w:spacing w:after="80" w:before="200"/>
      </w:pPr>
      <w:r>
        <w:rPr>
          <w:rFonts w:ascii="Arial" w:cs="Arial" w:eastAsia="Arial" w:hAnsi="Arial"/>
          <w:b/>
          <w:bCs/>
          <w:color w:val="2D3748"/>
          <w:sz w:val="22"/>
          <w:szCs w:val="22"/>
        </w:rPr>
        <w:t xml:space="preserve">Reconciliação de Stock (colapsável)</w:t>
      </w:r>
    </w:p>
    <w:p>
      <w:pPr>
        <w:spacing w:after="140"/>
      </w:pPr>
      <w:r>
        <w:rPr>
          <w:rFonts w:ascii="Arial" w:cs="Arial" w:eastAsia="Arial" w:hAnsi="Arial"/>
          <w:sz w:val="22"/>
          <w:szCs w:val="22"/>
        </w:rPr>
        <w:t xml:space="preserve">Para Determine e Unigold independentemente:</w:t>
      </w:r>
    </w:p>
    <w:p>
      <w:pPr>
        <w:pStyle w:val="ListParagraph"/>
        <w:numPr>
          <w:ilvl w:val="0"/>
          <w:numId w:val="2"/>
        </w:numPr>
        <w:spacing w:after="80"/>
      </w:pPr>
      <w:r>
        <w:rPr>
          <w:rFonts w:ascii="Arial" w:cs="Arial" w:eastAsia="Arial" w:hAnsi="Arial"/>
          <w:sz w:val="22"/>
          <w:szCs w:val="22"/>
        </w:rPr>
        <w:t xml:space="preserve">Stock Abertura — stock disponível no início do período</w:t>
      </w:r>
    </w:p>
    <w:p>
      <w:pPr>
        <w:pStyle w:val="ListParagraph"/>
        <w:numPr>
          <w:ilvl w:val="0"/>
          <w:numId w:val="2"/>
        </w:numPr>
        <w:spacing w:after="80"/>
      </w:pPr>
      <w:r>
        <w:rPr>
          <w:rFonts w:ascii="Arial" w:cs="Arial" w:eastAsia="Arial" w:hAnsi="Arial"/>
          <w:sz w:val="22"/>
          <w:szCs w:val="22"/>
        </w:rPr>
        <w:t xml:space="preserve">Recebido — testes recebidos durante o período</w:t>
      </w:r>
    </w:p>
    <w:p>
      <w:pPr>
        <w:pStyle w:val="ListParagraph"/>
        <w:numPr>
          <w:ilvl w:val="0"/>
          <w:numId w:val="2"/>
        </w:numPr>
        <w:spacing w:after="80"/>
      </w:pPr>
      <w:r>
        <w:rPr>
          <w:rFonts w:ascii="Arial" w:cs="Arial" w:eastAsia="Arial" w:hAnsi="Arial"/>
          <w:sz w:val="22"/>
          <w:szCs w:val="22"/>
        </w:rPr>
        <w:t xml:space="preserve">Expirado / Perdido — testes expirados ou extraviados</w:t>
      </w:r>
    </w:p>
    <w:p>
      <w:pPr>
        <w:pStyle w:val="ListParagraph"/>
        <w:numPr>
          <w:ilvl w:val="0"/>
          <w:numId w:val="2"/>
        </w:numPr>
        <w:spacing w:after="80"/>
      </w:pPr>
      <w:r>
        <w:rPr>
          <w:rFonts w:ascii="Arial" w:cs="Arial" w:eastAsia="Arial" w:hAnsi="Arial"/>
          <w:sz w:val="22"/>
          <w:szCs w:val="22"/>
        </w:rPr>
        <w:t xml:space="preserve">Stock Fecho — stock disponível no final do período</w:t>
      </w:r>
    </w:p>
    <w:p>
      <w:pPr>
        <w:spacing w:after="140"/>
      </w:pPr>
      <w:r>
        <w:rPr>
          <w:rFonts w:ascii="Arial" w:cs="Arial" w:eastAsia="Arial" w:hAnsi="Arial"/>
          <w:sz w:val="22"/>
          <w:szCs w:val="22"/>
        </w:rPr>
        <w:t xml:space="preserve">O campo "Consumido" é lido automaticamente do Mapa de Consumo acima e não precisa de ser reintroduzido.</w:t>
      </w:r>
    </w:p>
    <w:p>
      <w:pPr>
        <w:pStyle w:val="Heading3"/>
        <w:spacing w:after="80" w:before="200"/>
      </w:pPr>
      <w:r>
        <w:rPr>
          <w:rFonts w:ascii="Arial" w:cs="Arial" w:eastAsia="Arial" w:hAnsi="Arial"/>
          <w:b/>
          <w:bCs/>
          <w:color w:val="2D3748"/>
          <w:sz w:val="22"/>
          <w:szCs w:val="22"/>
        </w:rPr>
        <w:t xml:space="preserve">Validação em Tempo Real</w:t>
      </w:r>
    </w:p>
    <w:p>
      <w:pPr>
        <w:spacing w:after="140"/>
      </w:pPr>
      <w:r>
        <w:rPr>
          <w:rFonts w:ascii="Arial" w:cs="Arial" w:eastAsia="Arial" w:hAnsi="Arial"/>
          <w:sz w:val="22"/>
          <w:szCs w:val="22"/>
        </w:rPr>
        <w:t xml:space="preserve">À medida que o utilizador preenche o formulário, a aplicação calcula automaticamente todos os checks de fiabilidade e mostra:</w:t>
      </w:r>
    </w:p>
    <w:p>
      <w:pPr>
        <w:pStyle w:val="ListParagraph"/>
        <w:numPr>
          <w:ilvl w:val="0"/>
          <w:numId w:val="2"/>
        </w:numPr>
        <w:spacing w:after="80"/>
      </w:pPr>
      <w:r>
        <w:rPr>
          <w:rFonts w:ascii="Arial" w:cs="Arial" w:eastAsia="Arial" w:hAnsi="Arial"/>
          <w:sz w:val="22"/>
          <w:szCs w:val="22"/>
        </w:rPr>
        <w:t xml:space="preserve">Painel de flags (HIGH em vermelho, MEDIUM em amarelo) com código e descrição</w:t>
      </w:r>
    </w:p>
    <w:p>
      <w:pPr>
        <w:pStyle w:val="ListParagraph"/>
        <w:numPr>
          <w:ilvl w:val="0"/>
          <w:numId w:val="2"/>
        </w:numPr>
        <w:spacing w:after="80"/>
      </w:pPr>
      <w:r>
        <w:rPr>
          <w:rFonts w:ascii="Arial" w:cs="Arial" w:eastAsia="Arial" w:hAnsi="Arial"/>
          <w:sz w:val="22"/>
          <w:szCs w:val="22"/>
        </w:rPr>
        <w:t xml:space="preserve">Pré-visualização de indicadores: Yield%, Aderência%, Indeterminados%, Injustificados Determine/Unigold, Score Global</w:t>
      </w:r>
    </w:p>
    <w:p>
      <w:pPr>
        <w:spacing w:after="140"/>
      </w:pPr>
      <w:r>
        <w:rPr>
          <w:rFonts w:ascii="Arial" w:cs="Arial" w:eastAsia="Arial" w:hAnsi="Arial"/>
          <w:sz w:val="22"/>
          <w:szCs w:val="22"/>
        </w:rPr>
        <w:t xml:space="preserve">O botão "Guardar" fica disponível após seleccionar um conselheiro. Pode guardar mesmo com flags — a validação é informativa, não bloqueante.</w:t>
      </w:r>
    </w:p>
    <w:p>
      <w:pPr>
        <w:pStyle w:val="Heading2"/>
        <w:spacing w:after="120" w:before="280"/>
      </w:pPr>
      <w:r>
        <w:rPr>
          <w:rFonts w:ascii="Arial" w:cs="Arial" w:eastAsia="Arial" w:hAnsi="Arial"/>
          <w:b/>
          <w:bCs/>
          <w:color w:val="1B3A6B"/>
          <w:sz w:val="26"/>
          <w:szCs w:val="26"/>
        </w:rPr>
        <w:t xml:space="preserve">4.3 Ficha de Fiabilidade</w:t>
      </w:r>
    </w:p>
    <w:p>
      <w:pPr>
        <w:spacing w:after="140"/>
      </w:pPr>
      <w:r>
        <w:rPr>
          <w:rFonts w:ascii="Arial" w:cs="Arial" w:eastAsia="Arial" w:hAnsi="Arial"/>
          <w:sz w:val="22"/>
          <w:szCs w:val="22"/>
        </w:rPr>
        <w:t xml:space="preserve">A Ficha de Fiabilidade é o ecrã de análise individual de um conselheiro. Mostra o histórico completo de desempenho com:</w:t>
      </w:r>
    </w:p>
    <w:p>
      <w:pPr>
        <w:pStyle w:val="ListParagraph"/>
        <w:numPr>
          <w:ilvl w:val="0"/>
          <w:numId w:val="2"/>
        </w:numPr>
        <w:spacing w:after="80"/>
      </w:pPr>
      <w:r>
        <w:rPr>
          <w:rFonts w:ascii="Arial" w:cs="Arial" w:eastAsia="Arial" w:hAnsi="Arial"/>
          <w:sz w:val="22"/>
          <w:szCs w:val="22"/>
        </w:rPr>
        <w:t xml:space="preserve">4 cartões coloridos com o score de cada dimensão (Consistência Interna, Aderência ao Algoritmo, Reconciliação de Stock, Plausibilidade do Yield)</w:t>
      </w:r>
    </w:p>
    <w:p>
      <w:pPr>
        <w:pStyle w:val="ListParagraph"/>
        <w:numPr>
          <w:ilvl w:val="0"/>
          <w:numId w:val="2"/>
        </w:numPr>
        <w:spacing w:after="80"/>
      </w:pPr>
      <w:r>
        <w:rPr>
          <w:rFonts w:ascii="Arial" w:cs="Arial" w:eastAsia="Arial" w:hAnsi="Arial"/>
          <w:sz w:val="22"/>
          <w:szCs w:val="22"/>
        </w:rPr>
        <w:t xml:space="preserve">6 KPI mini-cards: Yield%, Aderência%, Taxa de Indeterminados, Variância Determine, Variância Unigold, Score Global</w:t>
      </w:r>
    </w:p>
    <w:p>
      <w:pPr>
        <w:pStyle w:val="ListParagraph"/>
        <w:numPr>
          <w:ilvl w:val="0"/>
          <w:numId w:val="2"/>
        </w:numPr>
        <w:spacing w:after="80"/>
      </w:pPr>
      <w:r>
        <w:rPr>
          <w:rFonts w:ascii="Arial" w:cs="Arial" w:eastAsia="Arial" w:hAnsi="Arial"/>
          <w:sz w:val="22"/>
          <w:szCs w:val="22"/>
        </w:rPr>
        <w:t xml:space="preserve">Tabela de flags activos com código, descrição e severidade</w:t>
      </w:r>
    </w:p>
    <w:p>
      <w:pPr>
        <w:pStyle w:val="ListParagraph"/>
        <w:numPr>
          <w:ilvl w:val="0"/>
          <w:numId w:val="2"/>
        </w:numPr>
        <w:spacing w:after="80"/>
      </w:pPr>
      <w:r>
        <w:rPr>
          <w:rFonts w:ascii="Arial" w:cs="Arial" w:eastAsia="Arial" w:hAnsi="Arial"/>
          <w:sz w:val="22"/>
          <w:szCs w:val="22"/>
        </w:rPr>
        <w:t xml:space="preserve">Tabela de tendências dos últimos 8 períodos (Total Testados, Positivos, Yield%, Aderência%, Score)</w:t>
      </w:r>
    </w:p>
    <w:p>
      <w:pPr>
        <w:pStyle w:val="ListParagraph"/>
        <w:numPr>
          <w:ilvl w:val="0"/>
          <w:numId w:val="2"/>
        </w:numPr>
        <w:spacing w:after="80"/>
      </w:pPr>
      <w:r>
        <w:rPr>
          <w:rFonts w:ascii="Arial" w:cs="Arial" w:eastAsia="Arial" w:hAnsi="Arial"/>
          <w:sz w:val="22"/>
          <w:szCs w:val="22"/>
        </w:rPr>
        <w:t xml:space="preserve">Gráfico de linha Chart.js com o Yield% ao longo do tempo</w:t>
      </w:r>
    </w:p>
    <w:p>
      <w:pPr>
        <w:pStyle w:val="Heading2"/>
        <w:spacing w:after="120" w:before="280"/>
      </w:pPr>
      <w:r>
        <w:rPr>
          <w:rFonts w:ascii="Arial" w:cs="Arial" w:eastAsia="Arial" w:hAnsi="Arial"/>
          <w:b/>
          <w:bCs/>
          <w:color w:val="1B3A6B"/>
          <w:sz w:val="26"/>
          <w:szCs w:val="26"/>
        </w:rPr>
        <w:t xml:space="preserve">4.4 Histórico de Registos</w:t>
      </w:r>
    </w:p>
    <w:p>
      <w:pPr>
        <w:spacing w:after="140"/>
      </w:pPr>
      <w:r>
        <w:rPr>
          <w:rFonts w:ascii="Arial" w:cs="Arial" w:eastAsia="Arial" w:hAnsi="Arial"/>
          <w:sz w:val="22"/>
          <w:szCs w:val="22"/>
        </w:rPr>
        <w:t xml:space="preserve">Tabela pesquisável e filtrável com todos os registos de resultados. Filtros disponíveis:</w:t>
      </w:r>
    </w:p>
    <w:p>
      <w:pPr>
        <w:pStyle w:val="ListParagraph"/>
        <w:numPr>
          <w:ilvl w:val="0"/>
          <w:numId w:val="2"/>
        </w:numPr>
        <w:spacing w:after="80"/>
      </w:pPr>
      <w:r>
        <w:rPr>
          <w:rFonts w:ascii="Arial" w:cs="Arial" w:eastAsia="Arial" w:hAnsi="Arial"/>
          <w:sz w:val="22"/>
          <w:szCs w:val="22"/>
        </w:rPr>
        <w:t xml:space="preserve">Pesquisa por nome de conselheiro</w:t>
      </w:r>
    </w:p>
    <w:p>
      <w:pPr>
        <w:pStyle w:val="ListParagraph"/>
        <w:numPr>
          <w:ilvl w:val="0"/>
          <w:numId w:val="2"/>
        </w:numPr>
        <w:spacing w:after="80"/>
      </w:pPr>
      <w:r>
        <w:rPr>
          <w:rFonts w:ascii="Arial" w:cs="Arial" w:eastAsia="Arial" w:hAnsi="Arial"/>
          <w:sz w:val="22"/>
          <w:szCs w:val="22"/>
        </w:rPr>
        <w:t xml:space="preserve">Filtro por período de referência</w:t>
      </w:r>
    </w:p>
    <w:p>
      <w:pPr>
        <w:pStyle w:val="ListParagraph"/>
        <w:numPr>
          <w:ilvl w:val="0"/>
          <w:numId w:val="2"/>
        </w:numPr>
        <w:spacing w:after="80"/>
      </w:pPr>
      <w:r>
        <w:rPr>
          <w:rFonts w:ascii="Arial" w:cs="Arial" w:eastAsia="Arial" w:hAnsi="Arial"/>
          <w:sz w:val="22"/>
          <w:szCs w:val="22"/>
        </w:rPr>
        <w:t xml:space="preserve">Filtro por distrito</w:t>
      </w:r>
    </w:p>
    <w:p>
      <w:pPr>
        <w:pStyle w:val="ListParagraph"/>
        <w:numPr>
          <w:ilvl w:val="0"/>
          <w:numId w:val="2"/>
        </w:numPr>
        <w:spacing w:after="80"/>
      </w:pPr>
      <w:r>
        <w:rPr>
          <w:rFonts w:ascii="Arial" w:cs="Arial" w:eastAsia="Arial" w:hAnsi="Arial"/>
          <w:sz w:val="22"/>
          <w:szCs w:val="22"/>
        </w:rPr>
        <w:t xml:space="preserve">Filtro por score (GREEN / YELLOW / RED)</w:t>
      </w:r>
    </w:p>
    <w:p>
      <w:pPr>
        <w:spacing w:after="140"/>
      </w:pPr>
      <w:r>
        <w:rPr>
          <w:rFonts w:ascii="Arial" w:cs="Arial" w:eastAsia="Arial" w:hAnsi="Arial"/>
          <w:sz w:val="22"/>
          <w:szCs w:val="22"/>
        </w:rPr>
        <w:t xml:space="preserve">Cada linha tem botões de Editar (reabre o formulário de registo preenchido) e Eliminar (com confirmação). A eliminação remove o resultado e o registo de stock associado.</w:t>
      </w:r>
    </w:p>
    <w:p>
      <w:pPr>
        <w:pStyle w:val="Heading2"/>
        <w:spacing w:after="120" w:before="280"/>
      </w:pPr>
      <w:r>
        <w:rPr>
          <w:rFonts w:ascii="Arial" w:cs="Arial" w:eastAsia="Arial" w:hAnsi="Arial"/>
          <w:b/>
          <w:bCs/>
          <w:color w:val="1B3A6B"/>
          <w:sz w:val="26"/>
          <w:szCs w:val="26"/>
        </w:rPr>
        <w:t xml:space="preserve">4.5 Exportar / Importar</w:t>
      </w:r>
    </w:p>
    <w:p>
      <w:pPr>
        <w:pStyle w:val="Heading3"/>
        <w:spacing w:after="80" w:before="200"/>
      </w:pPr>
      <w:r>
        <w:rPr>
          <w:rFonts w:ascii="Arial" w:cs="Arial" w:eastAsia="Arial" w:hAnsi="Arial"/>
          <w:b/>
          <w:bCs/>
          <w:color w:val="2D3748"/>
          <w:sz w:val="22"/>
          <w:szCs w:val="22"/>
        </w:rPr>
        <w:t xml:space="preserve">Exportações CSV</w:t>
      </w:r>
    </w:p>
    <w:p>
      <w:pPr>
        <w:pStyle w:val="ListParagraph"/>
        <w:numPr>
          <w:ilvl w:val="0"/>
          <w:numId w:val="2"/>
        </w:numPr>
        <w:spacing w:after="80"/>
      </w:pPr>
      <w:r>
        <w:rPr>
          <w:rFonts w:ascii="Arial" w:cs="Arial" w:eastAsia="Arial" w:hAnsi="Arial"/>
          <w:sz w:val="22"/>
          <w:szCs w:val="22"/>
        </w:rPr>
        <w:t xml:space="preserve">Conselheiros CSV — 11 campos por conselheiro (nome, distrito, US, contacto, etc.)</w:t>
      </w:r>
    </w:p>
    <w:p>
      <w:pPr>
        <w:pStyle w:val="ListParagraph"/>
        <w:numPr>
          <w:ilvl w:val="0"/>
          <w:numId w:val="2"/>
        </w:numPr>
        <w:spacing w:after="80"/>
      </w:pPr>
      <w:r>
        <w:rPr>
          <w:rFonts w:ascii="Arial" w:cs="Arial" w:eastAsia="Arial" w:hAnsi="Arial"/>
          <w:sz w:val="22"/>
          <w:szCs w:val="22"/>
        </w:rPr>
        <w:t xml:space="preserve">Resultados CSV — 26 campos por registo (todos os dados + indicadores calculados)</w:t>
      </w:r>
    </w:p>
    <w:p>
      <w:pPr>
        <w:pStyle w:val="ListParagraph"/>
        <w:numPr>
          <w:ilvl w:val="0"/>
          <w:numId w:val="2"/>
        </w:numPr>
        <w:spacing w:after="80"/>
      </w:pPr>
      <w:r>
        <w:rPr>
          <w:rFonts w:ascii="Arial" w:cs="Arial" w:eastAsia="Arial" w:hAnsi="Arial"/>
          <w:sz w:val="22"/>
          <w:szCs w:val="22"/>
        </w:rPr>
        <w:t xml:space="preserve">Exportação Completa — gera ambos os ficheiros com 400ms de intervalo</w:t>
      </w:r>
    </w:p>
    <w:p>
      <w:pPr>
        <w:pStyle w:val="ListParagraph"/>
        <w:numPr>
          <w:ilvl w:val="0"/>
          <w:numId w:val="2"/>
        </w:numPr>
        <w:spacing w:after="80"/>
      </w:pPr>
      <w:r>
        <w:rPr>
          <w:rFonts w:ascii="Arial" w:cs="Arial" w:eastAsia="Arial" w:hAnsi="Arial"/>
          <w:sz w:val="22"/>
          <w:szCs w:val="22"/>
        </w:rPr>
        <w:t xml:space="preserve">Scorecard CSV — classificação de todos os conselheiros com todos os scores dimensionais e flags (disponível no ecrã Scorecard)</w:t>
      </w:r>
    </w:p>
    <w:p>
      <w:pPr>
        <w:pStyle w:val="Heading3"/>
        <w:spacing w:after="80" w:before="200"/>
      </w:pPr>
      <w:r>
        <w:rPr>
          <w:rFonts w:ascii="Arial" w:cs="Arial" w:eastAsia="Arial" w:hAnsi="Arial"/>
          <w:b/>
          <w:bCs/>
          <w:color w:val="2D3748"/>
          <w:sz w:val="22"/>
          <w:szCs w:val="22"/>
        </w:rPr>
        <w:t xml:space="preserve">Relatórios Impressos</w:t>
      </w:r>
    </w:p>
    <w:p>
      <w:pPr>
        <w:pStyle w:val="ListParagraph"/>
        <w:numPr>
          <w:ilvl w:val="0"/>
          <w:numId w:val="2"/>
        </w:numPr>
        <w:spacing w:after="80"/>
      </w:pPr>
      <w:r>
        <w:rPr>
          <w:rFonts w:ascii="Arial" w:cs="Arial" w:eastAsia="Arial" w:hAnsi="Arial"/>
          <w:sz w:val="22"/>
          <w:szCs w:val="22"/>
        </w:rPr>
        <w:t xml:space="preserve">Relatório de Supervisão Completo — relatório HTML com cabeçalho RISE, KPI row, tabela por conselheiro com todos os flags</w:t>
      </w:r>
    </w:p>
    <w:p>
      <w:pPr>
        <w:pStyle w:val="ListParagraph"/>
        <w:numPr>
          <w:ilvl w:val="0"/>
          <w:numId w:val="2"/>
        </w:numPr>
        <w:spacing w:after="80"/>
      </w:pPr>
      <w:r>
        <w:rPr>
          <w:rFonts w:ascii="Arial" w:cs="Arial" w:eastAsia="Arial" w:hAnsi="Arial"/>
          <w:sz w:val="22"/>
          <w:szCs w:val="22"/>
        </w:rPr>
        <w:t xml:space="preserve">Resumo Executivo — versão condensada apenas com scores e indicadores principais</w:t>
      </w:r>
    </w:p>
    <w:p>
      <w:pPr>
        <w:spacing w:after="140"/>
      </w:pPr>
      <w:r>
        <w:rPr>
          <w:rFonts w:ascii="Arial" w:cs="Arial" w:eastAsia="Arial" w:hAnsi="Arial"/>
          <w:sz w:val="22"/>
          <w:szCs w:val="22"/>
        </w:rPr>
        <w:t xml:space="preserve">Os relatórios abrem numa nova janela pronta para imprimir (Ctrl+P / Cmd+P).</w:t>
      </w:r>
    </w:p>
    <w:p>
      <w:pPr>
        <w:pStyle w:val="Heading3"/>
        <w:spacing w:after="80" w:before="200"/>
      </w:pPr>
      <w:r>
        <w:rPr>
          <w:rFonts w:ascii="Arial" w:cs="Arial" w:eastAsia="Arial" w:hAnsi="Arial"/>
          <w:b/>
          <w:bCs/>
          <w:color w:val="2D3748"/>
          <w:sz w:val="22"/>
          <w:szCs w:val="22"/>
        </w:rPr>
        <w:t xml:space="preserve">Importação CSV</w:t>
      </w:r>
    </w:p>
    <w:p>
      <w:pPr>
        <w:spacing w:after="140"/>
      </w:pPr>
      <w:r>
        <w:rPr>
          <w:rFonts w:ascii="Arial" w:cs="Arial" w:eastAsia="Arial" w:hAnsi="Arial"/>
          <w:sz w:val="22"/>
          <w:szCs w:val="22"/>
        </w:rPr>
        <w:t xml:space="preserve">Zona de arrastar-e-largar (drag-and-drop) ou selecção de ficheiro para importar conselheiros ou resultados em formato CSV. A aplicação detecta automaticamente o tipo de ficheiro, valida os campos obrigatórios, mostra uma pré-visualização e solicita confirmação antes de importar. Registos com ID duplicado são ignorados.</w:t>
      </w:r>
    </w:p>
    <w:p>
      <w:pPr>
        <w:pStyle w:val="Heading2"/>
        <w:spacing w:after="120" w:before="280"/>
      </w:pPr>
      <w:r>
        <w:rPr>
          <w:rFonts w:ascii="Arial" w:cs="Arial" w:eastAsia="Arial" w:hAnsi="Arial"/>
          <w:b/>
          <w:bCs/>
          <w:color w:val="1B3A6B"/>
          <w:sz w:val="26"/>
          <w:szCs w:val="26"/>
        </w:rPr>
        <w:t xml:space="preserve">4.6 Dashboard Distrital</w:t>
      </w:r>
    </w:p>
    <w:p>
      <w:pPr>
        <w:spacing w:after="140"/>
      </w:pPr>
      <w:r>
        <w:rPr>
          <w:rFonts w:ascii="Arial" w:cs="Arial" w:eastAsia="Arial" w:hAnsi="Arial"/>
          <w:sz w:val="22"/>
          <w:szCs w:val="22"/>
        </w:rPr>
        <w:t xml:space="preserve">Ecrã principal do perfil distrital. Mostra:</w:t>
      </w:r>
    </w:p>
    <w:p>
      <w:pPr>
        <w:pStyle w:val="ListParagraph"/>
        <w:numPr>
          <w:ilvl w:val="0"/>
          <w:numId w:val="2"/>
        </w:numPr>
        <w:spacing w:after="80"/>
      </w:pPr>
      <w:r>
        <w:rPr>
          <w:rFonts w:ascii="Arial" w:cs="Arial" w:eastAsia="Arial" w:hAnsi="Arial"/>
          <w:sz w:val="22"/>
          <w:szCs w:val="22"/>
        </w:rPr>
        <w:t xml:space="preserve">Navegação de período (Semanal/Mensal, com setas ← →)</w:t>
      </w:r>
    </w:p>
    <w:p>
      <w:pPr>
        <w:pStyle w:val="ListParagraph"/>
        <w:numPr>
          <w:ilvl w:val="0"/>
          <w:numId w:val="2"/>
        </w:numPr>
        <w:spacing w:after="80"/>
      </w:pPr>
      <w:r>
        <w:rPr>
          <w:rFonts w:ascii="Arial" w:cs="Arial" w:eastAsia="Arial" w:hAnsi="Arial"/>
          <w:sz w:val="22"/>
          <w:szCs w:val="22"/>
        </w:rPr>
        <w:t xml:space="preserve">6 KPI cards: Conselheiros Activos, Total Testados, Positivos, Yield%, Taxa de Indeterminados, Cobertura (% com dados no período)</w:t>
      </w:r>
    </w:p>
    <w:p>
      <w:pPr>
        <w:pStyle w:val="ListParagraph"/>
        <w:numPr>
          <w:ilvl w:val="0"/>
          <w:numId w:val="2"/>
        </w:numPr>
        <w:spacing w:after="80"/>
      </w:pPr>
      <w:r>
        <w:rPr>
          <w:rFonts w:ascii="Arial" w:cs="Arial" w:eastAsia="Arial" w:hAnsi="Arial"/>
          <w:sz w:val="22"/>
          <w:szCs w:val="22"/>
        </w:rPr>
        <w:t xml:space="preserve">Painel de alertas colapsável — lista de flags HIGH activos no período</w:t>
      </w:r>
    </w:p>
    <w:p>
      <w:pPr>
        <w:pStyle w:val="ListParagraph"/>
        <w:numPr>
          <w:ilvl w:val="0"/>
          <w:numId w:val="2"/>
        </w:numPr>
        <w:spacing w:after="80"/>
      </w:pPr>
      <w:r>
        <w:rPr>
          <w:rFonts w:ascii="Arial" w:cs="Arial" w:eastAsia="Arial" w:hAnsi="Arial"/>
          <w:sz w:val="22"/>
          <w:szCs w:val="22"/>
        </w:rPr>
        <w:t xml:space="preserve">Tabela de conselheiros com score do período, link para Ficha e botão de Registar</w:t>
      </w:r>
    </w:p>
    <w:p>
      <w:pPr>
        <w:spacing w:after="140"/>
      </w:pPr>
      <w:r>
        <w:rPr>
          <w:rFonts w:ascii="Arial" w:cs="Arial" w:eastAsia="Arial" w:hAnsi="Arial"/>
          <w:sz w:val="22"/>
          <w:szCs w:val="22"/>
        </w:rPr>
        <w:t xml:space="preserve">O dashboard usa a mesma lógica do período activo que o módulo de Registo, permitindo navegar no tempo sem perder o contexto.</w:t>
      </w:r>
    </w:p>
    <w:p>
      <w:pPr>
        <w:pStyle w:val="Heading2"/>
        <w:spacing w:after="120" w:before="280"/>
      </w:pPr>
      <w:r>
        <w:rPr>
          <w:rFonts w:ascii="Arial" w:cs="Arial" w:eastAsia="Arial" w:hAnsi="Arial"/>
          <w:b/>
          <w:bCs/>
          <w:color w:val="1B3A6B"/>
          <w:sz w:val="26"/>
          <w:szCs w:val="26"/>
        </w:rPr>
        <w:t xml:space="preserve">4.7 Dashboard Provincial / Nacional</w:t>
      </w:r>
    </w:p>
    <w:p>
      <w:pPr>
        <w:spacing w:after="140"/>
      </w:pPr>
      <w:r>
        <w:rPr>
          <w:rFonts w:ascii="Arial" w:cs="Arial" w:eastAsia="Arial" w:hAnsi="Arial"/>
          <w:sz w:val="22"/>
          <w:szCs w:val="22"/>
        </w:rPr>
        <w:t xml:space="preserve">Ecrã principal dos perfis Provincial e Nacional. A estrutura é idêntica mas o âmbito difere:</w:t>
      </w:r>
    </w:p>
    <w:p>
      <w:pPr>
        <w:pStyle w:val="ListParagraph"/>
        <w:numPr>
          <w:ilvl w:val="0"/>
          <w:numId w:val="2"/>
        </w:numPr>
        <w:spacing w:after="80"/>
      </w:pPr>
      <w:r>
        <w:rPr>
          <w:rFonts w:ascii="Arial" w:cs="Arial" w:eastAsia="Arial" w:hAnsi="Arial"/>
          <w:sz w:val="22"/>
          <w:szCs w:val="22"/>
        </w:rPr>
        <w:t xml:space="preserve">Toggle de filtro: Ambas / Manica / Zambézia (provincial pode filtrar; nacional vê sempre ambas)</w:t>
      </w:r>
    </w:p>
    <w:p>
      <w:pPr>
        <w:pStyle w:val="ListParagraph"/>
        <w:numPr>
          <w:ilvl w:val="0"/>
          <w:numId w:val="2"/>
        </w:numPr>
        <w:spacing w:after="80"/>
      </w:pPr>
      <w:r>
        <w:rPr>
          <w:rFonts w:ascii="Arial" w:cs="Arial" w:eastAsia="Arial" w:hAnsi="Arial"/>
          <w:sz w:val="22"/>
          <w:szCs w:val="22"/>
        </w:rPr>
        <w:t xml:space="preserve">Navegação de período (Semanal/Mensal)</w:t>
      </w:r>
    </w:p>
    <w:p>
      <w:pPr>
        <w:pStyle w:val="ListParagraph"/>
        <w:numPr>
          <w:ilvl w:val="0"/>
          <w:numId w:val="2"/>
        </w:numPr>
        <w:spacing w:after="80"/>
      </w:pPr>
      <w:r>
        <w:rPr>
          <w:rFonts w:ascii="Arial" w:cs="Arial" w:eastAsia="Arial" w:hAnsi="Arial"/>
          <w:sz w:val="22"/>
          <w:szCs w:val="22"/>
        </w:rPr>
        <w:t xml:space="preserve">6 KPI cards agregados: Conselheiros, Total Testados, Yield Global, GREEN / YELLOW / RED</w:t>
      </w:r>
    </w:p>
    <w:p>
      <w:pPr>
        <w:pStyle w:val="ListParagraph"/>
        <w:numPr>
          <w:ilvl w:val="0"/>
          <w:numId w:val="2"/>
        </w:numPr>
        <w:spacing w:after="80"/>
      </w:pPr>
      <w:r>
        <w:rPr>
          <w:rFonts w:ascii="Arial" w:cs="Arial" w:eastAsia="Arial" w:hAnsi="Arial"/>
          <w:sz w:val="22"/>
          <w:szCs w:val="22"/>
        </w:rPr>
        <w:t xml:space="preserve">Tabela de comparação entre províncias (sempre visível no perfil Nacional, visível em "Ambas" no Provincial)</w:t>
      </w:r>
    </w:p>
    <w:p>
      <w:pPr>
        <w:pStyle w:val="ListParagraph"/>
        <w:numPr>
          <w:ilvl w:val="0"/>
          <w:numId w:val="2"/>
        </w:numPr>
        <w:spacing w:after="80"/>
      </w:pPr>
      <w:r>
        <w:rPr>
          <w:rFonts w:ascii="Arial" w:cs="Arial" w:eastAsia="Arial" w:hAnsi="Arial"/>
          <w:sz w:val="22"/>
          <w:szCs w:val="22"/>
        </w:rPr>
        <w:t xml:space="preserve">Tabela de conselheiros com score, ordenada por RED → YELLOW → GREEN</w:t>
      </w:r>
    </w:p>
    <w:p>
      <w:pPr>
        <w:pStyle w:val="ListParagraph"/>
        <w:numPr>
          <w:ilvl w:val="0"/>
          <w:numId w:val="2"/>
        </w:numPr>
        <w:spacing w:after="80"/>
      </w:pPr>
      <w:r>
        <w:rPr>
          <w:rFonts w:ascii="Arial" w:cs="Arial" w:eastAsia="Arial" w:hAnsi="Arial"/>
          <w:sz w:val="22"/>
          <w:szCs w:val="22"/>
        </w:rPr>
        <w:t xml:space="preserve">Botão "📥 Actualizar" para receber dados do servidor (Google Sheets)</w:t>
      </w:r>
    </w:p>
    <w:p>
      <w:pPr>
        <w:pStyle w:val="Heading2"/>
        <w:spacing w:after="120" w:before="280"/>
      </w:pPr>
      <w:r>
        <w:rPr>
          <w:rFonts w:ascii="Arial" w:cs="Arial" w:eastAsia="Arial" w:hAnsi="Arial"/>
          <w:b/>
          <w:bCs/>
          <w:color w:val="1B3A6B"/>
          <w:sz w:val="26"/>
          <w:szCs w:val="26"/>
        </w:rPr>
        <w:t xml:space="preserve">4.8 Scorecard de Conselheiros</w:t>
      </w:r>
    </w:p>
    <w:p>
      <w:pPr>
        <w:spacing w:after="140"/>
      </w:pPr>
      <w:r>
        <w:rPr>
          <w:rFonts w:ascii="Arial" w:cs="Arial" w:eastAsia="Arial" w:hAnsi="Arial"/>
          <w:sz w:val="22"/>
          <w:szCs w:val="22"/>
        </w:rPr>
        <w:t xml:space="preserve">Tabela classificatória de todos os conselheiros para um período seleccionado. Mostra:</w:t>
      </w:r>
    </w:p>
    <w:p>
      <w:pPr>
        <w:pStyle w:val="ListParagraph"/>
        <w:numPr>
          <w:ilvl w:val="0"/>
          <w:numId w:val="2"/>
        </w:numPr>
        <w:spacing w:after="80"/>
      </w:pPr>
      <w:r>
        <w:rPr>
          <w:rFonts w:ascii="Arial" w:cs="Arial" w:eastAsia="Arial" w:hAnsi="Arial"/>
          <w:sz w:val="22"/>
          <w:szCs w:val="22"/>
        </w:rPr>
        <w:t xml:space="preserve">Nome, Província, Distrito, US</w:t>
      </w:r>
    </w:p>
    <w:p>
      <w:pPr>
        <w:pStyle w:val="ListParagraph"/>
        <w:numPr>
          <w:ilvl w:val="0"/>
          <w:numId w:val="2"/>
        </w:numPr>
        <w:spacing w:after="80"/>
      </w:pPr>
      <w:r>
        <w:rPr>
          <w:rFonts w:ascii="Arial" w:cs="Arial" w:eastAsia="Arial" w:hAnsi="Arial"/>
          <w:sz w:val="22"/>
          <w:szCs w:val="22"/>
        </w:rPr>
        <w:t xml:space="preserve">Total Testados, Positivos</w:t>
      </w:r>
    </w:p>
    <w:p>
      <w:pPr>
        <w:pStyle w:val="ListParagraph"/>
        <w:numPr>
          <w:ilvl w:val="0"/>
          <w:numId w:val="2"/>
        </w:numPr>
        <w:spacing w:after="80"/>
      </w:pPr>
      <w:r>
        <w:rPr>
          <w:rFonts w:ascii="Arial" w:cs="Arial" w:eastAsia="Arial" w:hAnsi="Arial"/>
          <w:sz w:val="22"/>
          <w:szCs w:val="22"/>
        </w:rPr>
        <w:t xml:space="preserve">Yield% (verde se ≥5%, vermelho se &lt;5%)</w:t>
      </w:r>
    </w:p>
    <w:p>
      <w:pPr>
        <w:pStyle w:val="ListParagraph"/>
        <w:numPr>
          <w:ilvl w:val="0"/>
          <w:numId w:val="2"/>
        </w:numPr>
        <w:spacing w:after="80"/>
      </w:pPr>
      <w:r>
        <w:rPr>
          <w:rFonts w:ascii="Arial" w:cs="Arial" w:eastAsia="Arial" w:hAnsi="Arial"/>
          <w:sz w:val="22"/>
          <w:szCs w:val="22"/>
        </w:rPr>
        <w:t xml:space="preserve">Aderência% (verde se ≥95%, amarelo se &lt;95%)</w:t>
      </w:r>
    </w:p>
    <w:p>
      <w:pPr>
        <w:pStyle w:val="ListParagraph"/>
        <w:numPr>
          <w:ilvl w:val="0"/>
          <w:numId w:val="2"/>
        </w:numPr>
        <w:spacing w:after="80"/>
      </w:pPr>
      <w:r>
        <w:rPr>
          <w:rFonts w:ascii="Arial" w:cs="Arial" w:eastAsia="Arial" w:hAnsi="Arial"/>
          <w:sz w:val="22"/>
          <w:szCs w:val="22"/>
        </w:rPr>
        <w:t xml:space="preserve">Score de Consistência Interna (badge colorido)</w:t>
      </w:r>
    </w:p>
    <w:p>
      <w:pPr>
        <w:pStyle w:val="ListParagraph"/>
        <w:numPr>
          <w:ilvl w:val="0"/>
          <w:numId w:val="2"/>
        </w:numPr>
        <w:spacing w:after="80"/>
      </w:pPr>
      <w:r>
        <w:rPr>
          <w:rFonts w:ascii="Arial" w:cs="Arial" w:eastAsia="Arial" w:hAnsi="Arial"/>
          <w:sz w:val="22"/>
          <w:szCs w:val="22"/>
        </w:rPr>
        <w:t xml:space="preserve">Score de Stock (badge colorido)</w:t>
      </w:r>
    </w:p>
    <w:p>
      <w:pPr>
        <w:pStyle w:val="ListParagraph"/>
        <w:numPr>
          <w:ilvl w:val="0"/>
          <w:numId w:val="2"/>
        </w:numPr>
        <w:spacing w:after="80"/>
      </w:pPr>
      <w:r>
        <w:rPr>
          <w:rFonts w:ascii="Arial" w:cs="Arial" w:eastAsia="Arial" w:hAnsi="Arial"/>
          <w:sz w:val="22"/>
          <w:szCs w:val="22"/>
        </w:rPr>
        <w:t xml:space="preserve">Score Global (badge colorido)</w:t>
      </w:r>
    </w:p>
    <w:p>
      <w:pPr>
        <w:spacing w:after="140"/>
      </w:pPr>
      <w:r>
        <w:rPr>
          <w:rFonts w:ascii="Arial" w:cs="Arial" w:eastAsia="Arial" w:hAnsi="Arial"/>
          <w:sz w:val="22"/>
          <w:szCs w:val="22"/>
        </w:rPr>
        <w:t xml:space="preserve">Exportável para CSV com todos os campos incluindo scores dimensionais e lista de flags.</w:t>
      </w:r>
    </w:p>
    <w:p>
      <w:pPr>
        <w:pStyle w:val="Heading2"/>
        <w:spacing w:after="120" w:before="280"/>
      </w:pPr>
      <w:r>
        <w:rPr>
          <w:rFonts w:ascii="Arial" w:cs="Arial" w:eastAsia="Arial" w:hAnsi="Arial"/>
          <w:b/>
          <w:bCs/>
          <w:color w:val="1B3A6B"/>
          <w:sz w:val="26"/>
          <w:szCs w:val="26"/>
        </w:rPr>
        <w:t xml:space="preserve">4.9 Relatório por Período</w:t>
      </w:r>
    </w:p>
    <w:p>
      <w:pPr>
        <w:spacing w:after="140"/>
      </w:pPr>
      <w:r>
        <w:rPr>
          <w:rFonts w:ascii="Arial" w:cs="Arial" w:eastAsia="Arial" w:hAnsi="Arial"/>
          <w:sz w:val="22"/>
          <w:szCs w:val="22"/>
        </w:rPr>
        <w:t xml:space="preserve">Análise de tendências dos últimos 8 períodos (semanal ou mensal). Inclui:</w:t>
      </w:r>
    </w:p>
    <w:p>
      <w:pPr>
        <w:pStyle w:val="ListParagraph"/>
        <w:numPr>
          <w:ilvl w:val="0"/>
          <w:numId w:val="2"/>
        </w:numPr>
        <w:spacing w:after="80"/>
      </w:pPr>
      <w:r>
        <w:rPr>
          <w:rFonts w:ascii="Arial" w:cs="Arial" w:eastAsia="Arial" w:hAnsi="Arial"/>
          <w:sz w:val="22"/>
          <w:szCs w:val="22"/>
        </w:rPr>
        <w:t xml:space="preserve">Tabela com: Período, Nº Conselheiros com dados, Total Testados, Positivos, Yield%, GREEN, YELLOW, RED</w:t>
      </w:r>
    </w:p>
    <w:p>
      <w:pPr>
        <w:pStyle w:val="ListParagraph"/>
        <w:numPr>
          <w:ilvl w:val="0"/>
          <w:numId w:val="2"/>
        </w:numPr>
        <w:spacing w:after="80"/>
      </w:pPr>
      <w:r>
        <w:rPr>
          <w:rFonts w:ascii="Arial" w:cs="Arial" w:eastAsia="Arial" w:hAnsi="Arial"/>
          <w:sz w:val="22"/>
          <w:szCs w:val="22"/>
        </w:rPr>
        <w:t xml:space="preserve">Gráfico combinado Chart.js: linha de Yield% (eixo esquerdo) + barras de contagem RED (eixo direito)</w:t>
      </w:r>
    </w:p>
    <w:p>
      <w:pPr>
        <w:spacing w:after="140"/>
      </w:pPr>
      <w:r>
        <w:rPr>
          <w:rFonts w:ascii="Arial" w:cs="Arial" w:eastAsia="Arial" w:hAnsi="Arial"/>
          <w:sz w:val="22"/>
          <w:szCs w:val="22"/>
        </w:rPr>
        <w:t xml:space="preserve">Permite identificar tendências de melhoria ou deterioração da qualidade dos dados ao longo do tempo.</w:t>
      </w:r>
    </w:p>
    <w:p>
      <w:r>
        <w:br w:type="page"/>
      </w:r>
    </w:p>
    <w:p>
      <w:pPr>
        <w:pStyle w:val="Heading1"/>
        <w:spacing w:after="160" w:before="360"/>
      </w:pPr>
      <w:r>
        <w:rPr>
          <w:rFonts w:ascii="Arial" w:cs="Arial" w:eastAsia="Arial" w:hAnsi="Arial"/>
          <w:b/>
          <w:bCs/>
          <w:color w:val="1B3A6B"/>
          <w:sz w:val="32"/>
          <w:szCs w:val="32"/>
        </w:rPr>
        <w:t xml:space="preserve">5. Sistema de Pontuação de Fiabilidade</w:t>
      </w:r>
    </w:p>
    <w:p>
      <w:pPr>
        <w:spacing w:after="140"/>
      </w:pPr>
      <w:r>
        <w:rPr>
          <w:rFonts w:ascii="Arial" w:cs="Arial" w:eastAsia="Arial" w:hAnsi="Arial"/>
          <w:sz w:val="22"/>
          <w:szCs w:val="22"/>
        </w:rPr>
        <w:t xml:space="preserve">O motor de fiabilidade (reliability.js) calcula um score a quatro dimensões para cada registo. O score é calculado em tempo real no formulário e apresentado na Ficha de Fiabilidade, Dashboard e Scorecard.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E2E8F0" w:sz="4"/>
              <w:left w:val="single" w:color="E2E8F0" w:sz="4"/>
              <w:bottom w:val="single" w:color="E2E8F0" w:sz="4"/>
              <w:right w:val="single" w:color="E2E8F0" w:sz="4"/>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Dimensão</w:t>
            </w:r>
          </w:p>
        </w:tc>
        <w:tc>
          <w:tcPr>
            <w:tcW w:type="dxa" w:w="6838"/>
            <w:tcBorders>
              <w:top w:val="single" w:color="E2E8F0" w:sz="4"/>
              <w:left w:val="single" w:color="E2E8F0" w:sz="4"/>
              <w:bottom w:val="single" w:color="E2E8F0" w:sz="4"/>
              <w:right w:val="single" w:color="E2E8F0" w:sz="4"/>
            </w:tcBorders>
            <w:shd w:fill="1B3A6B" w:val="clear"/>
            <w:tcMar>
              <w:top w:type="dxa" w:w="80"/>
              <w:left w:type="dxa" w:w="120"/>
              <w:bottom w:type="dxa" w:w="80"/>
              <w:right w:type="dxa" w:w="120"/>
            </w:tcMar>
          </w:tcPr>
          <w:p>
            <w:pPr>
              <w:spacing w:after="0"/>
            </w:pPr>
            <w:r>
              <w:rPr>
                <w:rFonts w:ascii="Arial" w:cs="Arial" w:eastAsia="Arial" w:hAnsi="Arial"/>
                <w:color w:val="FFFFFF"/>
                <w:sz w:val="20"/>
                <w:szCs w:val="20"/>
              </w:rPr>
              <w:t xml:space="preserve">Código</w:t>
            </w:r>
          </w:p>
        </w:tc>
      </w:tr>
      <w:tr>
        <w:tc>
          <w:tcPr>
            <w:tcW w:type="dxa" w:w="2800"/>
            <w:tcBorders>
              <w:top w:val="single" w:color="E2E8F0" w:sz="4"/>
              <w:left w:val="single" w:color="E2E8F0" w:sz="4"/>
              <w:bottom w:val="single" w:color="E2E8F0" w:sz="4"/>
              <w:right w:val="single" w:color="E2E8F0" w:sz="4"/>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Consistência Interna</w:t>
            </w:r>
          </w:p>
        </w:tc>
        <w:tc>
          <w:tcPr>
            <w:tcW w:type="dxa" w:w="6838"/>
            <w:tcBorders>
              <w:top w:val="single" w:color="E2E8F0" w:sz="4"/>
              <w:left w:val="single" w:color="E2E8F0" w:sz="4"/>
              <w:bottom w:val="single" w:color="E2E8F0" w:sz="4"/>
              <w:right w:val="single" w:color="E2E8F0" w:sz="4"/>
            </w:tcBorders>
            <w:shd w:fill="1B3A6B" w:val="clear"/>
            <w:tcMar>
              <w:top w:type="dxa" w:w="80"/>
              <w:left w:type="dxa" w:w="120"/>
              <w:bottom w:type="dxa" w:w="80"/>
              <w:right w:type="dxa" w:w="120"/>
            </w:tcMar>
          </w:tcPr>
          <w:p>
            <w:pPr>
              <w:spacing w:after="0"/>
            </w:pPr>
            <w:r>
              <w:rPr>
                <w:rFonts w:ascii="Arial" w:cs="Arial" w:eastAsia="Arial" w:hAnsi="Arial"/>
                <w:color w:val="FFFFFF"/>
                <w:sz w:val="20"/>
                <w:szCs w:val="20"/>
              </w:rPr>
              <w:t xml:space="preserve">C01–C09</w:t>
            </w:r>
          </w:p>
        </w:tc>
      </w:tr>
      <w:tr>
        <w:tc>
          <w:tcPr>
            <w:tcW w:type="dxa" w:w="2800"/>
            <w:tcBorders>
              <w:top w:val="single" w:color="E2E8F0" w:sz="4"/>
              <w:left w:val="single" w:color="E2E8F0" w:sz="4"/>
              <w:bottom w:val="single" w:color="E2E8F0" w:sz="4"/>
              <w:right w:val="single" w:color="E2E8F0" w:sz="4"/>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Aderência ao Algoritmo</w:t>
            </w:r>
          </w:p>
        </w:tc>
        <w:tc>
          <w:tcPr>
            <w:tcW w:type="dxa" w:w="6838"/>
            <w:tcBorders>
              <w:top w:val="single" w:color="E2E8F0" w:sz="4"/>
              <w:left w:val="single" w:color="E2E8F0" w:sz="4"/>
              <w:bottom w:val="single" w:color="E2E8F0" w:sz="4"/>
              <w:right w:val="single" w:color="E2E8F0" w:sz="4"/>
            </w:tcBorders>
            <w:shd w:fill="1B3A6B" w:val="clear"/>
            <w:tcMar>
              <w:top w:type="dxa" w:w="80"/>
              <w:left w:type="dxa" w:w="120"/>
              <w:bottom w:type="dxa" w:w="80"/>
              <w:right w:type="dxa" w:w="120"/>
            </w:tcMar>
          </w:tcPr>
          <w:p>
            <w:pPr>
              <w:spacing w:after="0"/>
            </w:pPr>
            <w:r>
              <w:rPr>
                <w:rFonts w:ascii="Arial" w:cs="Arial" w:eastAsia="Arial" w:hAnsi="Arial"/>
                <w:color w:val="FFFFFF"/>
                <w:sz w:val="20"/>
                <w:szCs w:val="20"/>
              </w:rPr>
              <w:t xml:space="preserve">A01</w:t>
            </w:r>
          </w:p>
        </w:tc>
      </w:tr>
      <w:tr>
        <w:tc>
          <w:tcPr>
            <w:tcW w:type="dxa" w:w="2800"/>
            <w:tcBorders>
              <w:top w:val="single" w:color="E2E8F0" w:sz="4"/>
              <w:left w:val="single" w:color="E2E8F0" w:sz="4"/>
              <w:bottom w:val="single" w:color="E2E8F0" w:sz="4"/>
              <w:right w:val="single" w:color="E2E8F0" w:sz="4"/>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Reconciliação de Stock</w:t>
            </w:r>
          </w:p>
        </w:tc>
        <w:tc>
          <w:tcPr>
            <w:tcW w:type="dxa" w:w="6838"/>
            <w:tcBorders>
              <w:top w:val="single" w:color="E2E8F0" w:sz="4"/>
              <w:left w:val="single" w:color="E2E8F0" w:sz="4"/>
              <w:bottom w:val="single" w:color="E2E8F0" w:sz="4"/>
              <w:right w:val="single" w:color="E2E8F0" w:sz="4"/>
            </w:tcBorders>
            <w:shd w:fill="1B3A6B" w:val="clear"/>
            <w:tcMar>
              <w:top w:type="dxa" w:w="80"/>
              <w:left w:type="dxa" w:w="120"/>
              <w:bottom w:type="dxa" w:w="80"/>
              <w:right w:type="dxa" w:w="120"/>
            </w:tcMar>
          </w:tcPr>
          <w:p>
            <w:pPr>
              <w:spacing w:after="0"/>
            </w:pPr>
            <w:r>
              <w:rPr>
                <w:rFonts w:ascii="Arial" w:cs="Arial" w:eastAsia="Arial" w:hAnsi="Arial"/>
                <w:color w:val="FFFFFF"/>
                <w:sz w:val="20"/>
                <w:szCs w:val="20"/>
              </w:rPr>
              <w:t xml:space="preserve">S01–S08</w:t>
            </w:r>
          </w:p>
        </w:tc>
      </w:tr>
      <w:tr>
        <w:tc>
          <w:tcPr>
            <w:tcW w:type="dxa" w:w="2800"/>
            <w:tcBorders>
              <w:top w:val="single" w:color="E2E8F0" w:sz="4"/>
              <w:left w:val="single" w:color="E2E8F0" w:sz="4"/>
              <w:bottom w:val="single" w:color="E2E8F0" w:sz="4"/>
              <w:right w:val="single" w:color="E2E8F0" w:sz="4"/>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Plausibilidade do Yield</w:t>
            </w:r>
          </w:p>
        </w:tc>
        <w:tc>
          <w:tcPr>
            <w:tcW w:type="dxa" w:w="6838"/>
            <w:tcBorders>
              <w:top w:val="single" w:color="E2E8F0" w:sz="4"/>
              <w:left w:val="single" w:color="E2E8F0" w:sz="4"/>
              <w:bottom w:val="single" w:color="E2E8F0" w:sz="4"/>
              <w:right w:val="single" w:color="E2E8F0" w:sz="4"/>
            </w:tcBorders>
            <w:shd w:fill="1B3A6B" w:val="clear"/>
            <w:tcMar>
              <w:top w:type="dxa" w:w="80"/>
              <w:left w:type="dxa" w:w="120"/>
              <w:bottom w:type="dxa" w:w="80"/>
              <w:right w:type="dxa" w:w="120"/>
            </w:tcMar>
          </w:tcPr>
          <w:p>
            <w:pPr>
              <w:spacing w:after="0"/>
            </w:pPr>
            <w:r>
              <w:rPr>
                <w:rFonts w:ascii="Arial" w:cs="Arial" w:eastAsia="Arial" w:hAnsi="Arial"/>
                <w:color w:val="FFFFFF"/>
                <w:sz w:val="20"/>
                <w:szCs w:val="20"/>
              </w:rPr>
              <w:t xml:space="preserve">Y01</w:t>
            </w:r>
          </w:p>
        </w:tc>
      </w:tr>
    </w:tbl>
    <w:p>
      <w:pPr>
        <w:spacing w:after="120"/>
      </w:pPr>
      <w:r>
        <w:rPr>
          <w:rFonts w:ascii="Arial" w:cs="Arial" w:eastAsia="Arial" w:hAnsi="Arial"/>
        </w:rPr>
        <w:t xml:space="preserve"/>
      </w:r>
    </w:p>
    <w:p>
      <w:pPr>
        <w:pStyle w:val="Heading2"/>
        <w:spacing w:after="120" w:before="280"/>
      </w:pPr>
      <w:r>
        <w:rPr>
          <w:rFonts w:ascii="Arial" w:cs="Arial" w:eastAsia="Arial" w:hAnsi="Arial"/>
          <w:b/>
          <w:bCs/>
          <w:color w:val="1B3A6B"/>
          <w:sz w:val="26"/>
          <w:szCs w:val="26"/>
        </w:rPr>
        <w:t xml:space="preserve">5.1 Dimensão 1 — Consistência Interna (C01–C09)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4438"/>
      </w:tblGrid>
      <w:tr>
        <w:tc>
          <w:tcPr>
            <w:tcW w:type="dxa" w:w="1200"/>
            <w:tcBorders>
              <w:top w:val="single" w:color="CBD5E0" w:sz="4"/>
              <w:left w:val="single" w:color="CBD5E0" w:sz="4"/>
              <w:bottom w:val="single" w:color="CBD5E0" w:sz="4"/>
              <w:right w:val="single" w:color="CBD5E0" w:sz="4"/>
            </w:tcBorders>
            <w:shd w:fill="1B3A6B"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ID</w:t>
            </w:r>
          </w:p>
        </w:tc>
        <w:tc>
          <w:tcPr>
            <w:tcW w:type="dxa" w:w="2000"/>
            <w:tcBorders>
              <w:top w:val="single" w:color="CBD5E0" w:sz="4"/>
              <w:left w:val="single" w:color="CBD5E0" w:sz="4"/>
              <w:bottom w:val="single" w:color="CBD5E0" w:sz="4"/>
              <w:right w:val="single" w:color="CBD5E0" w:sz="4"/>
            </w:tcBorders>
            <w:shd w:fill="1B3A6B"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Dimensão</w:t>
            </w:r>
          </w:p>
        </w:tc>
        <w:tc>
          <w:tcPr>
            <w:tcW w:type="dxa" w:w="2000"/>
            <w:tcBorders>
              <w:top w:val="single" w:color="CBD5E0" w:sz="4"/>
              <w:left w:val="single" w:color="CBD5E0" w:sz="4"/>
              <w:bottom w:val="single" w:color="CBD5E0" w:sz="4"/>
              <w:right w:val="single" w:color="CBD5E0" w:sz="4"/>
            </w:tcBorders>
            <w:shd w:fill="1B3A6B"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Severidade</w:t>
            </w:r>
          </w:p>
        </w:tc>
        <w:tc>
          <w:tcPr>
            <w:tcW w:type="dxa" w:w="4438"/>
            <w:tcBorders>
              <w:top w:val="single" w:color="CBD5E0" w:sz="4"/>
              <w:left w:val="single" w:color="CBD5E0" w:sz="4"/>
              <w:bottom w:val="single" w:color="CBD5E0" w:sz="4"/>
              <w:right w:val="single" w:color="CBD5E0" w:sz="4"/>
            </w:tcBorders>
            <w:shd w:fill="1B3A6B"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Descrição</w:t>
            </w:r>
          </w:p>
        </w:tc>
      </w:tr>
      <w:tr>
        <w:tc>
          <w:tcPr>
            <w:tcW w:type="dxa" w:w="1200"/>
            <w:tcBorders>
              <w:top w:val="single" w:color="E2E8F0" w:sz="4"/>
              <w:left w:val="single" w:color="E2E8F0" w:sz="4"/>
              <w:bottom w:val="single" w:color="E2E8F0" w:sz="4"/>
              <w:right w:val="single" w:color="E2E8F0" w:sz="4"/>
            </w:tcBorders>
            <w:shd w:fill="FAFAFA" w:val="clear"/>
            <w:tcMar>
              <w:top w:type="dxa" w:w="60"/>
              <w:left w:type="dxa" w:w="100"/>
              <w:bottom w:type="dxa" w:w="60"/>
              <w:right w:type="dxa" w:w="100"/>
            </w:tcMar>
          </w:tcPr>
          <w:p>
            <w:pPr>
              <w:spacing w:after="0"/>
            </w:pPr>
            <w:r>
              <w:rPr>
                <w:rFonts w:ascii="Arial" w:cs="Arial" w:eastAsia="Arial" w:hAnsi="Arial"/>
                <w:b/>
                <w:bCs/>
                <w:color w:val="1A202C"/>
                <w:sz w:val="18"/>
                <w:szCs w:val="18"/>
              </w:rPr>
              <w:t xml:space="preserve">C01</w:t>
            </w:r>
          </w:p>
        </w:tc>
        <w:tc>
          <w:tcPr>
            <w:tcW w:type="dxa" w:w="20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pPr>
            <w:r>
              <w:rPr>
                <w:rFonts w:ascii="Arial" w:cs="Arial" w:eastAsia="Arial" w:hAnsi="Arial"/>
                <w:b w:val="false"/>
                <w:bCs w:val="false"/>
                <w:color w:val="1A202C"/>
                <w:sz w:val="18"/>
                <w:szCs w:val="18"/>
              </w:rPr>
              <w:t xml:space="preserve">Consistência</w:t>
            </w:r>
          </w:p>
        </w:tc>
        <w:tc>
          <w:tcPr>
            <w:tcW w:type="dxa" w:w="2000"/>
            <w:tcBorders>
              <w:top w:val="single" w:color="E2E8F0" w:sz="4"/>
              <w:left w:val="single" w:color="E2E8F0" w:sz="4"/>
              <w:bottom w:val="single" w:color="E2E8F0" w:sz="4"/>
              <w:right w:val="single" w:color="E2E8F0" w:sz="4"/>
            </w:tcBorders>
            <w:shd w:fill="FAFAFA" w:val="clear"/>
            <w:tcMar>
              <w:top w:type="dxa" w:w="60"/>
              <w:left w:type="dxa" w:w="100"/>
              <w:bottom w:type="dxa" w:w="60"/>
              <w:right w:type="dxa" w:w="100"/>
            </w:tcMar>
          </w:tcPr>
          <w:p>
            <w:pPr>
              <w:spacing w:after="0"/>
            </w:pPr>
            <w:r>
              <w:rPr>
                <w:rFonts w:ascii="Arial" w:cs="Arial" w:eastAsia="Arial" w:hAnsi="Arial"/>
                <w:b w:val="false"/>
                <w:bCs w:val="false"/>
                <w:color w:val="EF4444"/>
                <w:sz w:val="18"/>
                <w:szCs w:val="18"/>
              </w:rPr>
              <w:t xml:space="preserve">HIGH</w:t>
            </w:r>
          </w:p>
        </w:tc>
        <w:tc>
          <w:tcPr>
            <w:tcW w:type="dxa" w:w="4438"/>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pPr>
            <w:r>
              <w:rPr>
                <w:rFonts w:ascii="Arial" w:cs="Arial" w:eastAsia="Arial" w:hAnsi="Arial"/>
                <w:b w:val="false"/>
                <w:bCs w:val="false"/>
                <w:color w:val="1A202C"/>
                <w:sz w:val="18"/>
                <w:szCs w:val="18"/>
              </w:rPr>
              <w:t xml:space="preserve">Determine Reactivos + Não Reactivos ≠ Total Testados</w:t>
            </w:r>
          </w:p>
        </w:tc>
      </w:tr>
      <w:tr>
        <w:tc>
          <w:tcPr>
            <w:tcW w:type="dxa" w:w="1200"/>
            <w:tcBorders>
              <w:top w:val="single" w:color="E2E8F0" w:sz="4"/>
              <w:left w:val="single" w:color="E2E8F0" w:sz="4"/>
              <w:bottom w:val="single" w:color="E2E8F0" w:sz="4"/>
              <w:right w:val="single" w:color="E2E8F0" w:sz="4"/>
            </w:tcBorders>
            <w:shd w:fill="FAFAFA" w:val="clear"/>
            <w:tcMar>
              <w:top w:type="dxa" w:w="60"/>
              <w:left w:type="dxa" w:w="100"/>
              <w:bottom w:type="dxa" w:w="60"/>
              <w:right w:type="dxa" w:w="100"/>
            </w:tcMar>
          </w:tcPr>
          <w:p>
            <w:pPr>
              <w:spacing w:after="0"/>
            </w:pPr>
            <w:r>
              <w:rPr>
                <w:rFonts w:ascii="Arial" w:cs="Arial" w:eastAsia="Arial" w:hAnsi="Arial"/>
                <w:b/>
                <w:bCs/>
                <w:color w:val="1A202C"/>
                <w:sz w:val="18"/>
                <w:szCs w:val="18"/>
              </w:rPr>
              <w:t xml:space="preserve">C02</w:t>
            </w:r>
          </w:p>
        </w:tc>
        <w:tc>
          <w:tcPr>
            <w:tcW w:type="dxa" w:w="20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pPr>
            <w:r>
              <w:rPr>
                <w:rFonts w:ascii="Arial" w:cs="Arial" w:eastAsia="Arial" w:hAnsi="Arial"/>
                <w:b w:val="false"/>
                <w:bCs w:val="false"/>
                <w:color w:val="1A202C"/>
                <w:sz w:val="18"/>
                <w:szCs w:val="18"/>
              </w:rPr>
              <w:t xml:space="preserve">Consistência</w:t>
            </w:r>
          </w:p>
        </w:tc>
        <w:tc>
          <w:tcPr>
            <w:tcW w:type="dxa" w:w="2000"/>
            <w:tcBorders>
              <w:top w:val="single" w:color="E2E8F0" w:sz="4"/>
              <w:left w:val="single" w:color="E2E8F0" w:sz="4"/>
              <w:bottom w:val="single" w:color="E2E8F0" w:sz="4"/>
              <w:right w:val="single" w:color="E2E8F0" w:sz="4"/>
            </w:tcBorders>
            <w:shd w:fill="FAFAFA" w:val="clear"/>
            <w:tcMar>
              <w:top w:type="dxa" w:w="60"/>
              <w:left w:type="dxa" w:w="100"/>
              <w:bottom w:type="dxa" w:w="60"/>
              <w:right w:type="dxa" w:w="100"/>
            </w:tcMar>
          </w:tcPr>
          <w:p>
            <w:pPr>
              <w:spacing w:after="0"/>
            </w:pPr>
            <w:r>
              <w:rPr>
                <w:rFonts w:ascii="Arial" w:cs="Arial" w:eastAsia="Arial" w:hAnsi="Arial"/>
                <w:b w:val="false"/>
                <w:bCs w:val="false"/>
                <w:color w:val="EF4444"/>
                <w:sz w:val="18"/>
                <w:szCs w:val="18"/>
              </w:rPr>
              <w:t xml:space="preserve">HIGH</w:t>
            </w:r>
          </w:p>
        </w:tc>
        <w:tc>
          <w:tcPr>
            <w:tcW w:type="dxa" w:w="4438"/>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pPr>
            <w:r>
              <w:rPr>
                <w:rFonts w:ascii="Arial" w:cs="Arial" w:eastAsia="Arial" w:hAnsi="Arial"/>
                <w:b w:val="false"/>
                <w:bCs w:val="false"/>
                <w:color w:val="1A202C"/>
                <w:sz w:val="18"/>
                <w:szCs w:val="18"/>
              </w:rPr>
              <w:t xml:space="preserve">Unigold Realizados &gt; Determine Reactivos (impossível pelo algoritmo)</w:t>
            </w:r>
          </w:p>
        </w:tc>
      </w:tr>
      <w:tr>
        <w:tc>
          <w:tcPr>
            <w:tcW w:type="dxa" w:w="1200"/>
            <w:tcBorders>
              <w:top w:val="single" w:color="E2E8F0" w:sz="4"/>
              <w:left w:val="single" w:color="E2E8F0" w:sz="4"/>
              <w:bottom w:val="single" w:color="E2E8F0" w:sz="4"/>
              <w:right w:val="single" w:color="E2E8F0" w:sz="4"/>
            </w:tcBorders>
            <w:shd w:fill="FAFAFA" w:val="clear"/>
            <w:tcMar>
              <w:top w:type="dxa" w:w="60"/>
              <w:left w:type="dxa" w:w="100"/>
              <w:bottom w:type="dxa" w:w="60"/>
              <w:right w:type="dxa" w:w="100"/>
            </w:tcMar>
          </w:tcPr>
          <w:p>
            <w:pPr>
              <w:spacing w:after="0"/>
            </w:pPr>
            <w:r>
              <w:rPr>
                <w:rFonts w:ascii="Arial" w:cs="Arial" w:eastAsia="Arial" w:hAnsi="Arial"/>
                <w:b/>
                <w:bCs/>
                <w:color w:val="1A202C"/>
                <w:sz w:val="18"/>
                <w:szCs w:val="18"/>
              </w:rPr>
              <w:t xml:space="preserve">C03</w:t>
            </w:r>
          </w:p>
        </w:tc>
        <w:tc>
          <w:tcPr>
            <w:tcW w:type="dxa" w:w="20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pPr>
            <w:r>
              <w:rPr>
                <w:rFonts w:ascii="Arial" w:cs="Arial" w:eastAsia="Arial" w:hAnsi="Arial"/>
                <w:b w:val="false"/>
                <w:bCs w:val="false"/>
                <w:color w:val="1A202C"/>
                <w:sz w:val="18"/>
                <w:szCs w:val="18"/>
              </w:rPr>
              <w:t xml:space="preserve">Consistência</w:t>
            </w:r>
          </w:p>
        </w:tc>
        <w:tc>
          <w:tcPr>
            <w:tcW w:type="dxa" w:w="2000"/>
            <w:tcBorders>
              <w:top w:val="single" w:color="E2E8F0" w:sz="4"/>
              <w:left w:val="single" w:color="E2E8F0" w:sz="4"/>
              <w:bottom w:val="single" w:color="E2E8F0" w:sz="4"/>
              <w:right w:val="single" w:color="E2E8F0" w:sz="4"/>
            </w:tcBorders>
            <w:shd w:fill="FAFAFA" w:val="clear"/>
            <w:tcMar>
              <w:top w:type="dxa" w:w="60"/>
              <w:left w:type="dxa" w:w="100"/>
              <w:bottom w:type="dxa" w:w="60"/>
              <w:right w:type="dxa" w:w="100"/>
            </w:tcMar>
          </w:tcPr>
          <w:p>
            <w:pPr>
              <w:spacing w:after="0"/>
            </w:pPr>
            <w:r>
              <w:rPr>
                <w:rFonts w:ascii="Arial" w:cs="Arial" w:eastAsia="Arial" w:hAnsi="Arial"/>
                <w:b w:val="false"/>
                <w:bCs w:val="false"/>
                <w:color w:val="EF4444"/>
                <w:sz w:val="18"/>
                <w:szCs w:val="18"/>
              </w:rPr>
              <w:t xml:space="preserve">HIGH</w:t>
            </w:r>
          </w:p>
        </w:tc>
        <w:tc>
          <w:tcPr>
            <w:tcW w:type="dxa" w:w="4438"/>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pPr>
            <w:r>
              <w:rPr>
                <w:rFonts w:ascii="Arial" w:cs="Arial" w:eastAsia="Arial" w:hAnsi="Arial"/>
                <w:b w:val="false"/>
                <w:bCs w:val="false"/>
                <w:color w:val="1A202C"/>
                <w:sz w:val="18"/>
                <w:szCs w:val="18"/>
              </w:rPr>
              <w:t xml:space="preserve">Positivos Confirmados &gt; Unigold Reactivos</w:t>
            </w:r>
          </w:p>
        </w:tc>
      </w:tr>
      <w:tr>
        <w:tc>
          <w:tcPr>
            <w:tcW w:type="dxa" w:w="1200"/>
            <w:tcBorders>
              <w:top w:val="single" w:color="E2E8F0" w:sz="4"/>
              <w:left w:val="single" w:color="E2E8F0" w:sz="4"/>
              <w:bottom w:val="single" w:color="E2E8F0" w:sz="4"/>
              <w:right w:val="single" w:color="E2E8F0" w:sz="4"/>
            </w:tcBorders>
            <w:shd w:fill="FAFAFA" w:val="clear"/>
            <w:tcMar>
              <w:top w:type="dxa" w:w="60"/>
              <w:left w:type="dxa" w:w="100"/>
              <w:bottom w:type="dxa" w:w="60"/>
              <w:right w:type="dxa" w:w="100"/>
            </w:tcMar>
          </w:tcPr>
          <w:p>
            <w:pPr>
              <w:spacing w:after="0"/>
            </w:pPr>
            <w:r>
              <w:rPr>
                <w:rFonts w:ascii="Arial" w:cs="Arial" w:eastAsia="Arial" w:hAnsi="Arial"/>
                <w:b/>
                <w:bCs/>
                <w:color w:val="1A202C"/>
                <w:sz w:val="18"/>
                <w:szCs w:val="18"/>
              </w:rPr>
              <w:t xml:space="preserve">C04</w:t>
            </w:r>
          </w:p>
        </w:tc>
        <w:tc>
          <w:tcPr>
            <w:tcW w:type="dxa" w:w="20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pPr>
            <w:r>
              <w:rPr>
                <w:rFonts w:ascii="Arial" w:cs="Arial" w:eastAsia="Arial" w:hAnsi="Arial"/>
                <w:b w:val="false"/>
                <w:bCs w:val="false"/>
                <w:color w:val="1A202C"/>
                <w:sz w:val="18"/>
                <w:szCs w:val="18"/>
              </w:rPr>
              <w:t xml:space="preserve">Consistência</w:t>
            </w:r>
          </w:p>
        </w:tc>
        <w:tc>
          <w:tcPr>
            <w:tcW w:type="dxa" w:w="2000"/>
            <w:tcBorders>
              <w:top w:val="single" w:color="E2E8F0" w:sz="4"/>
              <w:left w:val="single" w:color="E2E8F0" w:sz="4"/>
              <w:bottom w:val="single" w:color="E2E8F0" w:sz="4"/>
              <w:right w:val="single" w:color="E2E8F0" w:sz="4"/>
            </w:tcBorders>
            <w:shd w:fill="FAFAFA" w:val="clear"/>
            <w:tcMar>
              <w:top w:type="dxa" w:w="60"/>
              <w:left w:type="dxa" w:w="100"/>
              <w:bottom w:type="dxa" w:w="60"/>
              <w:right w:type="dxa" w:w="100"/>
            </w:tcMar>
          </w:tcPr>
          <w:p>
            <w:pPr>
              <w:spacing w:after="0"/>
            </w:pPr>
            <w:r>
              <w:rPr>
                <w:rFonts w:ascii="Arial" w:cs="Arial" w:eastAsia="Arial" w:hAnsi="Arial"/>
                <w:b w:val="false"/>
                <w:bCs w:val="false"/>
                <w:color w:val="EF4444"/>
                <w:sz w:val="18"/>
                <w:szCs w:val="18"/>
              </w:rPr>
              <w:t xml:space="preserve">HIGH</w:t>
            </w:r>
          </w:p>
        </w:tc>
        <w:tc>
          <w:tcPr>
            <w:tcW w:type="dxa" w:w="4438"/>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pPr>
            <w:r>
              <w:rPr>
                <w:rFonts w:ascii="Arial" w:cs="Arial" w:eastAsia="Arial" w:hAnsi="Arial"/>
                <w:b w:val="false"/>
                <w:bCs w:val="false"/>
                <w:color w:val="1A202C"/>
                <w:sz w:val="18"/>
                <w:szCs w:val="18"/>
              </w:rPr>
              <w:t xml:space="preserve">Positivos + Negativos + Indeterminados ≠ Total Testados</w:t>
            </w:r>
          </w:p>
        </w:tc>
      </w:tr>
      <w:tr>
        <w:tc>
          <w:tcPr>
            <w:tcW w:type="dxa" w:w="1200"/>
            <w:tcBorders>
              <w:top w:val="single" w:color="E2E8F0" w:sz="4"/>
              <w:left w:val="single" w:color="E2E8F0" w:sz="4"/>
              <w:bottom w:val="single" w:color="E2E8F0" w:sz="4"/>
              <w:right w:val="single" w:color="E2E8F0" w:sz="4"/>
            </w:tcBorders>
            <w:shd w:fill="FAFAFA" w:val="clear"/>
            <w:tcMar>
              <w:top w:type="dxa" w:w="60"/>
              <w:left w:type="dxa" w:w="100"/>
              <w:bottom w:type="dxa" w:w="60"/>
              <w:right w:type="dxa" w:w="100"/>
            </w:tcMar>
          </w:tcPr>
          <w:p>
            <w:pPr>
              <w:spacing w:after="0"/>
            </w:pPr>
            <w:r>
              <w:rPr>
                <w:rFonts w:ascii="Arial" w:cs="Arial" w:eastAsia="Arial" w:hAnsi="Arial"/>
                <w:b/>
                <w:bCs/>
                <w:color w:val="1A202C"/>
                <w:sz w:val="18"/>
                <w:szCs w:val="18"/>
              </w:rPr>
              <w:t xml:space="preserve">C05</w:t>
            </w:r>
          </w:p>
        </w:tc>
        <w:tc>
          <w:tcPr>
            <w:tcW w:type="dxa" w:w="20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pPr>
            <w:r>
              <w:rPr>
                <w:rFonts w:ascii="Arial" w:cs="Arial" w:eastAsia="Arial" w:hAnsi="Arial"/>
                <w:b w:val="false"/>
                <w:bCs w:val="false"/>
                <w:color w:val="1A202C"/>
                <w:sz w:val="18"/>
                <w:szCs w:val="18"/>
              </w:rPr>
              <w:t xml:space="preserve">Consistência</w:t>
            </w:r>
          </w:p>
        </w:tc>
        <w:tc>
          <w:tcPr>
            <w:tcW w:type="dxa" w:w="2000"/>
            <w:tcBorders>
              <w:top w:val="single" w:color="E2E8F0" w:sz="4"/>
              <w:left w:val="single" w:color="E2E8F0" w:sz="4"/>
              <w:bottom w:val="single" w:color="E2E8F0" w:sz="4"/>
              <w:right w:val="single" w:color="E2E8F0" w:sz="4"/>
            </w:tcBorders>
            <w:shd w:fill="FAFAFA" w:val="clear"/>
            <w:tcMar>
              <w:top w:type="dxa" w:w="60"/>
              <w:left w:type="dxa" w:w="100"/>
              <w:bottom w:type="dxa" w:w="60"/>
              <w:right w:type="dxa" w:w="100"/>
            </w:tcMar>
          </w:tcPr>
          <w:p>
            <w:pPr>
              <w:spacing w:after="0"/>
            </w:pPr>
            <w:r>
              <w:rPr>
                <w:rFonts w:ascii="Arial" w:cs="Arial" w:eastAsia="Arial" w:hAnsi="Arial"/>
                <w:b w:val="false"/>
                <w:bCs w:val="false"/>
                <w:color w:val="F59E0B"/>
                <w:sz w:val="18"/>
                <w:szCs w:val="18"/>
              </w:rPr>
              <w:t xml:space="preserve">MEDIUM</w:t>
            </w:r>
          </w:p>
        </w:tc>
        <w:tc>
          <w:tcPr>
            <w:tcW w:type="dxa" w:w="4438"/>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pPr>
            <w:r>
              <w:rPr>
                <w:rFonts w:ascii="Arial" w:cs="Arial" w:eastAsia="Arial" w:hAnsi="Arial"/>
                <w:b w:val="false"/>
                <w:bCs w:val="false"/>
                <w:color w:val="1A202C"/>
                <w:sz w:val="18"/>
                <w:szCs w:val="18"/>
              </w:rPr>
              <w:t xml:space="preserve">Aderência ao algoritmo &lt; 95% (Unigold/Det.Reactivos)</w:t>
            </w:r>
          </w:p>
        </w:tc>
      </w:tr>
      <w:tr>
        <w:tc>
          <w:tcPr>
            <w:tcW w:type="dxa" w:w="1200"/>
            <w:tcBorders>
              <w:top w:val="single" w:color="E2E8F0" w:sz="4"/>
              <w:left w:val="single" w:color="E2E8F0" w:sz="4"/>
              <w:bottom w:val="single" w:color="E2E8F0" w:sz="4"/>
              <w:right w:val="single" w:color="E2E8F0" w:sz="4"/>
            </w:tcBorders>
            <w:shd w:fill="FAFAFA" w:val="clear"/>
            <w:tcMar>
              <w:top w:type="dxa" w:w="60"/>
              <w:left w:type="dxa" w:w="100"/>
              <w:bottom w:type="dxa" w:w="60"/>
              <w:right w:type="dxa" w:w="100"/>
            </w:tcMar>
          </w:tcPr>
          <w:p>
            <w:pPr>
              <w:spacing w:after="0"/>
            </w:pPr>
            <w:r>
              <w:rPr>
                <w:rFonts w:ascii="Arial" w:cs="Arial" w:eastAsia="Arial" w:hAnsi="Arial"/>
                <w:b/>
                <w:bCs/>
                <w:color w:val="1A202C"/>
                <w:sz w:val="18"/>
                <w:szCs w:val="18"/>
              </w:rPr>
              <w:t xml:space="preserve">C06</w:t>
            </w:r>
          </w:p>
        </w:tc>
        <w:tc>
          <w:tcPr>
            <w:tcW w:type="dxa" w:w="20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pPr>
            <w:r>
              <w:rPr>
                <w:rFonts w:ascii="Arial" w:cs="Arial" w:eastAsia="Arial" w:hAnsi="Arial"/>
                <w:b w:val="false"/>
                <w:bCs w:val="false"/>
                <w:color w:val="1A202C"/>
                <w:sz w:val="18"/>
                <w:szCs w:val="18"/>
              </w:rPr>
              <w:t xml:space="preserve">Consistência</w:t>
            </w:r>
          </w:p>
        </w:tc>
        <w:tc>
          <w:tcPr>
            <w:tcW w:type="dxa" w:w="2000"/>
            <w:tcBorders>
              <w:top w:val="single" w:color="E2E8F0" w:sz="4"/>
              <w:left w:val="single" w:color="E2E8F0" w:sz="4"/>
              <w:bottom w:val="single" w:color="E2E8F0" w:sz="4"/>
              <w:right w:val="single" w:color="E2E8F0" w:sz="4"/>
            </w:tcBorders>
            <w:shd w:fill="FAFAFA" w:val="clear"/>
            <w:tcMar>
              <w:top w:type="dxa" w:w="60"/>
              <w:left w:type="dxa" w:w="100"/>
              <w:bottom w:type="dxa" w:w="60"/>
              <w:right w:type="dxa" w:w="100"/>
            </w:tcMar>
          </w:tcPr>
          <w:p>
            <w:pPr>
              <w:spacing w:after="0"/>
            </w:pPr>
            <w:r>
              <w:rPr>
                <w:rFonts w:ascii="Arial" w:cs="Arial" w:eastAsia="Arial" w:hAnsi="Arial"/>
                <w:b w:val="false"/>
                <w:bCs w:val="false"/>
                <w:color w:val="F59E0B"/>
                <w:sz w:val="18"/>
                <w:szCs w:val="18"/>
              </w:rPr>
              <w:t xml:space="preserve">MEDIUM</w:t>
            </w:r>
          </w:p>
        </w:tc>
        <w:tc>
          <w:tcPr>
            <w:tcW w:type="dxa" w:w="4438"/>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pPr>
            <w:r>
              <w:rPr>
                <w:rFonts w:ascii="Arial" w:cs="Arial" w:eastAsia="Arial" w:hAnsi="Arial"/>
                <w:b w:val="false"/>
                <w:bCs w:val="false"/>
                <w:color w:val="1A202C"/>
                <w:sz w:val="18"/>
                <w:szCs w:val="18"/>
              </w:rPr>
              <w:t xml:space="preserve">Taxa de Indeterminados &gt; 2% do total testado</w:t>
            </w:r>
          </w:p>
        </w:tc>
      </w:tr>
      <w:tr>
        <w:tc>
          <w:tcPr>
            <w:tcW w:type="dxa" w:w="1200"/>
            <w:tcBorders>
              <w:top w:val="single" w:color="E2E8F0" w:sz="4"/>
              <w:left w:val="single" w:color="E2E8F0" w:sz="4"/>
              <w:bottom w:val="single" w:color="E2E8F0" w:sz="4"/>
              <w:right w:val="single" w:color="E2E8F0" w:sz="4"/>
            </w:tcBorders>
            <w:shd w:fill="FAFAFA" w:val="clear"/>
            <w:tcMar>
              <w:top w:type="dxa" w:w="60"/>
              <w:left w:type="dxa" w:w="100"/>
              <w:bottom w:type="dxa" w:w="60"/>
              <w:right w:type="dxa" w:w="100"/>
            </w:tcMar>
          </w:tcPr>
          <w:p>
            <w:pPr>
              <w:spacing w:after="0"/>
            </w:pPr>
            <w:r>
              <w:rPr>
                <w:rFonts w:ascii="Arial" w:cs="Arial" w:eastAsia="Arial" w:hAnsi="Arial"/>
                <w:b/>
                <w:bCs/>
                <w:color w:val="1A202C"/>
                <w:sz w:val="18"/>
                <w:szCs w:val="18"/>
              </w:rPr>
              <w:t xml:space="preserve">C07</w:t>
            </w:r>
          </w:p>
        </w:tc>
        <w:tc>
          <w:tcPr>
            <w:tcW w:type="dxa" w:w="20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pPr>
            <w:r>
              <w:rPr>
                <w:rFonts w:ascii="Arial" w:cs="Arial" w:eastAsia="Arial" w:hAnsi="Arial"/>
                <w:b w:val="false"/>
                <w:bCs w:val="false"/>
                <w:color w:val="1A202C"/>
                <w:sz w:val="18"/>
                <w:szCs w:val="18"/>
              </w:rPr>
              <w:t xml:space="preserve">Consistência</w:t>
            </w:r>
          </w:p>
        </w:tc>
        <w:tc>
          <w:tcPr>
            <w:tcW w:type="dxa" w:w="2000"/>
            <w:tcBorders>
              <w:top w:val="single" w:color="E2E8F0" w:sz="4"/>
              <w:left w:val="single" w:color="E2E8F0" w:sz="4"/>
              <w:bottom w:val="single" w:color="E2E8F0" w:sz="4"/>
              <w:right w:val="single" w:color="E2E8F0" w:sz="4"/>
            </w:tcBorders>
            <w:shd w:fill="FAFAFA" w:val="clear"/>
            <w:tcMar>
              <w:top w:type="dxa" w:w="60"/>
              <w:left w:type="dxa" w:w="100"/>
              <w:bottom w:type="dxa" w:w="60"/>
              <w:right w:type="dxa" w:w="100"/>
            </w:tcMar>
          </w:tcPr>
          <w:p>
            <w:pPr>
              <w:spacing w:after="0"/>
            </w:pPr>
            <w:r>
              <w:rPr>
                <w:rFonts w:ascii="Arial" w:cs="Arial" w:eastAsia="Arial" w:hAnsi="Arial"/>
                <w:b w:val="false"/>
                <w:bCs w:val="false"/>
                <w:color w:val="4A5568"/>
                <w:sz w:val="18"/>
                <w:szCs w:val="18"/>
              </w:rPr>
              <w:t xml:space="preserve">LOW</w:t>
            </w:r>
          </w:p>
        </w:tc>
        <w:tc>
          <w:tcPr>
            <w:tcW w:type="dxa" w:w="4438"/>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pPr>
            <w:r>
              <w:rPr>
                <w:rFonts w:ascii="Arial" w:cs="Arial" w:eastAsia="Arial" w:hAnsi="Arial"/>
                <w:b w:val="false"/>
                <w:bCs w:val="false"/>
                <w:color w:val="1A202C"/>
                <w:sz w:val="18"/>
                <w:szCs w:val="18"/>
              </w:rPr>
              <w:t xml:space="preserve">Yield &lt; 5% (abaixo da meta PEPFAR)</w:t>
            </w:r>
          </w:p>
        </w:tc>
      </w:tr>
      <w:tr>
        <w:tc>
          <w:tcPr>
            <w:tcW w:type="dxa" w:w="1200"/>
            <w:tcBorders>
              <w:top w:val="single" w:color="E2E8F0" w:sz="4"/>
              <w:left w:val="single" w:color="E2E8F0" w:sz="4"/>
              <w:bottom w:val="single" w:color="E2E8F0" w:sz="4"/>
              <w:right w:val="single" w:color="E2E8F0" w:sz="4"/>
            </w:tcBorders>
            <w:shd w:fill="FAFAFA" w:val="clear"/>
            <w:tcMar>
              <w:top w:type="dxa" w:w="60"/>
              <w:left w:type="dxa" w:w="100"/>
              <w:bottom w:type="dxa" w:w="60"/>
              <w:right w:type="dxa" w:w="100"/>
            </w:tcMar>
          </w:tcPr>
          <w:p>
            <w:pPr>
              <w:spacing w:after="0"/>
            </w:pPr>
            <w:r>
              <w:rPr>
                <w:rFonts w:ascii="Arial" w:cs="Arial" w:eastAsia="Arial" w:hAnsi="Arial"/>
                <w:b/>
                <w:bCs/>
                <w:color w:val="1A202C"/>
                <w:sz w:val="18"/>
                <w:szCs w:val="18"/>
              </w:rPr>
              <w:t xml:space="preserve">C08</w:t>
            </w:r>
          </w:p>
        </w:tc>
        <w:tc>
          <w:tcPr>
            <w:tcW w:type="dxa" w:w="20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pPr>
            <w:r>
              <w:rPr>
                <w:rFonts w:ascii="Arial" w:cs="Arial" w:eastAsia="Arial" w:hAnsi="Arial"/>
                <w:b w:val="false"/>
                <w:bCs w:val="false"/>
                <w:color w:val="1A202C"/>
                <w:sz w:val="18"/>
                <w:szCs w:val="18"/>
              </w:rPr>
              <w:t xml:space="preserve">Injustificados</w:t>
            </w:r>
          </w:p>
        </w:tc>
        <w:tc>
          <w:tcPr>
            <w:tcW w:type="dxa" w:w="2000"/>
            <w:tcBorders>
              <w:top w:val="single" w:color="E2E8F0" w:sz="4"/>
              <w:left w:val="single" w:color="E2E8F0" w:sz="4"/>
              <w:bottom w:val="single" w:color="E2E8F0" w:sz="4"/>
              <w:right w:val="single" w:color="E2E8F0" w:sz="4"/>
            </w:tcBorders>
            <w:shd w:fill="FAFAFA" w:val="clear"/>
            <w:tcMar>
              <w:top w:type="dxa" w:w="60"/>
              <w:left w:type="dxa" w:w="100"/>
              <w:bottom w:type="dxa" w:w="60"/>
              <w:right w:type="dxa" w:w="100"/>
            </w:tcMar>
          </w:tcPr>
          <w:p>
            <w:pPr>
              <w:spacing w:after="0"/>
            </w:pPr>
            <w:r>
              <w:rPr>
                <w:rFonts w:ascii="Arial" w:cs="Arial" w:eastAsia="Arial" w:hAnsi="Arial"/>
                <w:b w:val="false"/>
                <w:bCs w:val="false"/>
                <w:color w:val="4A5568"/>
                <w:sz w:val="18"/>
                <w:szCs w:val="18"/>
              </w:rPr>
              <w:t xml:space="preserve">HIGH/MED</w:t>
            </w:r>
          </w:p>
        </w:tc>
        <w:tc>
          <w:tcPr>
            <w:tcW w:type="dxa" w:w="4438"/>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pPr>
            <w:r>
              <w:rPr>
                <w:rFonts w:ascii="Arial" w:cs="Arial" w:eastAsia="Arial" w:hAnsi="Arial"/>
                <w:b w:val="false"/>
                <w:bCs w:val="false"/>
                <w:color w:val="1A202C"/>
                <w:sz w:val="18"/>
                <w:szCs w:val="18"/>
              </w:rPr>
              <w:t xml:space="preserve">Determine Injustificados &gt; 15% (HIGH) ou &gt; 5% (MEDIUM) do consumo</w:t>
            </w:r>
          </w:p>
        </w:tc>
      </w:tr>
      <w:tr>
        <w:tc>
          <w:tcPr>
            <w:tcW w:type="dxa" w:w="1200"/>
            <w:tcBorders>
              <w:top w:val="single" w:color="E2E8F0" w:sz="4"/>
              <w:left w:val="single" w:color="E2E8F0" w:sz="4"/>
              <w:bottom w:val="single" w:color="E2E8F0" w:sz="4"/>
              <w:right w:val="single" w:color="E2E8F0" w:sz="4"/>
            </w:tcBorders>
            <w:shd w:fill="FAFAFA" w:val="clear"/>
            <w:tcMar>
              <w:top w:type="dxa" w:w="60"/>
              <w:left w:type="dxa" w:w="100"/>
              <w:bottom w:type="dxa" w:w="60"/>
              <w:right w:type="dxa" w:w="100"/>
            </w:tcMar>
          </w:tcPr>
          <w:p>
            <w:pPr>
              <w:spacing w:after="0"/>
            </w:pPr>
            <w:r>
              <w:rPr>
                <w:rFonts w:ascii="Arial" w:cs="Arial" w:eastAsia="Arial" w:hAnsi="Arial"/>
                <w:b/>
                <w:bCs/>
                <w:color w:val="1A202C"/>
                <w:sz w:val="18"/>
                <w:szCs w:val="18"/>
              </w:rPr>
              <w:t xml:space="preserve">C09</w:t>
            </w:r>
          </w:p>
        </w:tc>
        <w:tc>
          <w:tcPr>
            <w:tcW w:type="dxa" w:w="20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pPr>
            <w:r>
              <w:rPr>
                <w:rFonts w:ascii="Arial" w:cs="Arial" w:eastAsia="Arial" w:hAnsi="Arial"/>
                <w:b w:val="false"/>
                <w:bCs w:val="false"/>
                <w:color w:val="1A202C"/>
                <w:sz w:val="18"/>
                <w:szCs w:val="18"/>
              </w:rPr>
              <w:t xml:space="preserve">Injustificados</w:t>
            </w:r>
          </w:p>
        </w:tc>
        <w:tc>
          <w:tcPr>
            <w:tcW w:type="dxa" w:w="2000"/>
            <w:tcBorders>
              <w:top w:val="single" w:color="E2E8F0" w:sz="4"/>
              <w:left w:val="single" w:color="E2E8F0" w:sz="4"/>
              <w:bottom w:val="single" w:color="E2E8F0" w:sz="4"/>
              <w:right w:val="single" w:color="E2E8F0" w:sz="4"/>
            </w:tcBorders>
            <w:shd w:fill="FAFAFA" w:val="clear"/>
            <w:tcMar>
              <w:top w:type="dxa" w:w="60"/>
              <w:left w:type="dxa" w:w="100"/>
              <w:bottom w:type="dxa" w:w="60"/>
              <w:right w:type="dxa" w:w="100"/>
            </w:tcMar>
          </w:tcPr>
          <w:p>
            <w:pPr>
              <w:spacing w:after="0"/>
            </w:pPr>
            <w:r>
              <w:rPr>
                <w:rFonts w:ascii="Arial" w:cs="Arial" w:eastAsia="Arial" w:hAnsi="Arial"/>
                <w:b w:val="false"/>
                <w:bCs w:val="false"/>
                <w:color w:val="4A5568"/>
                <w:sz w:val="18"/>
                <w:szCs w:val="18"/>
              </w:rPr>
              <w:t xml:space="preserve">HIGH/MED</w:t>
            </w:r>
          </w:p>
        </w:tc>
        <w:tc>
          <w:tcPr>
            <w:tcW w:type="dxa" w:w="4438"/>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pPr>
            <w:r>
              <w:rPr>
                <w:rFonts w:ascii="Arial" w:cs="Arial" w:eastAsia="Arial" w:hAnsi="Arial"/>
                <w:b w:val="false"/>
                <w:bCs w:val="false"/>
                <w:color w:val="1A202C"/>
                <w:sz w:val="18"/>
                <w:szCs w:val="18"/>
              </w:rPr>
              <w:t xml:space="preserve">Unigold Injustificados &gt; 15% (HIGH) ou &gt; 5% (MEDIUM) do consumo</w:t>
            </w:r>
          </w:p>
        </w:tc>
      </w:tr>
    </w:tbl>
    <w:p>
      <w:pPr>
        <w:spacing w:after="120"/>
      </w:pPr>
      <w:r>
        <w:rPr>
          <w:rFonts w:ascii="Arial" w:cs="Arial" w:eastAsia="Arial" w:hAnsi="Arial"/>
        </w:rPr>
        <w:t xml:space="preserve"/>
      </w:r>
    </w:p>
    <w:p>
      <w:pPr>
        <w:pStyle w:val="Heading2"/>
        <w:spacing w:after="120" w:before="280"/>
      </w:pPr>
      <w:r>
        <w:rPr>
          <w:rFonts w:ascii="Arial" w:cs="Arial" w:eastAsia="Arial" w:hAnsi="Arial"/>
          <w:b/>
          <w:bCs/>
          <w:color w:val="1B3A6B"/>
          <w:sz w:val="26"/>
          <w:szCs w:val="26"/>
        </w:rPr>
        <w:t xml:space="preserve">5.2 Dimensão 2 — Aderência ao Algoritmo</w:t>
      </w:r>
    </w:p>
    <w:p>
      <w:pPr>
        <w:spacing w:after="140"/>
      </w:pPr>
      <w:r>
        <w:rPr>
          <w:rFonts w:ascii="Arial" w:cs="Arial" w:eastAsia="Arial" w:hAnsi="Arial"/>
          <w:sz w:val="22"/>
          <w:szCs w:val="22"/>
        </w:rPr>
        <w:t xml:space="preserve">Calcula o rácio Unigold Realizados / Determine Reactivos:</w:t>
      </w:r>
    </w:p>
    <w:p>
      <w:pPr>
        <w:pStyle w:val="ListParagraph"/>
        <w:numPr>
          <w:ilvl w:val="0"/>
          <w:numId w:val="2"/>
        </w:numPr>
        <w:spacing w:after="80"/>
      </w:pPr>
      <w:r>
        <w:rPr>
          <w:rFonts w:ascii="Arial" w:cs="Arial" w:eastAsia="Arial" w:hAnsi="Arial"/>
          <w:sz w:val="22"/>
          <w:szCs w:val="22"/>
        </w:rPr>
        <w:t xml:space="preserve">&lt; 80%: RED — aderência muito baixa</w:t>
      </w:r>
    </w:p>
    <w:p>
      <w:pPr>
        <w:pStyle w:val="ListParagraph"/>
        <w:numPr>
          <w:ilvl w:val="0"/>
          <w:numId w:val="2"/>
        </w:numPr>
        <w:spacing w:after="80"/>
      </w:pPr>
      <w:r>
        <w:rPr>
          <w:rFonts w:ascii="Arial" w:cs="Arial" w:eastAsia="Arial" w:hAnsi="Arial"/>
          <w:sz w:val="22"/>
          <w:szCs w:val="22"/>
        </w:rPr>
        <w:t xml:space="preserve">≥ 80% e &lt; 95%: YELLOW — aderência insuficiente (flag C05)</w:t>
      </w:r>
    </w:p>
    <w:p>
      <w:pPr>
        <w:pStyle w:val="ListParagraph"/>
        <w:numPr>
          <w:ilvl w:val="0"/>
          <w:numId w:val="2"/>
        </w:numPr>
        <w:spacing w:after="80"/>
      </w:pPr>
      <w:r>
        <w:rPr>
          <w:rFonts w:ascii="Arial" w:cs="Arial" w:eastAsia="Arial" w:hAnsi="Arial"/>
          <w:sz w:val="22"/>
          <w:szCs w:val="22"/>
        </w:rPr>
        <w:t xml:space="preserve">≥ 95%: GREEN — aderência aceitável</w:t>
      </w:r>
    </w:p>
    <w:p>
      <w:pPr>
        <w:pStyle w:val="Heading2"/>
        <w:spacing w:after="120" w:before="280"/>
      </w:pPr>
      <w:r>
        <w:rPr>
          <w:rFonts w:ascii="Arial" w:cs="Arial" w:eastAsia="Arial" w:hAnsi="Arial"/>
          <w:b/>
          <w:bCs/>
          <w:color w:val="1B3A6B"/>
          <w:sz w:val="26"/>
          <w:szCs w:val="26"/>
        </w:rPr>
        <w:t xml:space="preserve">5.3 Dimensão 3 — Reconciliação de Stock (S01–S08)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4438"/>
      </w:tblGrid>
      <w:tr>
        <w:tc>
          <w:tcPr>
            <w:tcW w:type="dxa" w:w="1200"/>
            <w:tcBorders>
              <w:top w:val="single" w:color="CBD5E0" w:sz="4"/>
              <w:left w:val="single" w:color="CBD5E0" w:sz="4"/>
              <w:bottom w:val="single" w:color="CBD5E0" w:sz="4"/>
              <w:right w:val="single" w:color="CBD5E0" w:sz="4"/>
            </w:tcBorders>
            <w:shd w:fill="1B3A6B"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ID</w:t>
            </w:r>
          </w:p>
        </w:tc>
        <w:tc>
          <w:tcPr>
            <w:tcW w:type="dxa" w:w="2000"/>
            <w:tcBorders>
              <w:top w:val="single" w:color="CBD5E0" w:sz="4"/>
              <w:left w:val="single" w:color="CBD5E0" w:sz="4"/>
              <w:bottom w:val="single" w:color="CBD5E0" w:sz="4"/>
              <w:right w:val="single" w:color="CBD5E0" w:sz="4"/>
            </w:tcBorders>
            <w:shd w:fill="1B3A6B"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Dimensão</w:t>
            </w:r>
          </w:p>
        </w:tc>
        <w:tc>
          <w:tcPr>
            <w:tcW w:type="dxa" w:w="2000"/>
            <w:tcBorders>
              <w:top w:val="single" w:color="CBD5E0" w:sz="4"/>
              <w:left w:val="single" w:color="CBD5E0" w:sz="4"/>
              <w:bottom w:val="single" w:color="CBD5E0" w:sz="4"/>
              <w:right w:val="single" w:color="CBD5E0" w:sz="4"/>
            </w:tcBorders>
            <w:shd w:fill="1B3A6B"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Severidade</w:t>
            </w:r>
          </w:p>
        </w:tc>
        <w:tc>
          <w:tcPr>
            <w:tcW w:type="dxa" w:w="4438"/>
            <w:tcBorders>
              <w:top w:val="single" w:color="CBD5E0" w:sz="4"/>
              <w:left w:val="single" w:color="CBD5E0" w:sz="4"/>
              <w:bottom w:val="single" w:color="CBD5E0" w:sz="4"/>
              <w:right w:val="single" w:color="CBD5E0" w:sz="4"/>
            </w:tcBorders>
            <w:shd w:fill="1B3A6B"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Descrição</w:t>
            </w:r>
          </w:p>
        </w:tc>
      </w:tr>
      <w:tr>
        <w:tc>
          <w:tcPr>
            <w:tcW w:type="dxa" w:w="1200"/>
            <w:tcBorders>
              <w:top w:val="single" w:color="E2E8F0" w:sz="4"/>
              <w:left w:val="single" w:color="E2E8F0" w:sz="4"/>
              <w:bottom w:val="single" w:color="E2E8F0" w:sz="4"/>
              <w:right w:val="single" w:color="E2E8F0" w:sz="4"/>
            </w:tcBorders>
            <w:shd w:fill="FAFAFA" w:val="clear"/>
            <w:tcMar>
              <w:top w:type="dxa" w:w="60"/>
              <w:left w:type="dxa" w:w="100"/>
              <w:bottom w:type="dxa" w:w="60"/>
              <w:right w:type="dxa" w:w="100"/>
            </w:tcMar>
          </w:tcPr>
          <w:p>
            <w:pPr>
              <w:spacing w:after="0"/>
            </w:pPr>
            <w:r>
              <w:rPr>
                <w:rFonts w:ascii="Arial" w:cs="Arial" w:eastAsia="Arial" w:hAnsi="Arial"/>
                <w:b/>
                <w:bCs/>
                <w:color w:val="1A202C"/>
                <w:sz w:val="18"/>
                <w:szCs w:val="18"/>
              </w:rPr>
              <w:t xml:space="preserve">S01</w:t>
            </w:r>
          </w:p>
        </w:tc>
        <w:tc>
          <w:tcPr>
            <w:tcW w:type="dxa" w:w="20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pPr>
            <w:r>
              <w:rPr>
                <w:rFonts w:ascii="Arial" w:cs="Arial" w:eastAsia="Arial" w:hAnsi="Arial"/>
                <w:b w:val="false"/>
                <w:bCs w:val="false"/>
                <w:color w:val="1A202C"/>
                <w:sz w:val="18"/>
                <w:szCs w:val="18"/>
              </w:rPr>
              <w:t xml:space="preserve">Stock</w:t>
            </w:r>
          </w:p>
        </w:tc>
        <w:tc>
          <w:tcPr>
            <w:tcW w:type="dxa" w:w="2000"/>
            <w:tcBorders>
              <w:top w:val="single" w:color="E2E8F0" w:sz="4"/>
              <w:left w:val="single" w:color="E2E8F0" w:sz="4"/>
              <w:bottom w:val="single" w:color="E2E8F0" w:sz="4"/>
              <w:right w:val="single" w:color="E2E8F0" w:sz="4"/>
            </w:tcBorders>
            <w:shd w:fill="FAFAFA" w:val="clear"/>
            <w:tcMar>
              <w:top w:type="dxa" w:w="60"/>
              <w:left w:type="dxa" w:w="100"/>
              <w:bottom w:type="dxa" w:w="60"/>
              <w:right w:type="dxa" w:w="100"/>
            </w:tcMar>
          </w:tcPr>
          <w:p>
            <w:pPr>
              <w:spacing w:after="0"/>
            </w:pPr>
            <w:r>
              <w:rPr>
                <w:rFonts w:ascii="Arial" w:cs="Arial" w:eastAsia="Arial" w:hAnsi="Arial"/>
                <w:b w:val="false"/>
                <w:bCs w:val="false"/>
                <w:color w:val="EF4444"/>
                <w:sz w:val="18"/>
                <w:szCs w:val="18"/>
              </w:rPr>
              <w:t xml:space="preserve">HIGH</w:t>
            </w:r>
          </w:p>
        </w:tc>
        <w:tc>
          <w:tcPr>
            <w:tcW w:type="dxa" w:w="4438"/>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pPr>
            <w:r>
              <w:rPr>
                <w:rFonts w:ascii="Arial" w:cs="Arial" w:eastAsia="Arial" w:hAnsi="Arial"/>
                <w:b w:val="false"/>
                <w:bCs w:val="false"/>
                <w:color w:val="1A202C"/>
                <w:sz w:val="18"/>
                <w:szCs w:val="18"/>
              </w:rPr>
              <w:t xml:space="preserve">Balanço Determine não fecha: Abertura + Recebido − Consumido − Expirado ≠ Fecho</w:t>
            </w:r>
          </w:p>
        </w:tc>
      </w:tr>
      <w:tr>
        <w:tc>
          <w:tcPr>
            <w:tcW w:type="dxa" w:w="1200"/>
            <w:tcBorders>
              <w:top w:val="single" w:color="E2E8F0" w:sz="4"/>
              <w:left w:val="single" w:color="E2E8F0" w:sz="4"/>
              <w:bottom w:val="single" w:color="E2E8F0" w:sz="4"/>
              <w:right w:val="single" w:color="E2E8F0" w:sz="4"/>
            </w:tcBorders>
            <w:shd w:fill="FAFAFA" w:val="clear"/>
            <w:tcMar>
              <w:top w:type="dxa" w:w="60"/>
              <w:left w:type="dxa" w:w="100"/>
              <w:bottom w:type="dxa" w:w="60"/>
              <w:right w:type="dxa" w:w="100"/>
            </w:tcMar>
          </w:tcPr>
          <w:p>
            <w:pPr>
              <w:spacing w:after="0"/>
            </w:pPr>
            <w:r>
              <w:rPr>
                <w:rFonts w:ascii="Arial" w:cs="Arial" w:eastAsia="Arial" w:hAnsi="Arial"/>
                <w:b/>
                <w:bCs/>
                <w:color w:val="1A202C"/>
                <w:sz w:val="18"/>
                <w:szCs w:val="18"/>
              </w:rPr>
              <w:t xml:space="preserve">S02</w:t>
            </w:r>
          </w:p>
        </w:tc>
        <w:tc>
          <w:tcPr>
            <w:tcW w:type="dxa" w:w="20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pPr>
            <w:r>
              <w:rPr>
                <w:rFonts w:ascii="Arial" w:cs="Arial" w:eastAsia="Arial" w:hAnsi="Arial"/>
                <w:b w:val="false"/>
                <w:bCs w:val="false"/>
                <w:color w:val="1A202C"/>
                <w:sz w:val="18"/>
                <w:szCs w:val="18"/>
              </w:rPr>
              <w:t xml:space="preserve">Stock</w:t>
            </w:r>
          </w:p>
        </w:tc>
        <w:tc>
          <w:tcPr>
            <w:tcW w:type="dxa" w:w="2000"/>
            <w:tcBorders>
              <w:top w:val="single" w:color="E2E8F0" w:sz="4"/>
              <w:left w:val="single" w:color="E2E8F0" w:sz="4"/>
              <w:bottom w:val="single" w:color="E2E8F0" w:sz="4"/>
              <w:right w:val="single" w:color="E2E8F0" w:sz="4"/>
            </w:tcBorders>
            <w:shd w:fill="FAFAFA" w:val="clear"/>
            <w:tcMar>
              <w:top w:type="dxa" w:w="60"/>
              <w:left w:type="dxa" w:w="100"/>
              <w:bottom w:type="dxa" w:w="60"/>
              <w:right w:type="dxa" w:w="100"/>
            </w:tcMar>
          </w:tcPr>
          <w:p>
            <w:pPr>
              <w:spacing w:after="0"/>
            </w:pPr>
            <w:r>
              <w:rPr>
                <w:rFonts w:ascii="Arial" w:cs="Arial" w:eastAsia="Arial" w:hAnsi="Arial"/>
                <w:b w:val="false"/>
                <w:bCs w:val="false"/>
                <w:color w:val="EF4444"/>
                <w:sz w:val="18"/>
                <w:szCs w:val="18"/>
              </w:rPr>
              <w:t xml:space="preserve">HIGH</w:t>
            </w:r>
          </w:p>
        </w:tc>
        <w:tc>
          <w:tcPr>
            <w:tcW w:type="dxa" w:w="4438"/>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pPr>
            <w:r>
              <w:rPr>
                <w:rFonts w:ascii="Arial" w:cs="Arial" w:eastAsia="Arial" w:hAnsi="Arial"/>
                <w:b w:val="false"/>
                <w:bCs w:val="false"/>
                <w:color w:val="1A202C"/>
                <w:sz w:val="18"/>
                <w:szCs w:val="18"/>
              </w:rPr>
              <w:t xml:space="preserve">Balanço Unigold não fecha</w:t>
            </w:r>
          </w:p>
        </w:tc>
      </w:tr>
      <w:tr>
        <w:tc>
          <w:tcPr>
            <w:tcW w:type="dxa" w:w="1200"/>
            <w:tcBorders>
              <w:top w:val="single" w:color="E2E8F0" w:sz="4"/>
              <w:left w:val="single" w:color="E2E8F0" w:sz="4"/>
              <w:bottom w:val="single" w:color="E2E8F0" w:sz="4"/>
              <w:right w:val="single" w:color="E2E8F0" w:sz="4"/>
            </w:tcBorders>
            <w:shd w:fill="FAFAFA" w:val="clear"/>
            <w:tcMar>
              <w:top w:type="dxa" w:w="60"/>
              <w:left w:type="dxa" w:w="100"/>
              <w:bottom w:type="dxa" w:w="60"/>
              <w:right w:type="dxa" w:w="100"/>
            </w:tcMar>
          </w:tcPr>
          <w:p>
            <w:pPr>
              <w:spacing w:after="0"/>
            </w:pPr>
            <w:r>
              <w:rPr>
                <w:rFonts w:ascii="Arial" w:cs="Arial" w:eastAsia="Arial" w:hAnsi="Arial"/>
                <w:b/>
                <w:bCs/>
                <w:color w:val="1A202C"/>
                <w:sz w:val="18"/>
                <w:szCs w:val="18"/>
              </w:rPr>
              <w:t xml:space="preserve">S03</w:t>
            </w:r>
          </w:p>
        </w:tc>
        <w:tc>
          <w:tcPr>
            <w:tcW w:type="dxa" w:w="20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pPr>
            <w:r>
              <w:rPr>
                <w:rFonts w:ascii="Arial" w:cs="Arial" w:eastAsia="Arial" w:hAnsi="Arial"/>
                <w:b w:val="false"/>
                <w:bCs w:val="false"/>
                <w:color w:val="1A202C"/>
                <w:sz w:val="18"/>
                <w:szCs w:val="18"/>
              </w:rPr>
              <w:t xml:space="preserve">Stock</w:t>
            </w:r>
          </w:p>
        </w:tc>
        <w:tc>
          <w:tcPr>
            <w:tcW w:type="dxa" w:w="2000"/>
            <w:tcBorders>
              <w:top w:val="single" w:color="E2E8F0" w:sz="4"/>
              <w:left w:val="single" w:color="E2E8F0" w:sz="4"/>
              <w:bottom w:val="single" w:color="E2E8F0" w:sz="4"/>
              <w:right w:val="single" w:color="E2E8F0" w:sz="4"/>
            </w:tcBorders>
            <w:shd w:fill="FAFAFA" w:val="clear"/>
            <w:tcMar>
              <w:top w:type="dxa" w:w="60"/>
              <w:left w:type="dxa" w:w="100"/>
              <w:bottom w:type="dxa" w:w="60"/>
              <w:right w:type="dxa" w:w="100"/>
            </w:tcMar>
          </w:tcPr>
          <w:p>
            <w:pPr>
              <w:spacing w:after="0"/>
            </w:pPr>
            <w:r>
              <w:rPr>
                <w:rFonts w:ascii="Arial" w:cs="Arial" w:eastAsia="Arial" w:hAnsi="Arial"/>
                <w:b w:val="false"/>
                <w:bCs w:val="false"/>
                <w:color w:val="F59E0B"/>
                <w:sz w:val="18"/>
                <w:szCs w:val="18"/>
              </w:rPr>
              <w:t xml:space="preserve">MEDIUM</w:t>
            </w:r>
          </w:p>
        </w:tc>
        <w:tc>
          <w:tcPr>
            <w:tcW w:type="dxa" w:w="4438"/>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pPr>
            <w:r>
              <w:rPr>
                <w:rFonts w:ascii="Arial" w:cs="Arial" w:eastAsia="Arial" w:hAnsi="Arial"/>
                <w:b w:val="false"/>
                <w:bCs w:val="false"/>
                <w:color w:val="1A202C"/>
                <w:sz w:val="18"/>
                <w:szCs w:val="18"/>
              </w:rPr>
              <w:t xml:space="preserve">Variância Determine entre 5% e 15% do total testado</w:t>
            </w:r>
          </w:p>
        </w:tc>
      </w:tr>
      <w:tr>
        <w:tc>
          <w:tcPr>
            <w:tcW w:type="dxa" w:w="1200"/>
            <w:tcBorders>
              <w:top w:val="single" w:color="E2E8F0" w:sz="4"/>
              <w:left w:val="single" w:color="E2E8F0" w:sz="4"/>
              <w:bottom w:val="single" w:color="E2E8F0" w:sz="4"/>
              <w:right w:val="single" w:color="E2E8F0" w:sz="4"/>
            </w:tcBorders>
            <w:shd w:fill="FAFAFA" w:val="clear"/>
            <w:tcMar>
              <w:top w:type="dxa" w:w="60"/>
              <w:left w:type="dxa" w:w="100"/>
              <w:bottom w:type="dxa" w:w="60"/>
              <w:right w:type="dxa" w:w="100"/>
            </w:tcMar>
          </w:tcPr>
          <w:p>
            <w:pPr>
              <w:spacing w:after="0"/>
            </w:pPr>
            <w:r>
              <w:rPr>
                <w:rFonts w:ascii="Arial" w:cs="Arial" w:eastAsia="Arial" w:hAnsi="Arial"/>
                <w:b/>
                <w:bCs/>
                <w:color w:val="1A202C"/>
                <w:sz w:val="18"/>
                <w:szCs w:val="18"/>
              </w:rPr>
              <w:t xml:space="preserve">S04</w:t>
            </w:r>
          </w:p>
        </w:tc>
        <w:tc>
          <w:tcPr>
            <w:tcW w:type="dxa" w:w="20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pPr>
            <w:r>
              <w:rPr>
                <w:rFonts w:ascii="Arial" w:cs="Arial" w:eastAsia="Arial" w:hAnsi="Arial"/>
                <w:b w:val="false"/>
                <w:bCs w:val="false"/>
                <w:color w:val="1A202C"/>
                <w:sz w:val="18"/>
                <w:szCs w:val="18"/>
              </w:rPr>
              <w:t xml:space="preserve">Stock</w:t>
            </w:r>
          </w:p>
        </w:tc>
        <w:tc>
          <w:tcPr>
            <w:tcW w:type="dxa" w:w="2000"/>
            <w:tcBorders>
              <w:top w:val="single" w:color="E2E8F0" w:sz="4"/>
              <w:left w:val="single" w:color="E2E8F0" w:sz="4"/>
              <w:bottom w:val="single" w:color="E2E8F0" w:sz="4"/>
              <w:right w:val="single" w:color="E2E8F0" w:sz="4"/>
            </w:tcBorders>
            <w:shd w:fill="FAFAFA" w:val="clear"/>
            <w:tcMar>
              <w:top w:type="dxa" w:w="60"/>
              <w:left w:type="dxa" w:w="100"/>
              <w:bottom w:type="dxa" w:w="60"/>
              <w:right w:type="dxa" w:w="100"/>
            </w:tcMar>
          </w:tcPr>
          <w:p>
            <w:pPr>
              <w:spacing w:after="0"/>
            </w:pPr>
            <w:r>
              <w:rPr>
                <w:rFonts w:ascii="Arial" w:cs="Arial" w:eastAsia="Arial" w:hAnsi="Arial"/>
                <w:b w:val="false"/>
                <w:bCs w:val="false"/>
                <w:color w:val="EF4444"/>
                <w:sz w:val="18"/>
                <w:szCs w:val="18"/>
              </w:rPr>
              <w:t xml:space="preserve">HIGH</w:t>
            </w:r>
          </w:p>
        </w:tc>
        <w:tc>
          <w:tcPr>
            <w:tcW w:type="dxa" w:w="4438"/>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pPr>
            <w:r>
              <w:rPr>
                <w:rFonts w:ascii="Arial" w:cs="Arial" w:eastAsia="Arial" w:hAnsi="Arial"/>
                <w:b w:val="false"/>
                <w:bCs w:val="false"/>
                <w:color w:val="1A202C"/>
                <w:sz w:val="18"/>
                <w:szCs w:val="18"/>
              </w:rPr>
              <w:t xml:space="preserve">Variância Determine &gt; 15% do total testado</w:t>
            </w:r>
          </w:p>
        </w:tc>
      </w:tr>
      <w:tr>
        <w:tc>
          <w:tcPr>
            <w:tcW w:type="dxa" w:w="1200"/>
            <w:tcBorders>
              <w:top w:val="single" w:color="E2E8F0" w:sz="4"/>
              <w:left w:val="single" w:color="E2E8F0" w:sz="4"/>
              <w:bottom w:val="single" w:color="E2E8F0" w:sz="4"/>
              <w:right w:val="single" w:color="E2E8F0" w:sz="4"/>
            </w:tcBorders>
            <w:shd w:fill="FAFAFA" w:val="clear"/>
            <w:tcMar>
              <w:top w:type="dxa" w:w="60"/>
              <w:left w:type="dxa" w:w="100"/>
              <w:bottom w:type="dxa" w:w="60"/>
              <w:right w:type="dxa" w:w="100"/>
            </w:tcMar>
          </w:tcPr>
          <w:p>
            <w:pPr>
              <w:spacing w:after="0"/>
            </w:pPr>
            <w:r>
              <w:rPr>
                <w:rFonts w:ascii="Arial" w:cs="Arial" w:eastAsia="Arial" w:hAnsi="Arial"/>
                <w:b/>
                <w:bCs/>
                <w:color w:val="1A202C"/>
                <w:sz w:val="18"/>
                <w:szCs w:val="18"/>
              </w:rPr>
              <w:t xml:space="preserve">S05</w:t>
            </w:r>
          </w:p>
        </w:tc>
        <w:tc>
          <w:tcPr>
            <w:tcW w:type="dxa" w:w="20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pPr>
            <w:r>
              <w:rPr>
                <w:rFonts w:ascii="Arial" w:cs="Arial" w:eastAsia="Arial" w:hAnsi="Arial"/>
                <w:b w:val="false"/>
                <w:bCs w:val="false"/>
                <w:color w:val="1A202C"/>
                <w:sz w:val="18"/>
                <w:szCs w:val="18"/>
              </w:rPr>
              <w:t xml:space="preserve">Stock</w:t>
            </w:r>
          </w:p>
        </w:tc>
        <w:tc>
          <w:tcPr>
            <w:tcW w:type="dxa" w:w="2000"/>
            <w:tcBorders>
              <w:top w:val="single" w:color="E2E8F0" w:sz="4"/>
              <w:left w:val="single" w:color="E2E8F0" w:sz="4"/>
              <w:bottom w:val="single" w:color="E2E8F0" w:sz="4"/>
              <w:right w:val="single" w:color="E2E8F0" w:sz="4"/>
            </w:tcBorders>
            <w:shd w:fill="FAFAFA" w:val="clear"/>
            <w:tcMar>
              <w:top w:type="dxa" w:w="60"/>
              <w:left w:type="dxa" w:w="100"/>
              <w:bottom w:type="dxa" w:w="60"/>
              <w:right w:type="dxa" w:w="100"/>
            </w:tcMar>
          </w:tcPr>
          <w:p>
            <w:pPr>
              <w:spacing w:after="0"/>
            </w:pPr>
            <w:r>
              <w:rPr>
                <w:rFonts w:ascii="Arial" w:cs="Arial" w:eastAsia="Arial" w:hAnsi="Arial"/>
                <w:b w:val="false"/>
                <w:bCs w:val="false"/>
                <w:color w:val="F59E0B"/>
                <w:sz w:val="18"/>
                <w:szCs w:val="18"/>
              </w:rPr>
              <w:t xml:space="preserve">MEDIUM</w:t>
            </w:r>
          </w:p>
        </w:tc>
        <w:tc>
          <w:tcPr>
            <w:tcW w:type="dxa" w:w="4438"/>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pPr>
            <w:r>
              <w:rPr>
                <w:rFonts w:ascii="Arial" w:cs="Arial" w:eastAsia="Arial" w:hAnsi="Arial"/>
                <w:b w:val="false"/>
                <w:bCs w:val="false"/>
                <w:color w:val="1A202C"/>
                <w:sz w:val="18"/>
                <w:szCs w:val="18"/>
              </w:rPr>
              <w:t xml:space="preserve">Variância Unigold entre 5% e 15% dos Det. Reactivos</w:t>
            </w:r>
          </w:p>
        </w:tc>
      </w:tr>
      <w:tr>
        <w:tc>
          <w:tcPr>
            <w:tcW w:type="dxa" w:w="1200"/>
            <w:tcBorders>
              <w:top w:val="single" w:color="E2E8F0" w:sz="4"/>
              <w:left w:val="single" w:color="E2E8F0" w:sz="4"/>
              <w:bottom w:val="single" w:color="E2E8F0" w:sz="4"/>
              <w:right w:val="single" w:color="E2E8F0" w:sz="4"/>
            </w:tcBorders>
            <w:shd w:fill="FAFAFA" w:val="clear"/>
            <w:tcMar>
              <w:top w:type="dxa" w:w="60"/>
              <w:left w:type="dxa" w:w="100"/>
              <w:bottom w:type="dxa" w:w="60"/>
              <w:right w:type="dxa" w:w="100"/>
            </w:tcMar>
          </w:tcPr>
          <w:p>
            <w:pPr>
              <w:spacing w:after="0"/>
            </w:pPr>
            <w:r>
              <w:rPr>
                <w:rFonts w:ascii="Arial" w:cs="Arial" w:eastAsia="Arial" w:hAnsi="Arial"/>
                <w:b/>
                <w:bCs/>
                <w:color w:val="1A202C"/>
                <w:sz w:val="18"/>
                <w:szCs w:val="18"/>
              </w:rPr>
              <w:t xml:space="preserve">S06</w:t>
            </w:r>
          </w:p>
        </w:tc>
        <w:tc>
          <w:tcPr>
            <w:tcW w:type="dxa" w:w="20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pPr>
            <w:r>
              <w:rPr>
                <w:rFonts w:ascii="Arial" w:cs="Arial" w:eastAsia="Arial" w:hAnsi="Arial"/>
                <w:b w:val="false"/>
                <w:bCs w:val="false"/>
                <w:color w:val="1A202C"/>
                <w:sz w:val="18"/>
                <w:szCs w:val="18"/>
              </w:rPr>
              <w:t xml:space="preserve">Stock</w:t>
            </w:r>
          </w:p>
        </w:tc>
        <w:tc>
          <w:tcPr>
            <w:tcW w:type="dxa" w:w="2000"/>
            <w:tcBorders>
              <w:top w:val="single" w:color="E2E8F0" w:sz="4"/>
              <w:left w:val="single" w:color="E2E8F0" w:sz="4"/>
              <w:bottom w:val="single" w:color="E2E8F0" w:sz="4"/>
              <w:right w:val="single" w:color="E2E8F0" w:sz="4"/>
            </w:tcBorders>
            <w:shd w:fill="FAFAFA" w:val="clear"/>
            <w:tcMar>
              <w:top w:type="dxa" w:w="60"/>
              <w:left w:type="dxa" w:w="100"/>
              <w:bottom w:type="dxa" w:w="60"/>
              <w:right w:type="dxa" w:w="100"/>
            </w:tcMar>
          </w:tcPr>
          <w:p>
            <w:pPr>
              <w:spacing w:after="0"/>
            </w:pPr>
            <w:r>
              <w:rPr>
                <w:rFonts w:ascii="Arial" w:cs="Arial" w:eastAsia="Arial" w:hAnsi="Arial"/>
                <w:b w:val="false"/>
                <w:bCs w:val="false"/>
                <w:color w:val="EF4444"/>
                <w:sz w:val="18"/>
                <w:szCs w:val="18"/>
              </w:rPr>
              <w:t xml:space="preserve">HIGH</w:t>
            </w:r>
          </w:p>
        </w:tc>
        <w:tc>
          <w:tcPr>
            <w:tcW w:type="dxa" w:w="4438"/>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pPr>
            <w:r>
              <w:rPr>
                <w:rFonts w:ascii="Arial" w:cs="Arial" w:eastAsia="Arial" w:hAnsi="Arial"/>
                <w:b w:val="false"/>
                <w:bCs w:val="false"/>
                <w:color w:val="1A202C"/>
                <w:sz w:val="18"/>
                <w:szCs w:val="18"/>
              </w:rPr>
              <w:t xml:space="preserve">Variância Unigold &gt; 15% dos Det. Reactivos</w:t>
            </w:r>
          </w:p>
        </w:tc>
      </w:tr>
      <w:tr>
        <w:tc>
          <w:tcPr>
            <w:tcW w:type="dxa" w:w="1200"/>
            <w:tcBorders>
              <w:top w:val="single" w:color="E2E8F0" w:sz="4"/>
              <w:left w:val="single" w:color="E2E8F0" w:sz="4"/>
              <w:bottom w:val="single" w:color="E2E8F0" w:sz="4"/>
              <w:right w:val="single" w:color="E2E8F0" w:sz="4"/>
            </w:tcBorders>
            <w:shd w:fill="FAFAFA" w:val="clear"/>
            <w:tcMar>
              <w:top w:type="dxa" w:w="60"/>
              <w:left w:type="dxa" w:w="100"/>
              <w:bottom w:type="dxa" w:w="60"/>
              <w:right w:type="dxa" w:w="100"/>
            </w:tcMar>
          </w:tcPr>
          <w:p>
            <w:pPr>
              <w:spacing w:after="0"/>
            </w:pPr>
            <w:r>
              <w:rPr>
                <w:rFonts w:ascii="Arial" w:cs="Arial" w:eastAsia="Arial" w:hAnsi="Arial"/>
                <w:b/>
                <w:bCs/>
                <w:color w:val="1A202C"/>
                <w:sz w:val="18"/>
                <w:szCs w:val="18"/>
              </w:rPr>
              <w:t xml:space="preserve">S07</w:t>
            </w:r>
          </w:p>
        </w:tc>
        <w:tc>
          <w:tcPr>
            <w:tcW w:type="dxa" w:w="20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pPr>
            <w:r>
              <w:rPr>
                <w:rFonts w:ascii="Arial" w:cs="Arial" w:eastAsia="Arial" w:hAnsi="Arial"/>
                <w:b w:val="false"/>
                <w:bCs w:val="false"/>
                <w:color w:val="1A202C"/>
                <w:sz w:val="18"/>
                <w:szCs w:val="18"/>
              </w:rPr>
              <w:t xml:space="preserve">Stock</w:t>
            </w:r>
          </w:p>
        </w:tc>
        <w:tc>
          <w:tcPr>
            <w:tcW w:type="dxa" w:w="2000"/>
            <w:tcBorders>
              <w:top w:val="single" w:color="E2E8F0" w:sz="4"/>
              <w:left w:val="single" w:color="E2E8F0" w:sz="4"/>
              <w:bottom w:val="single" w:color="E2E8F0" w:sz="4"/>
              <w:right w:val="single" w:color="E2E8F0" w:sz="4"/>
            </w:tcBorders>
            <w:shd w:fill="FAFAFA" w:val="clear"/>
            <w:tcMar>
              <w:top w:type="dxa" w:w="60"/>
              <w:left w:type="dxa" w:w="100"/>
              <w:bottom w:type="dxa" w:w="60"/>
              <w:right w:type="dxa" w:w="100"/>
            </w:tcMar>
          </w:tcPr>
          <w:p>
            <w:pPr>
              <w:spacing w:after="0"/>
            </w:pPr>
            <w:r>
              <w:rPr>
                <w:rFonts w:ascii="Arial" w:cs="Arial" w:eastAsia="Arial" w:hAnsi="Arial"/>
                <w:b w:val="false"/>
                <w:bCs w:val="false"/>
                <w:color w:val="EF4444"/>
                <w:sz w:val="18"/>
                <w:szCs w:val="18"/>
              </w:rPr>
              <w:t xml:space="preserve">HIGH</w:t>
            </w:r>
          </w:p>
        </w:tc>
        <w:tc>
          <w:tcPr>
            <w:tcW w:type="dxa" w:w="4438"/>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pPr>
            <w:r>
              <w:rPr>
                <w:rFonts w:ascii="Arial" w:cs="Arial" w:eastAsia="Arial" w:hAnsi="Arial"/>
                <w:b w:val="false"/>
                <w:bCs w:val="false"/>
                <w:color w:val="1A202C"/>
                <w:sz w:val="18"/>
                <w:szCs w:val="18"/>
              </w:rPr>
              <w:t xml:space="preserve">Stock Fecho Determine negativo</w:t>
            </w:r>
          </w:p>
        </w:tc>
      </w:tr>
      <w:tr>
        <w:tc>
          <w:tcPr>
            <w:tcW w:type="dxa" w:w="1200"/>
            <w:tcBorders>
              <w:top w:val="single" w:color="E2E8F0" w:sz="4"/>
              <w:left w:val="single" w:color="E2E8F0" w:sz="4"/>
              <w:bottom w:val="single" w:color="E2E8F0" w:sz="4"/>
              <w:right w:val="single" w:color="E2E8F0" w:sz="4"/>
            </w:tcBorders>
            <w:shd w:fill="FAFAFA" w:val="clear"/>
            <w:tcMar>
              <w:top w:type="dxa" w:w="60"/>
              <w:left w:type="dxa" w:w="100"/>
              <w:bottom w:type="dxa" w:w="60"/>
              <w:right w:type="dxa" w:w="100"/>
            </w:tcMar>
          </w:tcPr>
          <w:p>
            <w:pPr>
              <w:spacing w:after="0"/>
            </w:pPr>
            <w:r>
              <w:rPr>
                <w:rFonts w:ascii="Arial" w:cs="Arial" w:eastAsia="Arial" w:hAnsi="Arial"/>
                <w:b/>
                <w:bCs/>
                <w:color w:val="1A202C"/>
                <w:sz w:val="18"/>
                <w:szCs w:val="18"/>
              </w:rPr>
              <w:t xml:space="preserve">S08</w:t>
            </w:r>
          </w:p>
        </w:tc>
        <w:tc>
          <w:tcPr>
            <w:tcW w:type="dxa" w:w="2000"/>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pPr>
            <w:r>
              <w:rPr>
                <w:rFonts w:ascii="Arial" w:cs="Arial" w:eastAsia="Arial" w:hAnsi="Arial"/>
                <w:b w:val="false"/>
                <w:bCs w:val="false"/>
                <w:color w:val="1A202C"/>
                <w:sz w:val="18"/>
                <w:szCs w:val="18"/>
              </w:rPr>
              <w:t xml:space="preserve">Stock</w:t>
            </w:r>
          </w:p>
        </w:tc>
        <w:tc>
          <w:tcPr>
            <w:tcW w:type="dxa" w:w="2000"/>
            <w:tcBorders>
              <w:top w:val="single" w:color="E2E8F0" w:sz="4"/>
              <w:left w:val="single" w:color="E2E8F0" w:sz="4"/>
              <w:bottom w:val="single" w:color="E2E8F0" w:sz="4"/>
              <w:right w:val="single" w:color="E2E8F0" w:sz="4"/>
            </w:tcBorders>
            <w:shd w:fill="FAFAFA" w:val="clear"/>
            <w:tcMar>
              <w:top w:type="dxa" w:w="60"/>
              <w:left w:type="dxa" w:w="100"/>
              <w:bottom w:type="dxa" w:w="60"/>
              <w:right w:type="dxa" w:w="100"/>
            </w:tcMar>
          </w:tcPr>
          <w:p>
            <w:pPr>
              <w:spacing w:after="0"/>
            </w:pPr>
            <w:r>
              <w:rPr>
                <w:rFonts w:ascii="Arial" w:cs="Arial" w:eastAsia="Arial" w:hAnsi="Arial"/>
                <w:b w:val="false"/>
                <w:bCs w:val="false"/>
                <w:color w:val="EF4444"/>
                <w:sz w:val="18"/>
                <w:szCs w:val="18"/>
              </w:rPr>
              <w:t xml:space="preserve">HIGH</w:t>
            </w:r>
          </w:p>
        </w:tc>
        <w:tc>
          <w:tcPr>
            <w:tcW w:type="dxa" w:w="4438"/>
            <w:tcBorders>
              <w:top w:val="single" w:color="E2E8F0" w:sz="4"/>
              <w:left w:val="single" w:color="E2E8F0" w:sz="4"/>
              <w:bottom w:val="single" w:color="E2E8F0" w:sz="4"/>
              <w:right w:val="single" w:color="E2E8F0" w:sz="4"/>
            </w:tcBorders>
            <w:shd w:fill="FFFFFF" w:val="clear"/>
            <w:tcMar>
              <w:top w:type="dxa" w:w="60"/>
              <w:left w:type="dxa" w:w="100"/>
              <w:bottom w:type="dxa" w:w="60"/>
              <w:right w:type="dxa" w:w="100"/>
            </w:tcMar>
          </w:tcPr>
          <w:p>
            <w:pPr>
              <w:spacing w:after="0"/>
            </w:pPr>
            <w:r>
              <w:rPr>
                <w:rFonts w:ascii="Arial" w:cs="Arial" w:eastAsia="Arial" w:hAnsi="Arial"/>
                <w:b w:val="false"/>
                <w:bCs w:val="false"/>
                <w:color w:val="1A202C"/>
                <w:sz w:val="18"/>
                <w:szCs w:val="18"/>
              </w:rPr>
              <w:t xml:space="preserve">Stock Fecho Unigold negativo</w:t>
            </w:r>
          </w:p>
        </w:tc>
      </w:tr>
    </w:tbl>
    <w:p>
      <w:pPr>
        <w:spacing w:after="120"/>
      </w:pPr>
      <w:r>
        <w:rPr>
          <w:rFonts w:ascii="Arial" w:cs="Arial" w:eastAsia="Arial" w:hAnsi="Arial"/>
        </w:rPr>
        <w:t xml:space="preserve"/>
      </w:r>
    </w:p>
    <w:p>
      <w:pPr>
        <w:pStyle w:val="Heading2"/>
        <w:spacing w:after="120" w:before="280"/>
      </w:pPr>
      <w:r>
        <w:rPr>
          <w:rFonts w:ascii="Arial" w:cs="Arial" w:eastAsia="Arial" w:hAnsi="Arial"/>
          <w:b/>
          <w:bCs/>
          <w:color w:val="1B3A6B"/>
          <w:sz w:val="26"/>
          <w:szCs w:val="26"/>
        </w:rPr>
        <w:t xml:space="preserve">5.4 Dimensão 4 — Plausibilidade do Yield</w:t>
      </w:r>
    </w:p>
    <w:p>
      <w:pPr>
        <w:pStyle w:val="ListParagraph"/>
        <w:numPr>
          <w:ilvl w:val="0"/>
          <w:numId w:val="2"/>
        </w:numPr>
        <w:spacing w:after="80"/>
      </w:pPr>
      <w:r>
        <w:rPr>
          <w:rFonts w:ascii="Arial" w:cs="Arial" w:eastAsia="Arial" w:hAnsi="Arial"/>
          <w:sz w:val="22"/>
          <w:szCs w:val="22"/>
        </w:rPr>
        <w:t xml:space="preserve">Yield = 0% com volume ≥ 20 testados: RED (implausível em contexto ICT)</w:t>
      </w:r>
    </w:p>
    <w:p>
      <w:pPr>
        <w:pStyle w:val="ListParagraph"/>
        <w:numPr>
          <w:ilvl w:val="0"/>
          <w:numId w:val="2"/>
        </w:numPr>
        <w:spacing w:after="80"/>
      </w:pPr>
      <w:r>
        <w:rPr>
          <w:rFonts w:ascii="Arial" w:cs="Arial" w:eastAsia="Arial" w:hAnsi="Arial"/>
          <w:sz w:val="22"/>
          <w:szCs w:val="22"/>
        </w:rPr>
        <w:t xml:space="preserve">Yield &gt; 0% e &lt; 5%: YELLOW (abaixo da meta PEPFAR)</w:t>
      </w:r>
    </w:p>
    <w:p>
      <w:pPr>
        <w:pStyle w:val="ListParagraph"/>
        <w:numPr>
          <w:ilvl w:val="0"/>
          <w:numId w:val="2"/>
        </w:numPr>
        <w:spacing w:after="80"/>
      </w:pPr>
      <w:r>
        <w:rPr>
          <w:rFonts w:ascii="Arial" w:cs="Arial" w:eastAsia="Arial" w:hAnsi="Arial"/>
          <w:sz w:val="22"/>
          <w:szCs w:val="22"/>
        </w:rPr>
        <w:t xml:space="preserve">Yield ≥ 5%: GREEN</w:t>
      </w:r>
    </w:p>
    <w:p>
      <w:pPr>
        <w:pStyle w:val="Heading2"/>
        <w:spacing w:after="120" w:before="280"/>
      </w:pPr>
      <w:r>
        <w:rPr>
          <w:rFonts w:ascii="Arial" w:cs="Arial" w:eastAsia="Arial" w:hAnsi="Arial"/>
          <w:b/>
          <w:bCs/>
          <w:color w:val="1B3A6B"/>
          <w:sz w:val="26"/>
          <w:szCs w:val="26"/>
        </w:rPr>
        <w:t xml:space="preserve">5.5 Score Global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E2E8F0" w:sz="4"/>
              <w:left w:val="single" w:color="E2E8F0" w:sz="4"/>
              <w:bottom w:val="single" w:color="E2E8F0" w:sz="4"/>
              <w:right w:val="single" w:color="E2E8F0" w:sz="4"/>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Score Global</w:t>
            </w:r>
          </w:p>
        </w:tc>
        <w:tc>
          <w:tcPr>
            <w:tcW w:type="dxa" w:w="7638"/>
            <w:tcBorders>
              <w:top w:val="single" w:color="E2E8F0" w:sz="4"/>
              <w:left w:val="single" w:color="E2E8F0" w:sz="4"/>
              <w:bottom w:val="single" w:color="E2E8F0" w:sz="4"/>
              <w:right w:val="single" w:color="E2E8F0" w:sz="4"/>
            </w:tcBorders>
            <w:shd w:fill="1B3A6B" w:val="clear"/>
            <w:tcMar>
              <w:top w:type="dxa" w:w="80"/>
              <w:left w:type="dxa" w:w="120"/>
              <w:bottom w:type="dxa" w:w="80"/>
              <w:right w:type="dxa" w:w="120"/>
            </w:tcMar>
          </w:tcPr>
          <w:p>
            <w:pPr>
              <w:spacing w:after="0"/>
            </w:pPr>
            <w:r>
              <w:rPr>
                <w:rFonts w:ascii="Arial" w:cs="Arial" w:eastAsia="Arial" w:hAnsi="Arial"/>
                <w:color w:val="FFFFFF"/>
                <w:sz w:val="20"/>
                <w:szCs w:val="20"/>
              </w:rPr>
              <w:t xml:space="preserve">Condição</w:t>
            </w:r>
          </w:p>
        </w:tc>
      </w:tr>
      <w:tr>
        <w:tc>
          <w:tcPr>
            <w:tcW w:type="dxa" w:w="20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 RED</w:t>
            </w:r>
          </w:p>
        </w:tc>
        <w:tc>
          <w:tcPr>
            <w:tcW w:type="dxa" w:w="76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Qualquer dimensão com score RED</w:t>
            </w:r>
          </w:p>
        </w:tc>
      </w:tr>
      <w:tr>
        <w:tc>
          <w:tcPr>
            <w:tcW w:type="dxa" w:w="20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 YELLOW</w:t>
            </w:r>
          </w:p>
        </w:tc>
        <w:tc>
          <w:tcPr>
            <w:tcW w:type="dxa" w:w="76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Nenhuma dimensão RED + pelo menos uma dimensão YELLOW</w:t>
            </w:r>
          </w:p>
        </w:tc>
      </w:tr>
      <w:tr>
        <w:tc>
          <w:tcPr>
            <w:tcW w:type="dxa" w:w="20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 GREEN</w:t>
            </w:r>
          </w:p>
        </w:tc>
        <w:tc>
          <w:tcPr>
            <w:tcW w:type="dxa" w:w="76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Todas as dimensões GREEN</w:t>
            </w:r>
          </w:p>
        </w:tc>
      </w:tr>
    </w:tbl>
    <w:p>
      <w:pPr>
        <w:spacing w:after="200"/>
      </w:pPr>
      <w:r>
        <w:rPr>
          <w:rFonts w:ascii="Arial" w:cs="Arial" w:eastAsia="Arial" w:hAnsi="Arial"/>
        </w:rPr>
        <w:t xml:space="preserve"/>
      </w:r>
    </w:p>
    <w:p>
      <w:r>
        <w:br w:type="page"/>
      </w:r>
    </w:p>
    <w:p>
      <w:pPr>
        <w:pStyle w:val="Heading1"/>
        <w:spacing w:after="160" w:before="360"/>
      </w:pPr>
      <w:r>
        <w:rPr>
          <w:rFonts w:ascii="Arial" w:cs="Arial" w:eastAsia="Arial" w:hAnsi="Arial"/>
          <w:b/>
          <w:bCs/>
          <w:color w:val="1B3A6B"/>
          <w:sz w:val="32"/>
          <w:szCs w:val="32"/>
        </w:rPr>
        <w:t xml:space="preserve">6. Algoritmo de Teste VIH em Moçambique</w:t>
      </w:r>
    </w:p>
    <w:p>
      <w:pPr>
        <w:spacing w:after="140"/>
      </w:pPr>
      <w:r>
        <w:rPr>
          <w:rFonts w:ascii="Arial" w:cs="Arial" w:eastAsia="Arial" w:hAnsi="Arial"/>
          <w:sz w:val="22"/>
          <w:szCs w:val="22"/>
        </w:rPr>
        <w:t xml:space="preserve">Moçambique utiliza um algoritmo de dois testes para o diagnóstico do VIH: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A693" w:sz="4"/>
              <w:left w:val="single" w:color="00A693" w:sz="4"/>
              <w:bottom w:val="single" w:color="00A693" w:sz="4"/>
              <w:right w:val="single" w:color="00A693" w:sz="4"/>
            </w:tcBorders>
            <w:shd w:fill="F0FEFA" w:val="clear"/>
            <w:tcMar>
              <w:top w:type="dxa" w:w="160"/>
              <w:left w:type="dxa" w:w="200"/>
              <w:bottom w:type="dxa" w:w="160"/>
              <w:right w:type="dxa" w:w="200"/>
            </w:tcMar>
          </w:tcPr>
          <w:p>
            <w:pPr>
              <w:spacing w:after="80"/>
            </w:pPr>
            <w:r>
              <w:rPr>
                <w:rFonts w:ascii="Arial" w:cs="Arial" w:eastAsia="Arial" w:hAnsi="Arial"/>
                <w:b/>
                <w:bCs/>
                <w:color w:val="1B3A6B"/>
                <w:sz w:val="22"/>
                <w:szCs w:val="22"/>
              </w:rPr>
              <w:t xml:space="preserve">PASSO 1 — Determine (Triagem)</w:t>
            </w:r>
          </w:p>
          <w:p>
            <w:pPr>
              <w:spacing w:after="60"/>
            </w:pPr>
            <w:r>
              <w:rPr>
                <w:rFonts w:ascii="Arial" w:cs="Arial" w:eastAsia="Arial" w:hAnsi="Arial"/>
                <w:sz w:val="20"/>
                <w:szCs w:val="20"/>
              </w:rPr>
              <w:t xml:space="preserve">• Determine Reactivo (+) → passar ao Passo 2</w:t>
            </w:r>
          </w:p>
          <w:p>
            <w:pPr>
              <w:spacing w:after="0"/>
            </w:pPr>
            <w:r>
              <w:rPr>
                <w:rFonts w:ascii="Arial" w:cs="Arial" w:eastAsia="Arial" w:hAnsi="Arial"/>
                <w:sz w:val="20"/>
                <w:szCs w:val="20"/>
              </w:rPr>
              <w:t xml:space="preserve">• Determine Não Reactivo (−) → Resultado Final: VIH NEGATIVO</w:t>
            </w:r>
          </w:p>
        </w:tc>
      </w:tr>
      <w:tr>
        <w:tc>
          <w:tcPr>
            <w:tcW w:type="dxa" w:w="9638"/>
            <w:tcBorders>
              <w:top w:val="single" w:color="00A693" w:sz="4"/>
              <w:left w:val="single" w:color="00A693" w:sz="4"/>
              <w:bottom w:val="single" w:color="00A693" w:sz="4"/>
              <w:right w:val="single" w:color="00A693" w:sz="4"/>
            </w:tcBorders>
            <w:shd w:fill="EFF6FF" w:val="clear"/>
            <w:tcMar>
              <w:top w:type="dxa" w:w="160"/>
              <w:left w:type="dxa" w:w="200"/>
              <w:bottom w:type="dxa" w:w="160"/>
              <w:right w:type="dxa" w:w="200"/>
            </w:tcMar>
          </w:tcPr>
          <w:p>
            <w:pPr>
              <w:spacing w:after="80"/>
            </w:pPr>
            <w:r>
              <w:rPr>
                <w:rFonts w:ascii="Arial" w:cs="Arial" w:eastAsia="Arial" w:hAnsi="Arial"/>
                <w:b/>
                <w:bCs/>
                <w:color w:val="1B3A6B"/>
                <w:sz w:val="22"/>
                <w:szCs w:val="22"/>
              </w:rPr>
              <w:t xml:space="preserve">PASSO 2 — Unigold (Confirmatório)</w:t>
            </w:r>
          </w:p>
          <w:p>
            <w:pPr>
              <w:spacing w:after="60"/>
            </w:pPr>
            <w:r>
              <w:rPr>
                <w:rFonts w:ascii="Arial" w:cs="Arial" w:eastAsia="Arial" w:hAnsi="Arial"/>
                <w:b/>
                <w:bCs/>
                <w:color w:val="EF4444"/>
                <w:sz w:val="20"/>
                <w:szCs w:val="20"/>
              </w:rPr>
              <w:t xml:space="preserve">• Unigold Reactivo (+) → Resultado Final: VIH POSITIVO CONFIRMADO</w:t>
            </w:r>
          </w:p>
          <w:p>
            <w:pPr>
              <w:spacing w:after="0"/>
            </w:pPr>
            <w:r>
              <w:rPr>
                <w:rFonts w:ascii="Arial" w:cs="Arial" w:eastAsia="Arial" w:hAnsi="Arial"/>
                <w:sz w:val="20"/>
                <w:szCs w:val="20"/>
              </w:rPr>
              <w:t xml:space="preserve">• Unigold Não Reactivo (−) → Resultado Final: INDETERMINADO (repetir em 14 dias)</w:t>
            </w:r>
          </w:p>
        </w:tc>
      </w:tr>
    </w:tbl>
    <w:p>
      <w:pPr>
        <w:spacing w:after="160"/>
      </w:pPr>
      <w:r>
        <w:rPr>
          <w:rFonts w:ascii="Arial" w:cs="Arial" w:eastAsia="Arial" w:hAnsi="Arial"/>
        </w:rPr>
        <w:t xml:space="preserve"/>
      </w:r>
    </w:p>
    <w:p>
      <w:pPr>
        <w:spacing w:after="140"/>
      </w:pPr>
      <w:r>
        <w:rPr>
          <w:rFonts w:ascii="Arial" w:cs="Arial" w:eastAsia="Arial" w:hAnsi="Arial"/>
          <w:sz w:val="22"/>
          <w:szCs w:val="22"/>
        </w:rPr>
        <w:t xml:space="preserve">A aderência ao algoritmo é definida como a proporção de Determine Reactivos que foram submetidos ao teste Unigold (meta PEPFAR: ≥ 95%). Um valor abaixo de 95% significa que houve clientes com resultado positivo no Determine que não foram testados com Unigold, o que constitui uma violação do protocolo.</w:t>
      </w:r>
    </w:p>
    <w:p>
      <w:r>
        <w:br w:type="page"/>
      </w:r>
    </w:p>
    <w:p>
      <w:pPr>
        <w:pStyle w:val="Heading1"/>
        <w:spacing w:after="160" w:before="360"/>
      </w:pPr>
      <w:r>
        <w:rPr>
          <w:rFonts w:ascii="Arial" w:cs="Arial" w:eastAsia="Arial" w:hAnsi="Arial"/>
          <w:b/>
          <w:bCs/>
          <w:color w:val="1B3A6B"/>
          <w:sz w:val="32"/>
          <w:szCs w:val="32"/>
        </w:rPr>
        <w:t xml:space="preserve">7. Indicadores PEPFAR MER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E2E8F0" w:sz="4"/>
              <w:left w:val="single" w:color="E2E8F0" w:sz="4"/>
              <w:bottom w:val="single" w:color="E2E8F0" w:sz="4"/>
              <w:right w:val="single" w:color="E2E8F0" w:sz="4"/>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Indicador</w:t>
            </w:r>
          </w:p>
        </w:tc>
        <w:tc>
          <w:tcPr>
            <w:tcW w:type="dxa" w:w="6838"/>
            <w:tcBorders>
              <w:top w:val="single" w:color="E2E8F0" w:sz="4"/>
              <w:left w:val="single" w:color="E2E8F0" w:sz="4"/>
              <w:bottom w:val="single" w:color="E2E8F0" w:sz="4"/>
              <w:right w:val="single" w:color="E2E8F0" w:sz="4"/>
            </w:tcBorders>
            <w:shd w:fill="1B3A6B" w:val="clear"/>
            <w:tcMar>
              <w:top w:type="dxa" w:w="80"/>
              <w:left w:type="dxa" w:w="120"/>
              <w:bottom w:type="dxa" w:w="80"/>
              <w:right w:type="dxa" w:w="120"/>
            </w:tcMar>
          </w:tcPr>
          <w:p>
            <w:pPr>
              <w:spacing w:after="0"/>
            </w:pPr>
            <w:r>
              <w:rPr>
                <w:rFonts w:ascii="Arial" w:cs="Arial" w:eastAsia="Arial" w:hAnsi="Arial"/>
                <w:color w:val="FFFFFF"/>
                <w:sz w:val="20"/>
                <w:szCs w:val="20"/>
              </w:rPr>
              <w:t xml:space="preserve">Fórmula</w:t>
            </w:r>
          </w:p>
        </w:tc>
      </w:tr>
      <w:tr>
        <w:tc>
          <w:tcPr>
            <w:tcW w:type="dxa" w:w="2800"/>
            <w:tcBorders>
              <w:top w:val="single" w:color="E2E8F0" w:sz="4"/>
              <w:left w:val="single" w:color="E2E8F0" w:sz="4"/>
              <w:bottom w:val="single" w:color="E2E8F0" w:sz="4"/>
              <w:right w:val="single" w:color="E2E8F0" w:sz="4"/>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Yield%</w:t>
            </w:r>
          </w:p>
        </w:tc>
        <w:tc>
          <w:tcPr>
            <w:tcW w:type="dxa" w:w="6838"/>
            <w:tcBorders>
              <w:top w:val="single" w:color="E2E8F0" w:sz="4"/>
              <w:left w:val="single" w:color="E2E8F0" w:sz="4"/>
              <w:bottom w:val="single" w:color="E2E8F0" w:sz="4"/>
              <w:right w:val="single" w:color="E2E8F0" w:sz="4"/>
            </w:tcBorders>
            <w:shd w:fill="1B3A6B" w:val="clear"/>
            <w:tcMar>
              <w:top w:type="dxa" w:w="80"/>
              <w:left w:type="dxa" w:w="120"/>
              <w:bottom w:type="dxa" w:w="80"/>
              <w:right w:type="dxa" w:w="120"/>
            </w:tcMar>
          </w:tcPr>
          <w:p>
            <w:pPr>
              <w:spacing w:after="0"/>
            </w:pPr>
            <w:r>
              <w:rPr>
                <w:rFonts w:ascii="Arial" w:cs="Arial" w:eastAsia="Arial" w:hAnsi="Arial"/>
                <w:color w:val="FFFFFF"/>
                <w:sz w:val="20"/>
                <w:szCs w:val="20"/>
              </w:rPr>
              <w:t xml:space="preserve">Positivos Confirmados / Total Testados × 100</w:t>
            </w:r>
          </w:p>
        </w:tc>
      </w:tr>
      <w:tr>
        <w:tc>
          <w:tcPr>
            <w:tcW w:type="dxa" w:w="2800"/>
            <w:tcBorders>
              <w:top w:val="single" w:color="E2E8F0" w:sz="4"/>
              <w:left w:val="single" w:color="E2E8F0" w:sz="4"/>
              <w:bottom w:val="single" w:color="E2E8F0" w:sz="4"/>
              <w:right w:val="single" w:color="E2E8F0" w:sz="4"/>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Aderência ao Algoritmo%</w:t>
            </w:r>
          </w:p>
        </w:tc>
        <w:tc>
          <w:tcPr>
            <w:tcW w:type="dxa" w:w="6838"/>
            <w:tcBorders>
              <w:top w:val="single" w:color="E2E8F0" w:sz="4"/>
              <w:left w:val="single" w:color="E2E8F0" w:sz="4"/>
              <w:bottom w:val="single" w:color="E2E8F0" w:sz="4"/>
              <w:right w:val="single" w:color="E2E8F0" w:sz="4"/>
            </w:tcBorders>
            <w:shd w:fill="1B3A6B" w:val="clear"/>
            <w:tcMar>
              <w:top w:type="dxa" w:w="80"/>
              <w:left w:type="dxa" w:w="120"/>
              <w:bottom w:type="dxa" w:w="80"/>
              <w:right w:type="dxa" w:w="120"/>
            </w:tcMar>
          </w:tcPr>
          <w:p>
            <w:pPr>
              <w:spacing w:after="0"/>
            </w:pPr>
            <w:r>
              <w:rPr>
                <w:rFonts w:ascii="Arial" w:cs="Arial" w:eastAsia="Arial" w:hAnsi="Arial"/>
                <w:color w:val="FFFFFF"/>
                <w:sz w:val="20"/>
                <w:szCs w:val="20"/>
              </w:rPr>
              <w:t xml:space="preserve">Unigold Realizados / Determine Reactivos × 100</w:t>
            </w:r>
          </w:p>
        </w:tc>
      </w:tr>
      <w:tr>
        <w:tc>
          <w:tcPr>
            <w:tcW w:type="dxa" w:w="2800"/>
            <w:tcBorders>
              <w:top w:val="single" w:color="E2E8F0" w:sz="4"/>
              <w:left w:val="single" w:color="E2E8F0" w:sz="4"/>
              <w:bottom w:val="single" w:color="E2E8F0" w:sz="4"/>
              <w:right w:val="single" w:color="E2E8F0" w:sz="4"/>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Taxa de Indeterminados%</w:t>
            </w:r>
          </w:p>
        </w:tc>
        <w:tc>
          <w:tcPr>
            <w:tcW w:type="dxa" w:w="6838"/>
            <w:tcBorders>
              <w:top w:val="single" w:color="E2E8F0" w:sz="4"/>
              <w:left w:val="single" w:color="E2E8F0" w:sz="4"/>
              <w:bottom w:val="single" w:color="E2E8F0" w:sz="4"/>
              <w:right w:val="single" w:color="E2E8F0" w:sz="4"/>
            </w:tcBorders>
            <w:shd w:fill="1B3A6B" w:val="clear"/>
            <w:tcMar>
              <w:top w:type="dxa" w:w="80"/>
              <w:left w:type="dxa" w:w="120"/>
              <w:bottom w:type="dxa" w:w="80"/>
              <w:right w:type="dxa" w:w="120"/>
            </w:tcMar>
          </w:tcPr>
          <w:p>
            <w:pPr>
              <w:spacing w:after="0"/>
            </w:pPr>
            <w:r>
              <w:rPr>
                <w:rFonts w:ascii="Arial" w:cs="Arial" w:eastAsia="Arial" w:hAnsi="Arial"/>
                <w:color w:val="FFFFFF"/>
                <w:sz w:val="20"/>
                <w:szCs w:val="20"/>
              </w:rPr>
              <w:t xml:space="preserve">Indeterminados / Total Testados × 100</w:t>
            </w:r>
          </w:p>
        </w:tc>
      </w:tr>
      <w:tr>
        <w:tc>
          <w:tcPr>
            <w:tcW w:type="dxa" w:w="2800"/>
            <w:tcBorders>
              <w:top w:val="single" w:color="E2E8F0" w:sz="4"/>
              <w:left w:val="single" w:color="E2E8F0" w:sz="4"/>
              <w:bottom w:val="single" w:color="E2E8F0" w:sz="4"/>
              <w:right w:val="single" w:color="E2E8F0" w:sz="4"/>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Variância de Stock Determine%</w:t>
            </w:r>
          </w:p>
        </w:tc>
        <w:tc>
          <w:tcPr>
            <w:tcW w:type="dxa" w:w="6838"/>
            <w:tcBorders>
              <w:top w:val="single" w:color="E2E8F0" w:sz="4"/>
              <w:left w:val="single" w:color="E2E8F0" w:sz="4"/>
              <w:bottom w:val="single" w:color="E2E8F0" w:sz="4"/>
              <w:right w:val="single" w:color="E2E8F0" w:sz="4"/>
            </w:tcBorders>
            <w:shd w:fill="1B3A6B" w:val="clear"/>
            <w:tcMar>
              <w:top w:type="dxa" w:w="80"/>
              <w:left w:type="dxa" w:w="120"/>
              <w:bottom w:type="dxa" w:w="80"/>
              <w:right w:type="dxa" w:w="120"/>
            </w:tcMar>
          </w:tcPr>
          <w:p>
            <w:pPr>
              <w:spacing w:after="0"/>
            </w:pPr>
            <w:r>
              <w:rPr>
                <w:rFonts w:ascii="Arial" w:cs="Arial" w:eastAsia="Arial" w:hAnsi="Arial"/>
                <w:color w:val="FFFFFF"/>
                <w:sz w:val="20"/>
                <w:szCs w:val="20"/>
              </w:rPr>
              <w:t xml:space="preserve">|Consumo − Total Testados| / Total Testados × 100</w:t>
            </w:r>
          </w:p>
        </w:tc>
      </w:tr>
      <w:tr>
        <w:tc>
          <w:tcPr>
            <w:tcW w:type="dxa" w:w="2800"/>
            <w:tcBorders>
              <w:top w:val="single" w:color="E2E8F0" w:sz="4"/>
              <w:left w:val="single" w:color="E2E8F0" w:sz="4"/>
              <w:bottom w:val="single" w:color="E2E8F0" w:sz="4"/>
              <w:right w:val="single" w:color="E2E8F0" w:sz="4"/>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Variância de Stock Unigold%</w:t>
            </w:r>
          </w:p>
        </w:tc>
        <w:tc>
          <w:tcPr>
            <w:tcW w:type="dxa" w:w="6838"/>
            <w:tcBorders>
              <w:top w:val="single" w:color="E2E8F0" w:sz="4"/>
              <w:left w:val="single" w:color="E2E8F0" w:sz="4"/>
              <w:bottom w:val="single" w:color="E2E8F0" w:sz="4"/>
              <w:right w:val="single" w:color="E2E8F0" w:sz="4"/>
            </w:tcBorders>
            <w:shd w:fill="1B3A6B" w:val="clear"/>
            <w:tcMar>
              <w:top w:type="dxa" w:w="80"/>
              <w:left w:type="dxa" w:w="120"/>
              <w:bottom w:type="dxa" w:w="80"/>
              <w:right w:type="dxa" w:w="120"/>
            </w:tcMar>
          </w:tcPr>
          <w:p>
            <w:pPr>
              <w:spacing w:after="0"/>
            </w:pPr>
            <w:r>
              <w:rPr>
                <w:rFonts w:ascii="Arial" w:cs="Arial" w:eastAsia="Arial" w:hAnsi="Arial"/>
                <w:color w:val="FFFFFF"/>
                <w:sz w:val="20"/>
                <w:szCs w:val="20"/>
              </w:rPr>
              <w:t xml:space="preserve">|Consumo − Det. Reactivos| / Det. Reactivos × 100</w:t>
            </w:r>
          </w:p>
        </w:tc>
      </w:tr>
      <w:tr>
        <w:tc>
          <w:tcPr>
            <w:tcW w:type="dxa" w:w="2800"/>
            <w:tcBorders>
              <w:top w:val="single" w:color="E2E8F0" w:sz="4"/>
              <w:left w:val="single" w:color="E2E8F0" w:sz="4"/>
              <w:bottom w:val="single" w:color="E2E8F0" w:sz="4"/>
              <w:right w:val="single" w:color="E2E8F0" w:sz="4"/>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Injustificados Determine%</w:t>
            </w:r>
          </w:p>
        </w:tc>
        <w:tc>
          <w:tcPr>
            <w:tcW w:type="dxa" w:w="6838"/>
            <w:tcBorders>
              <w:top w:val="single" w:color="E2E8F0" w:sz="4"/>
              <w:left w:val="single" w:color="E2E8F0" w:sz="4"/>
              <w:bottom w:val="single" w:color="E2E8F0" w:sz="4"/>
              <w:right w:val="single" w:color="E2E8F0" w:sz="4"/>
            </w:tcBorders>
            <w:shd w:fill="1B3A6B" w:val="clear"/>
            <w:tcMar>
              <w:top w:type="dxa" w:w="80"/>
              <w:left w:type="dxa" w:w="120"/>
              <w:bottom w:type="dxa" w:w="80"/>
              <w:right w:type="dxa" w:w="120"/>
            </w:tcMar>
          </w:tcPr>
          <w:p>
            <w:pPr>
              <w:spacing w:after="0"/>
            </w:pPr>
            <w:r>
              <w:rPr>
                <w:rFonts w:ascii="Arial" w:cs="Arial" w:eastAsia="Arial" w:hAnsi="Arial"/>
                <w:color w:val="FFFFFF"/>
                <w:sz w:val="20"/>
                <w:szCs w:val="20"/>
              </w:rPr>
              <w:t xml:space="preserve">Determine Injustificados / Determine Consumo × 100</w:t>
            </w:r>
          </w:p>
        </w:tc>
      </w:tr>
      <w:tr>
        <w:tc>
          <w:tcPr>
            <w:tcW w:type="dxa" w:w="2800"/>
            <w:tcBorders>
              <w:top w:val="single" w:color="E2E8F0" w:sz="4"/>
              <w:left w:val="single" w:color="E2E8F0" w:sz="4"/>
              <w:bottom w:val="single" w:color="E2E8F0" w:sz="4"/>
              <w:right w:val="single" w:color="E2E8F0" w:sz="4"/>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Injustificados Unigold%</w:t>
            </w:r>
          </w:p>
        </w:tc>
        <w:tc>
          <w:tcPr>
            <w:tcW w:type="dxa" w:w="6838"/>
            <w:tcBorders>
              <w:top w:val="single" w:color="E2E8F0" w:sz="4"/>
              <w:left w:val="single" w:color="E2E8F0" w:sz="4"/>
              <w:bottom w:val="single" w:color="E2E8F0" w:sz="4"/>
              <w:right w:val="single" w:color="E2E8F0" w:sz="4"/>
            </w:tcBorders>
            <w:shd w:fill="1B3A6B" w:val="clear"/>
            <w:tcMar>
              <w:top w:type="dxa" w:w="80"/>
              <w:left w:type="dxa" w:w="120"/>
              <w:bottom w:type="dxa" w:w="80"/>
              <w:right w:type="dxa" w:w="120"/>
            </w:tcMar>
          </w:tcPr>
          <w:p>
            <w:pPr>
              <w:spacing w:after="0"/>
            </w:pPr>
            <w:r>
              <w:rPr>
                <w:rFonts w:ascii="Arial" w:cs="Arial" w:eastAsia="Arial" w:hAnsi="Arial"/>
                <w:color w:val="FFFFFF"/>
                <w:sz w:val="20"/>
                <w:szCs w:val="20"/>
              </w:rPr>
              <w:t xml:space="preserve">Unigold Injustificados / Unigold Consumo × 100</w:t>
            </w:r>
          </w:p>
        </w:tc>
      </w:tr>
    </w:tbl>
    <w:p>
      <w:pPr>
        <w:spacing w:after="200"/>
      </w:pPr>
      <w:r>
        <w:rPr>
          <w:rFonts w:ascii="Arial" w:cs="Arial" w:eastAsia="Arial" w:hAnsi="Arial"/>
        </w:rPr>
        <w:t xml:space="preserve"/>
      </w:r>
    </w:p>
    <w:p>
      <w:r>
        <w:br w:type="page"/>
      </w:r>
    </w:p>
    <w:p>
      <w:pPr>
        <w:pStyle w:val="Heading1"/>
        <w:spacing w:after="160" w:before="360"/>
      </w:pPr>
      <w:r>
        <w:rPr>
          <w:rFonts w:ascii="Arial" w:cs="Arial" w:eastAsia="Arial" w:hAnsi="Arial"/>
          <w:b/>
          <w:bCs/>
          <w:color w:val="1B3A6B"/>
          <w:sz w:val="32"/>
          <w:szCs w:val="32"/>
        </w:rPr>
        <w:t xml:space="preserve">8. Sincronização com Google Sheets</w:t>
      </w:r>
    </w:p>
    <w:p>
      <w:pPr>
        <w:pStyle w:val="Heading2"/>
        <w:spacing w:after="120" w:before="280"/>
      </w:pPr>
      <w:r>
        <w:rPr>
          <w:rFonts w:ascii="Arial" w:cs="Arial" w:eastAsia="Arial" w:hAnsi="Arial"/>
          <w:b/>
          <w:bCs/>
          <w:color w:val="1B3A6B"/>
          <w:sz w:val="26"/>
          <w:szCs w:val="26"/>
        </w:rPr>
        <w:t xml:space="preserve">8.1 Configuração Inicial</w:t>
      </w:r>
    </w:p>
    <w:p>
      <w:pPr>
        <w:spacing w:after="140"/>
      </w:pPr>
      <w:r>
        <w:rPr>
          <w:rFonts w:ascii="Arial" w:cs="Arial" w:eastAsia="Arial" w:hAnsi="Arial"/>
          <w:sz w:val="22"/>
          <w:szCs w:val="22"/>
        </w:rPr>
        <w:t xml:space="preserve">A sincronização requer um Google Apps Script deployado como Web App. Passos:</w:t>
      </w:r>
    </w:p>
    <w:p>
      <w:pPr>
        <w:pStyle w:val="ListParagraph"/>
        <w:numPr>
          <w:ilvl w:val="0"/>
          <w:numId w:val="3"/>
        </w:numPr>
        <w:spacing w:after="80"/>
      </w:pPr>
      <w:r>
        <w:rPr>
          <w:rFonts w:ascii="Arial" w:cs="Arial" w:eastAsia="Arial" w:hAnsi="Arial"/>
          <w:sz w:val="22"/>
          <w:szCs w:val="22"/>
        </w:rPr>
        <w:t xml:space="preserve">Abrir Google Drive → Novo → Google Apps Script</w:t>
      </w:r>
    </w:p>
    <w:p>
      <w:pPr>
        <w:pStyle w:val="ListParagraph"/>
        <w:numPr>
          <w:ilvl w:val="0"/>
          <w:numId w:val="3"/>
        </w:numPr>
        <w:spacing w:after="80"/>
      </w:pPr>
      <w:r>
        <w:rPr>
          <w:rFonts w:ascii="Arial" w:cs="Arial" w:eastAsia="Arial" w:hAnsi="Arial"/>
          <w:sz w:val="22"/>
          <w:szCs w:val="22"/>
        </w:rPr>
        <w:t xml:space="preserve">Copiar o conteúdo do ficheiro scripts/Code.gs para o editor</w:t>
      </w:r>
    </w:p>
    <w:p>
      <w:pPr>
        <w:pStyle w:val="ListParagraph"/>
        <w:numPr>
          <w:ilvl w:val="0"/>
          <w:numId w:val="3"/>
        </w:numPr>
        <w:spacing w:after="80"/>
      </w:pPr>
      <w:r>
        <w:rPr>
          <w:rFonts w:ascii="Arial" w:cs="Arial" w:eastAsia="Arial" w:hAnsi="Arial"/>
          <w:sz w:val="22"/>
          <w:szCs w:val="22"/>
        </w:rPr>
        <w:t xml:space="preserve">Clicar em "Implementar" → "Nova implementação" → Tipo: "App da Web"</w:t>
      </w:r>
    </w:p>
    <w:p>
      <w:pPr>
        <w:pStyle w:val="ListParagraph"/>
        <w:numPr>
          <w:ilvl w:val="0"/>
          <w:numId w:val="3"/>
        </w:numPr>
        <w:spacing w:after="80"/>
      </w:pPr>
      <w:r>
        <w:rPr>
          <w:rFonts w:ascii="Arial" w:cs="Arial" w:eastAsia="Arial" w:hAnsi="Arial"/>
          <w:sz w:val="22"/>
          <w:szCs w:val="22"/>
        </w:rPr>
        <w:t xml:space="preserve">Configurar: "Executar como: Eu" e "Quem tem acesso: Qualquer pessoa"</w:t>
      </w:r>
    </w:p>
    <w:p>
      <w:pPr>
        <w:pStyle w:val="ListParagraph"/>
        <w:numPr>
          <w:ilvl w:val="0"/>
          <w:numId w:val="3"/>
        </w:numPr>
        <w:spacing w:after="80"/>
      </w:pPr>
      <w:r>
        <w:rPr>
          <w:rFonts w:ascii="Arial" w:cs="Arial" w:eastAsia="Arial" w:hAnsi="Arial"/>
          <w:sz w:val="22"/>
          <w:szCs w:val="22"/>
        </w:rPr>
        <w:t xml:space="preserve">Copiar o URL da Web App gerado</w:t>
      </w:r>
    </w:p>
    <w:p>
      <w:pPr>
        <w:pStyle w:val="ListParagraph"/>
        <w:numPr>
          <w:ilvl w:val="0"/>
          <w:numId w:val="3"/>
        </w:numPr>
        <w:spacing w:after="80"/>
      </w:pPr>
      <w:r>
        <w:rPr>
          <w:rFonts w:ascii="Arial" w:cs="Arial" w:eastAsia="Arial" w:hAnsi="Arial"/>
          <w:sz w:val="22"/>
          <w:szCs w:val="22"/>
        </w:rPr>
        <w:t xml:space="preserve">Na aplicação RISE ICT Monitor, clicar no estado de sync (barra superior) → colar o URL → Guardar → Testar Ligação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EF3C7" w:val="clear"/>
            <w:tcMar>
              <w:top w:type="dxa" w:w="120"/>
              <w:left w:type="dxa" w:w="200"/>
              <w:bottom w:type="dxa" w:w="120"/>
              <w:right w:type="dxa" w:w="200"/>
            </w:tcMar>
          </w:tcPr>
          <w:p>
            <w:pPr>
              <w:spacing w:after="0"/>
            </w:pPr>
            <w:r>
              <w:rPr>
                <w:rFonts w:ascii="Arial" w:cs="Arial" w:eastAsia="Arial" w:hAnsi="Arial"/>
                <w:b/>
                <w:bCs/>
                <w:color w:val="92400E"/>
                <w:sz w:val="22"/>
                <w:szCs w:val="22"/>
              </w:rPr>
              <w:t xml:space="preserve">⚠️  IMPORTANTE: O Apps Script deve ser deployado com "Quem tem acesso: Qualquer pessoa" para que o endpoint de PULL (GET) funcione sem autenticação. Sem esta configuração, os supervisores provinciais/nacionais não conseguirão descarregar os dados.</w:t>
            </w:r>
          </w:p>
        </w:tc>
      </w:tr>
    </w:tbl>
    <w:p>
      <w:pPr>
        <w:spacing w:after="160"/>
      </w:pPr>
      <w:r>
        <w:rPr>
          <w:rFonts w:ascii="Arial" w:cs="Arial" w:eastAsia="Arial" w:hAnsi="Arial"/>
        </w:rPr>
        <w:t xml:space="preserve"/>
      </w:r>
    </w:p>
    <w:p>
      <w:pPr>
        <w:pStyle w:val="Heading2"/>
        <w:spacing w:after="120" w:before="280"/>
      </w:pPr>
      <w:r>
        <w:rPr>
          <w:rFonts w:ascii="Arial" w:cs="Arial" w:eastAsia="Arial" w:hAnsi="Arial"/>
          <w:b/>
          <w:bCs/>
          <w:color w:val="1B3A6B"/>
          <w:sz w:val="26"/>
          <w:szCs w:val="26"/>
        </w:rPr>
        <w:t xml:space="preserve">8.2 Envio de Dados (Supervisores Distritais — PUSH)</w:t>
      </w:r>
    </w:p>
    <w:p>
      <w:pPr>
        <w:spacing w:after="140"/>
      </w:pPr>
      <w:r>
        <w:rPr>
          <w:rFonts w:ascii="Arial" w:cs="Arial" w:eastAsia="Arial" w:hAnsi="Arial"/>
          <w:sz w:val="22"/>
          <w:szCs w:val="22"/>
        </w:rPr>
        <w:t xml:space="preserve">O envio é automático (a cada 5 minutos quando há internet e registos pendentes) ou manual (botão "🔄 Sincronizar Agora" no drawer de sync). O processo:</w:t>
      </w:r>
    </w:p>
    <w:p>
      <w:pPr>
        <w:pStyle w:val="ListParagraph"/>
        <w:numPr>
          <w:ilvl w:val="0"/>
          <w:numId w:val="2"/>
        </w:numPr>
        <w:spacing w:after="80"/>
      </w:pPr>
      <w:r>
        <w:rPr>
          <w:rFonts w:ascii="Arial" w:cs="Arial" w:eastAsia="Arial" w:hAnsi="Arial"/>
          <w:sz w:val="22"/>
          <w:szCs w:val="22"/>
        </w:rPr>
        <w:t xml:space="preserve">A aplicação identifica os registos na fila de sincronização (sync_queue)</w:t>
      </w:r>
    </w:p>
    <w:p>
      <w:pPr>
        <w:pStyle w:val="ListParagraph"/>
        <w:numPr>
          <w:ilvl w:val="0"/>
          <w:numId w:val="2"/>
        </w:numPr>
        <w:spacing w:after="80"/>
      </w:pPr>
      <w:r>
        <w:rPr>
          <w:rFonts w:ascii="Arial" w:cs="Arial" w:eastAsia="Arial" w:hAnsi="Arial"/>
          <w:sz w:val="22"/>
          <w:szCs w:val="22"/>
        </w:rPr>
        <w:t xml:space="preserve">Envia em três batches via POST no-cors: conselheiros → resultados → stock</w:t>
      </w:r>
    </w:p>
    <w:p>
      <w:pPr>
        <w:pStyle w:val="ListParagraph"/>
        <w:numPr>
          <w:ilvl w:val="0"/>
          <w:numId w:val="2"/>
        </w:numPr>
        <w:spacing w:after="80"/>
      </w:pPr>
      <w:r>
        <w:rPr>
          <w:rFonts w:ascii="Arial" w:cs="Arial" w:eastAsia="Arial" w:hAnsi="Arial"/>
          <w:sz w:val="22"/>
          <w:szCs w:val="22"/>
        </w:rPr>
        <w:t xml:space="preserve">O Apps Script recebe os dados e faz upsert no Google Sheets (actualiza se já existe, cria se é novo)</w:t>
      </w:r>
    </w:p>
    <w:p>
      <w:pPr>
        <w:pStyle w:val="ListParagraph"/>
        <w:numPr>
          <w:ilvl w:val="0"/>
          <w:numId w:val="2"/>
        </w:numPr>
        <w:spacing w:after="80"/>
      </w:pPr>
      <w:r>
        <w:rPr>
          <w:rFonts w:ascii="Arial" w:cs="Arial" w:eastAsia="Arial" w:hAnsi="Arial"/>
          <w:sz w:val="22"/>
          <w:szCs w:val="22"/>
        </w:rPr>
        <w:t xml:space="preserve">Após sucesso, a fila é limpa e o timestamp de última sync é guardado</w:t>
      </w:r>
    </w:p>
    <w:p>
      <w:pPr>
        <w:pStyle w:val="Heading2"/>
        <w:spacing w:after="120" w:before="280"/>
      </w:pPr>
      <w:r>
        <w:rPr>
          <w:rFonts w:ascii="Arial" w:cs="Arial" w:eastAsia="Arial" w:hAnsi="Arial"/>
          <w:b/>
          <w:bCs/>
          <w:color w:val="1B3A6B"/>
          <w:sz w:val="26"/>
          <w:szCs w:val="26"/>
        </w:rPr>
        <w:t xml:space="preserve">8.3 Recepção de Dados (Provincial/Nacional — PULL)</w:t>
      </w:r>
    </w:p>
    <w:p>
      <w:pPr>
        <w:spacing w:after="140"/>
      </w:pPr>
      <w:r>
        <w:rPr>
          <w:rFonts w:ascii="Arial" w:cs="Arial" w:eastAsia="Arial" w:hAnsi="Arial"/>
          <w:sz w:val="22"/>
          <w:szCs w:val="22"/>
        </w:rPr>
        <w:t xml:space="preserve">O download é sempre manual, iniciado pelo botão "📥 Actualizar" no Dashboard ou no drawer de sync. O processo:</w:t>
      </w:r>
    </w:p>
    <w:p>
      <w:pPr>
        <w:pStyle w:val="ListParagraph"/>
        <w:numPr>
          <w:ilvl w:val="0"/>
          <w:numId w:val="2"/>
        </w:numPr>
        <w:spacing w:after="80"/>
      </w:pPr>
      <w:r>
        <w:rPr>
          <w:rFonts w:ascii="Arial" w:cs="Arial" w:eastAsia="Arial" w:hAnsi="Arial"/>
          <w:sz w:val="22"/>
          <w:szCs w:val="22"/>
        </w:rPr>
        <w:t xml:space="preserve">A aplicação faz um GET ao endpoint ?action=pull do Apps Script</w:t>
      </w:r>
    </w:p>
    <w:p>
      <w:pPr>
        <w:pStyle w:val="ListParagraph"/>
        <w:numPr>
          <w:ilvl w:val="0"/>
          <w:numId w:val="2"/>
        </w:numPr>
        <w:spacing w:after="80"/>
      </w:pPr>
      <w:r>
        <w:rPr>
          <w:rFonts w:ascii="Arial" w:cs="Arial" w:eastAsia="Arial" w:hAnsi="Arial"/>
          <w:sz w:val="22"/>
          <w:szCs w:val="22"/>
        </w:rPr>
        <w:t xml:space="preserve">Para o perfil Provincial: pode filtrar por província (&amp;provincia=Manica)</w:t>
      </w:r>
    </w:p>
    <w:p>
      <w:pPr>
        <w:pStyle w:val="ListParagraph"/>
        <w:numPr>
          <w:ilvl w:val="0"/>
          <w:numId w:val="2"/>
        </w:numPr>
        <w:spacing w:after="80"/>
      </w:pPr>
      <w:r>
        <w:rPr>
          <w:rFonts w:ascii="Arial" w:cs="Arial" w:eastAsia="Arial" w:hAnsi="Arial"/>
          <w:sz w:val="22"/>
          <w:szCs w:val="22"/>
        </w:rPr>
        <w:t xml:space="preserve">Para o perfil Nacional: recebe dados de todas as províncias</w:t>
      </w:r>
    </w:p>
    <w:p>
      <w:pPr>
        <w:pStyle w:val="ListParagraph"/>
        <w:numPr>
          <w:ilvl w:val="0"/>
          <w:numId w:val="2"/>
        </w:numPr>
        <w:spacing w:after="80"/>
      </w:pPr>
      <w:r>
        <w:rPr>
          <w:rFonts w:ascii="Arial" w:cs="Arial" w:eastAsia="Arial" w:hAnsi="Arial"/>
          <w:sz w:val="22"/>
          <w:szCs w:val="22"/>
        </w:rPr>
        <w:t xml:space="preserve">O Apps Script lê todas as linhas do Google Sheets e devolve JSON com conselheiros, resultados e stock</w:t>
      </w:r>
    </w:p>
    <w:p>
      <w:pPr>
        <w:pStyle w:val="ListParagraph"/>
        <w:numPr>
          <w:ilvl w:val="0"/>
          <w:numId w:val="2"/>
        </w:numPr>
        <w:spacing w:after="80"/>
      </w:pPr>
      <w:r>
        <w:rPr>
          <w:rFonts w:ascii="Arial" w:cs="Arial" w:eastAsia="Arial" w:hAnsi="Arial"/>
          <w:sz w:val="22"/>
          <w:szCs w:val="22"/>
        </w:rPr>
        <w:t xml:space="preserve">A aplicação faz merge inteligente: dados do servidor sobrepõem-se aos locais; registos locais que ainda não chegaram ao servidor (na fila) são preservados</w:t>
      </w:r>
    </w:p>
    <w:p>
      <w:pPr>
        <w:pStyle w:val="ListParagraph"/>
        <w:numPr>
          <w:ilvl w:val="0"/>
          <w:numId w:val="2"/>
        </w:numPr>
        <w:spacing w:after="80"/>
      </w:pPr>
      <w:r>
        <w:rPr>
          <w:rFonts w:ascii="Arial" w:cs="Arial" w:eastAsia="Arial" w:hAnsi="Arial"/>
          <w:sz w:val="22"/>
          <w:szCs w:val="22"/>
        </w:rPr>
        <w:t xml:space="preserve">O ecrã actual é re-renderizado automaticamente com os dados actualizados</w:t>
      </w:r>
    </w:p>
    <w:p>
      <w:pPr>
        <w:pStyle w:val="Heading2"/>
        <w:spacing w:after="120" w:before="280"/>
      </w:pPr>
      <w:r>
        <w:rPr>
          <w:rFonts w:ascii="Arial" w:cs="Arial" w:eastAsia="Arial" w:hAnsi="Arial"/>
          <w:b/>
          <w:bCs/>
          <w:color w:val="1B3A6B"/>
          <w:sz w:val="26"/>
          <w:szCs w:val="26"/>
        </w:rPr>
        <w:t xml:space="preserve">8.4 Estrutura do Google Sheets</w:t>
      </w:r>
    </w:p>
    <w:p>
      <w:pPr>
        <w:spacing w:after="140"/>
      </w:pPr>
      <w:r>
        <w:rPr>
          <w:rFonts w:ascii="Arial" w:cs="Arial" w:eastAsia="Arial" w:hAnsi="Arial"/>
          <w:sz w:val="22"/>
          <w:szCs w:val="22"/>
        </w:rPr>
        <w:t xml:space="preserve">O Apps Script cria automaticamente as seguintes folhas no primeiro uso: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E2E8F0" w:sz="4"/>
              <w:left w:val="single" w:color="E2E8F0" w:sz="4"/>
              <w:bottom w:val="single" w:color="E2E8F0" w:sz="4"/>
              <w:right w:val="single" w:color="E2E8F0" w:sz="4"/>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Folha</w:t>
            </w:r>
          </w:p>
        </w:tc>
        <w:tc>
          <w:tcPr>
            <w:tcW w:type="dxa" w:w="7438"/>
            <w:tcBorders>
              <w:top w:val="single" w:color="E2E8F0" w:sz="4"/>
              <w:left w:val="single" w:color="E2E8F0" w:sz="4"/>
              <w:bottom w:val="single" w:color="E2E8F0" w:sz="4"/>
              <w:right w:val="single" w:color="E2E8F0" w:sz="4"/>
            </w:tcBorders>
            <w:shd w:fill="1B3A6B" w:val="clear"/>
            <w:tcMar>
              <w:top w:type="dxa" w:w="80"/>
              <w:left w:type="dxa" w:w="120"/>
              <w:bottom w:type="dxa" w:w="80"/>
              <w:right w:type="dxa" w:w="120"/>
            </w:tcMar>
          </w:tcPr>
          <w:p>
            <w:pPr>
              <w:spacing w:after="0"/>
            </w:pPr>
            <w:r>
              <w:rPr>
                <w:rFonts w:ascii="Arial" w:cs="Arial" w:eastAsia="Arial" w:hAnsi="Arial"/>
                <w:color w:val="FFFFFF"/>
                <w:sz w:val="20"/>
                <w:szCs w:val="20"/>
              </w:rPr>
              <w:t xml:space="preserve">Campos Principais</w:t>
            </w:r>
          </w:p>
        </w:tc>
      </w:tr>
      <w:tr>
        <w:tc>
          <w:tcPr>
            <w:tcW w:type="dxa" w:w="22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Conselheiros</w:t>
            </w:r>
          </w:p>
        </w:tc>
        <w:tc>
          <w:tcPr>
            <w:tcW w:type="dxa" w:w="74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id, nome, distrito, unidade_sanitaria, nivel_formacao, telefone, responsavel_clinico, ativo, provincia, created_at, updated_at</w:t>
            </w:r>
          </w:p>
        </w:tc>
      </w:tr>
      <w:tr>
        <w:tc>
          <w:tcPr>
            <w:tcW w:type="dxa" w:w="22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Resultados</w:t>
            </w:r>
          </w:p>
        </w:tc>
        <w:tc>
          <w:tcPr>
            <w:tcW w:type="dxa" w:w="74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id, conselheiro_id, periodo_ref, periodo_tipo, total_testados, determine_*, unigold_*, positivos_confirmados, negativos_finais, indeterminados, determine_injustificados, unigold_injustificados, servico_depositario, assinatura, created_at, updated_at, synced_at</w:t>
            </w:r>
          </w:p>
        </w:tc>
      </w:tr>
      <w:tr>
        <w:tc>
          <w:tcPr>
            <w:tcW w:type="dxa" w:w="22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Stock</w:t>
            </w:r>
          </w:p>
        </w:tc>
        <w:tc>
          <w:tcPr>
            <w:tcW w:type="dxa" w:w="74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id, conselheiro_id, periodo_ref, periodo_tipo, determine_stock_abertura, determine_recebido, determine_consumido_reportado, determine_expirado_perdido, determine_fecho, unigold_*, created_at, updated_at, synced_at</w:t>
            </w:r>
          </w:p>
        </w:tc>
      </w:tr>
      <w:tr>
        <w:tc>
          <w:tcPr>
            <w:tcW w:type="dxa" w:w="22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SyncLog</w:t>
            </w:r>
          </w:p>
        </w:tc>
        <w:tc>
          <w:tcPr>
            <w:tcW w:type="dxa" w:w="74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ts, action, count, provincia, role — registo de auditoria de todas as operações</w:t>
            </w:r>
          </w:p>
        </w:tc>
      </w:tr>
      <w:tr>
        <w:tc>
          <w:tcPr>
            <w:tcW w:type="dxa" w:w="22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ErrorLog</w:t>
            </w:r>
          </w:p>
        </w:tc>
        <w:tc>
          <w:tcPr>
            <w:tcW w:type="dxa" w:w="74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ts, message, stack — erros do Apps Script (criada automaticamente)</w:t>
            </w:r>
          </w:p>
        </w:tc>
      </w:tr>
    </w:tbl>
    <w:p>
      <w:pPr>
        <w:spacing w:after="200"/>
      </w:pPr>
      <w:r>
        <w:rPr>
          <w:rFonts w:ascii="Arial" w:cs="Arial" w:eastAsia="Arial" w:hAnsi="Arial"/>
        </w:rPr>
        <w:t xml:space="preserve"/>
      </w:r>
    </w:p>
    <w:p>
      <w:r>
        <w:br w:type="page"/>
      </w:r>
    </w:p>
    <w:p>
      <w:pPr>
        <w:pStyle w:val="Heading1"/>
        <w:spacing w:after="160" w:before="360"/>
      </w:pPr>
      <w:r>
        <w:rPr>
          <w:rFonts w:ascii="Arial" w:cs="Arial" w:eastAsia="Arial" w:hAnsi="Arial"/>
          <w:b/>
          <w:bCs/>
          <w:color w:val="1B3A6B"/>
          <w:sz w:val="32"/>
          <w:szCs w:val="32"/>
        </w:rPr>
        <w:t xml:space="preserve">9. Instalação e Configuração</w:t>
      </w:r>
    </w:p>
    <w:p>
      <w:pPr>
        <w:pStyle w:val="Heading2"/>
        <w:spacing w:after="120" w:before="280"/>
      </w:pPr>
      <w:r>
        <w:rPr>
          <w:rFonts w:ascii="Arial" w:cs="Arial" w:eastAsia="Arial" w:hAnsi="Arial"/>
          <w:b/>
          <w:bCs/>
          <w:color w:val="1B3A6B"/>
          <w:sz w:val="26"/>
          <w:szCs w:val="26"/>
        </w:rPr>
        <w:t xml:space="preserve">9.1 Requisitos</w:t>
      </w:r>
    </w:p>
    <w:p>
      <w:pPr>
        <w:pStyle w:val="ListParagraph"/>
        <w:numPr>
          <w:ilvl w:val="0"/>
          <w:numId w:val="2"/>
        </w:numPr>
        <w:spacing w:after="80"/>
      </w:pPr>
      <w:r>
        <w:rPr>
          <w:rFonts w:ascii="Arial" w:cs="Arial" w:eastAsia="Arial" w:hAnsi="Arial"/>
          <w:sz w:val="22"/>
          <w:szCs w:val="22"/>
        </w:rPr>
        <w:t xml:space="preserve">Browser moderno: Chrome 90+, Firefox 88+, Edge 90+ (recomendado Chrome)</w:t>
      </w:r>
    </w:p>
    <w:p>
      <w:pPr>
        <w:pStyle w:val="ListParagraph"/>
        <w:numPr>
          <w:ilvl w:val="0"/>
          <w:numId w:val="2"/>
        </w:numPr>
        <w:spacing w:after="80"/>
      </w:pPr>
      <w:r>
        <w:rPr>
          <w:rFonts w:ascii="Arial" w:cs="Arial" w:eastAsia="Arial" w:hAnsi="Arial"/>
          <w:sz w:val="22"/>
          <w:szCs w:val="22"/>
        </w:rPr>
        <w:t xml:space="preserve">Internet para sincronização (a aplicação funciona offline para entrada de dados)</w:t>
      </w:r>
    </w:p>
    <w:p>
      <w:pPr>
        <w:pStyle w:val="ListParagraph"/>
        <w:numPr>
          <w:ilvl w:val="0"/>
          <w:numId w:val="2"/>
        </w:numPr>
        <w:spacing w:after="80"/>
      </w:pPr>
      <w:r>
        <w:rPr>
          <w:rFonts w:ascii="Arial" w:cs="Arial" w:eastAsia="Arial" w:hAnsi="Arial"/>
          <w:sz w:val="22"/>
          <w:szCs w:val="22"/>
        </w:rPr>
        <w:t xml:space="preserve">Conta Google para o Google Apps Script (apenas o administrador do sistema)</w:t>
      </w:r>
    </w:p>
    <w:p>
      <w:pPr>
        <w:pStyle w:val="ListParagraph"/>
        <w:numPr>
          <w:ilvl w:val="0"/>
          <w:numId w:val="2"/>
        </w:numPr>
        <w:spacing w:after="80"/>
      </w:pPr>
      <w:r>
        <w:rPr>
          <w:rFonts w:ascii="Arial" w:cs="Arial" w:eastAsia="Arial" w:hAnsi="Arial"/>
          <w:sz w:val="22"/>
          <w:szCs w:val="22"/>
        </w:rPr>
        <w:t xml:space="preserve">Não requer instalação de software, servidor web, nem base de dados</w:t>
      </w:r>
    </w:p>
    <w:p>
      <w:pPr>
        <w:pStyle w:val="Heading2"/>
        <w:spacing w:after="120" w:before="280"/>
      </w:pPr>
      <w:r>
        <w:rPr>
          <w:rFonts w:ascii="Arial" w:cs="Arial" w:eastAsia="Arial" w:hAnsi="Arial"/>
          <w:b/>
          <w:bCs/>
          <w:color w:val="1B3A6B"/>
          <w:sz w:val="26"/>
          <w:szCs w:val="26"/>
        </w:rPr>
        <w:t xml:space="preserve">9.2 Estrutura de Ficheiros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E2E8F0" w:sz="4"/>
              <w:left w:val="single" w:color="E2E8F0" w:sz="4"/>
              <w:bottom w:val="single" w:color="E2E8F0" w:sz="4"/>
              <w:right w:val="single" w:color="E2E8F0" w:sz="4"/>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Ficheiro</w:t>
            </w:r>
          </w:p>
        </w:tc>
        <w:tc>
          <w:tcPr>
            <w:tcW w:type="dxa" w:w="6838"/>
            <w:tcBorders>
              <w:top w:val="single" w:color="E2E8F0" w:sz="4"/>
              <w:left w:val="single" w:color="E2E8F0" w:sz="4"/>
              <w:bottom w:val="single" w:color="E2E8F0" w:sz="4"/>
              <w:right w:val="single" w:color="E2E8F0" w:sz="4"/>
            </w:tcBorders>
            <w:shd w:fill="1B3A6B" w:val="clear"/>
            <w:tcMar>
              <w:top w:type="dxa" w:w="80"/>
              <w:left w:type="dxa" w:w="120"/>
              <w:bottom w:type="dxa" w:w="80"/>
              <w:right w:type="dxa" w:w="120"/>
            </w:tcMar>
          </w:tcPr>
          <w:p>
            <w:pPr>
              <w:spacing w:after="0"/>
            </w:pPr>
            <w:r>
              <w:rPr>
                <w:rFonts w:ascii="Arial" w:cs="Arial" w:eastAsia="Arial" w:hAnsi="Arial"/>
                <w:color w:val="FFFFFF"/>
                <w:sz w:val="20"/>
                <w:szCs w:val="20"/>
              </w:rPr>
              <w:t xml:space="preserve">Função</w:t>
            </w:r>
          </w:p>
        </w:tc>
      </w:tr>
      <w:tr>
        <w:tc>
          <w:tcPr>
            <w:tcW w:type="dxa" w:w="28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index.html</w:t>
            </w:r>
          </w:p>
        </w:tc>
        <w:tc>
          <w:tcPr>
            <w:tcW w:type="dxa" w:w="68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Shell HTML com todo o CSS e estrutura de interface</w:t>
            </w:r>
          </w:p>
        </w:tc>
      </w:tr>
      <w:tr>
        <w:tc>
          <w:tcPr>
            <w:tcW w:type="dxa" w:w="28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js/config.js</w:t>
            </w:r>
          </w:p>
        </w:tc>
        <w:tc>
          <w:tcPr>
            <w:tcW w:type="dxa" w:w="68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Constantes PEPFAR, distritos por província, versão da app</w:t>
            </w:r>
          </w:p>
        </w:tc>
      </w:tr>
      <w:tr>
        <w:tc>
          <w:tcPr>
            <w:tcW w:type="dxa" w:w="28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js/store.js</w:t>
            </w:r>
          </w:p>
        </w:tc>
        <w:tc>
          <w:tcPr>
            <w:tcW w:type="dxa" w:w="68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Wrapper do localStorage com namespace rise_ict_</w:t>
            </w:r>
          </w:p>
        </w:tc>
      </w:tr>
      <w:tr>
        <w:tc>
          <w:tcPr>
            <w:tcW w:type="dxa" w:w="28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js/utils.js</w:t>
            </w:r>
          </w:p>
        </w:tc>
        <w:tc>
          <w:tcPr>
            <w:tcW w:type="dxa" w:w="68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Funções utilitárias (UUID, datas, períodos, download)</w:t>
            </w:r>
          </w:p>
        </w:tc>
      </w:tr>
      <w:tr>
        <w:tc>
          <w:tcPr>
            <w:tcW w:type="dxa" w:w="28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js/reliability.js</w:t>
            </w:r>
          </w:p>
        </w:tc>
        <w:tc>
          <w:tcPr>
            <w:tcW w:type="dxa" w:w="68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Motor de cálculo de fiabilidade (C01–C09, S01–S08, score)</w:t>
            </w:r>
          </w:p>
        </w:tc>
      </w:tr>
      <w:tr>
        <w:tc>
          <w:tcPr>
            <w:tcW w:type="dxa" w:w="28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js/sync.js</w:t>
            </w:r>
          </w:p>
        </w:tc>
        <w:tc>
          <w:tcPr>
            <w:tcW w:type="dxa" w:w="68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Sincronização PUSH/PULL com Google Sheets, drawer de sync</w:t>
            </w:r>
          </w:p>
        </w:tc>
      </w:tr>
      <w:tr>
        <w:tc>
          <w:tcPr>
            <w:tcW w:type="dxa" w:w="28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js/app.js</w:t>
            </w:r>
          </w:p>
        </w:tc>
        <w:tc>
          <w:tcPr>
            <w:tcW w:type="dxa" w:w="68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Estado global, navegação, UI shell (toasts, modais, topbar)</w:t>
            </w:r>
          </w:p>
        </w:tc>
      </w:tr>
      <w:tr>
        <w:tc>
          <w:tcPr>
            <w:tcW w:type="dxa" w:w="28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js/demo.js</w:t>
            </w:r>
          </w:p>
        </w:tc>
        <w:tc>
          <w:tcPr>
            <w:tcW w:type="dxa" w:w="68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Dados de demonstração com 8 conselheiros e 8 semanas de dados</w:t>
            </w:r>
          </w:p>
        </w:tc>
      </w:tr>
      <w:tr>
        <w:tc>
          <w:tcPr>
            <w:tcW w:type="dxa" w:w="28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js/ui/dashboard.js</w:t>
            </w:r>
          </w:p>
        </w:tc>
        <w:tc>
          <w:tcPr>
            <w:tcW w:type="dxa" w:w="68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Dashboard distrital e dispatch para provincial/nacional</w:t>
            </w:r>
          </w:p>
        </w:tc>
      </w:tr>
      <w:tr>
        <w:tc>
          <w:tcPr>
            <w:tcW w:type="dxa" w:w="28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js/ui/conselheiros.js</w:t>
            </w:r>
          </w:p>
        </w:tc>
        <w:tc>
          <w:tcPr>
            <w:tcW w:type="dxa" w:w="68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Gestão de conselheiros (CRUD)</w:t>
            </w:r>
          </w:p>
        </w:tc>
      </w:tr>
      <w:tr>
        <w:tc>
          <w:tcPr>
            <w:tcW w:type="dxa" w:w="28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js/ui/registar.js</w:t>
            </w:r>
          </w:p>
        </w:tc>
        <w:tc>
          <w:tcPr>
            <w:tcW w:type="dxa" w:w="68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Formulário do Mapa de Consumo com validação em tempo real</w:t>
            </w:r>
          </w:p>
        </w:tc>
      </w:tr>
      <w:tr>
        <w:tc>
          <w:tcPr>
            <w:tcW w:type="dxa" w:w="28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js/ui/ficha.js</w:t>
            </w:r>
          </w:p>
        </w:tc>
        <w:tc>
          <w:tcPr>
            <w:tcW w:type="dxa" w:w="68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Ficha de fiabilidade individual com gráfico de tendências</w:t>
            </w:r>
          </w:p>
        </w:tc>
      </w:tr>
      <w:tr>
        <w:tc>
          <w:tcPr>
            <w:tcW w:type="dxa" w:w="28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js/ui/historico.js</w:t>
            </w:r>
          </w:p>
        </w:tc>
        <w:tc>
          <w:tcPr>
            <w:tcW w:type="dxa" w:w="68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Histórico de registos com filtros e edição</w:t>
            </w:r>
          </w:p>
        </w:tc>
      </w:tr>
      <w:tr>
        <w:tc>
          <w:tcPr>
            <w:tcW w:type="dxa" w:w="28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js/ui/exportar.js</w:t>
            </w:r>
          </w:p>
        </w:tc>
        <w:tc>
          <w:tcPr>
            <w:tcW w:type="dxa" w:w="68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Exportação CSV, relatórios impressos, importação</w:t>
            </w:r>
          </w:p>
        </w:tc>
      </w:tr>
      <w:tr>
        <w:tc>
          <w:tcPr>
            <w:tcW w:type="dxa" w:w="28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js/ui/provincial.js</w:t>
            </w:r>
          </w:p>
        </w:tc>
        <w:tc>
          <w:tcPr>
            <w:tcW w:type="dxa" w:w="68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Dashboard, Scorecard e Relatório para perfis Provincial/Nacional</w:t>
            </w:r>
          </w:p>
        </w:tc>
      </w:tr>
      <w:tr>
        <w:tc>
          <w:tcPr>
            <w:tcW w:type="dxa" w:w="28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scripts/Code.gs</w:t>
            </w:r>
          </w:p>
        </w:tc>
        <w:tc>
          <w:tcPr>
            <w:tcW w:type="dxa" w:w="68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Google Apps Script (backend — deploy no Google Apps Script)</w:t>
            </w:r>
          </w:p>
        </w:tc>
      </w:tr>
    </w:tbl>
    <w:p>
      <w:pPr>
        <w:pStyle w:val="Heading2"/>
        <w:spacing w:after="120" w:before="280"/>
      </w:pPr>
      <w:r>
        <w:rPr>
          <w:rFonts w:ascii="Arial" w:cs="Arial" w:eastAsia="Arial" w:hAnsi="Arial"/>
          <w:b/>
          <w:bCs/>
          <w:color w:val="1B3A6B"/>
          <w:sz w:val="26"/>
          <w:szCs w:val="26"/>
        </w:rPr>
        <w:t xml:space="preserve">9.3 Dados de Demonstração</w:t>
      </w:r>
    </w:p>
    <w:p>
      <w:pPr>
        <w:spacing w:after="140"/>
      </w:pPr>
      <w:r>
        <w:rPr>
          <w:rFonts w:ascii="Arial" w:cs="Arial" w:eastAsia="Arial" w:hAnsi="Arial"/>
          <w:sz w:val="22"/>
          <w:szCs w:val="22"/>
        </w:rPr>
        <w:t xml:space="preserve">A aplicação inclui um conjunto de dados de demonstração que pode ser carregado a partir do Dashboard (botão "Carregar Dados de Demonstração"). Inclui:</w:t>
      </w:r>
    </w:p>
    <w:p>
      <w:pPr>
        <w:pStyle w:val="ListParagraph"/>
        <w:numPr>
          <w:ilvl w:val="0"/>
          <w:numId w:val="2"/>
        </w:numPr>
        <w:spacing w:after="80"/>
      </w:pPr>
      <w:r>
        <w:rPr>
          <w:rFonts w:ascii="Arial" w:cs="Arial" w:eastAsia="Arial" w:hAnsi="Arial"/>
          <w:sz w:val="22"/>
          <w:szCs w:val="22"/>
        </w:rPr>
        <w:t xml:space="preserve">8 conselheiros fictícios: 4 de Manica (Chimoio, Gondola, Manica, Sussundenga) e 4 de Zambézia (Nicoadala, Mocuba, Milange, Gurué)</w:t>
      </w:r>
    </w:p>
    <w:p>
      <w:pPr>
        <w:pStyle w:val="ListParagraph"/>
        <w:numPr>
          <w:ilvl w:val="0"/>
          <w:numId w:val="2"/>
        </w:numPr>
        <w:spacing w:after="80"/>
      </w:pPr>
      <w:r>
        <w:rPr>
          <w:rFonts w:ascii="Arial" w:cs="Arial" w:eastAsia="Arial" w:hAnsi="Arial"/>
          <w:sz w:val="22"/>
          <w:szCs w:val="22"/>
        </w:rPr>
        <w:t xml:space="preserve">8 semanas de dados sintéticos por conselheiro, com diferentes perfis de score (GREEN, YELLOW, RED)</w:t>
      </w:r>
    </w:p>
    <w:p>
      <w:pPr>
        <w:pStyle w:val="ListParagraph"/>
        <w:numPr>
          <w:ilvl w:val="0"/>
          <w:numId w:val="2"/>
        </w:numPr>
        <w:spacing w:after="80"/>
      </w:pPr>
      <w:r>
        <w:rPr>
          <w:rFonts w:ascii="Arial" w:cs="Arial" w:eastAsia="Arial" w:hAnsi="Arial"/>
          <w:sz w:val="22"/>
          <w:szCs w:val="22"/>
        </w:rPr>
        <w:t xml:space="preserve">Esperança Guambe (Zambézia) inclui dados de Injustificados para demonstrar os checks C08/C09</w:t>
      </w:r>
    </w:p>
    <w:p>
      <w:r>
        <w:br w:type="page"/>
      </w:r>
    </w:p>
    <w:p>
      <w:pPr>
        <w:pStyle w:val="Heading1"/>
        <w:spacing w:after="160" w:before="360"/>
      </w:pPr>
      <w:r>
        <w:rPr>
          <w:rFonts w:ascii="Arial" w:cs="Arial" w:eastAsia="Arial" w:hAnsi="Arial"/>
          <w:b/>
          <w:bCs/>
          <w:color w:val="1B3A6B"/>
          <w:sz w:val="32"/>
          <w:szCs w:val="32"/>
        </w:rPr>
        <w:t xml:space="preserve">10. Glossário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E2E8F0" w:sz="4"/>
              <w:left w:val="single" w:color="E2E8F0" w:sz="4"/>
              <w:bottom w:val="single" w:color="E2E8F0" w:sz="4"/>
              <w:right w:val="single" w:color="E2E8F0" w:sz="4"/>
            </w:tcBorders>
            <w:shd w:fill="1B3A6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Termo</w:t>
            </w:r>
          </w:p>
        </w:tc>
        <w:tc>
          <w:tcPr>
            <w:tcW w:type="dxa" w:w="7238"/>
            <w:tcBorders>
              <w:top w:val="single" w:color="E2E8F0" w:sz="4"/>
              <w:left w:val="single" w:color="E2E8F0" w:sz="4"/>
              <w:bottom w:val="single" w:color="E2E8F0" w:sz="4"/>
              <w:right w:val="single" w:color="E2E8F0" w:sz="4"/>
            </w:tcBorders>
            <w:shd w:fill="1B3A6B" w:val="clear"/>
            <w:tcMar>
              <w:top w:type="dxa" w:w="80"/>
              <w:left w:type="dxa" w:w="120"/>
              <w:bottom w:type="dxa" w:w="80"/>
              <w:right w:type="dxa" w:w="120"/>
            </w:tcMar>
          </w:tcPr>
          <w:p>
            <w:pPr>
              <w:spacing w:after="0"/>
            </w:pPr>
            <w:r>
              <w:rPr>
                <w:rFonts w:ascii="Arial" w:cs="Arial" w:eastAsia="Arial" w:hAnsi="Arial"/>
                <w:color w:val="FFFFFF"/>
                <w:sz w:val="20"/>
                <w:szCs w:val="20"/>
              </w:rPr>
              <w:t xml:space="preserve">Definição</w:t>
            </w:r>
          </w:p>
        </w:tc>
      </w:tr>
      <w:tr>
        <w:tc>
          <w:tcPr>
            <w:tcW w:type="dxa" w:w="24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ICT</w:t>
            </w:r>
          </w:p>
        </w:tc>
        <w:tc>
          <w:tcPr>
            <w:tcW w:type="dxa" w:w="72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Index Case Testing — Testagem por Índice de Caso (testagem de contactos de PVVIH)</w:t>
            </w:r>
          </w:p>
        </w:tc>
      </w:tr>
      <w:tr>
        <w:tc>
          <w:tcPr>
            <w:tcW w:type="dxa" w:w="24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ATS-C</w:t>
            </w:r>
          </w:p>
        </w:tc>
        <w:tc>
          <w:tcPr>
            <w:tcW w:type="dxa" w:w="72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Aconselhamento e Testagem em Saúde — Conselheiros (leigos)</w:t>
            </w:r>
          </w:p>
        </w:tc>
      </w:tr>
      <w:tr>
        <w:tc>
          <w:tcPr>
            <w:tcW w:type="dxa" w:w="24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Determine</w:t>
            </w:r>
          </w:p>
        </w:tc>
        <w:tc>
          <w:tcPr>
            <w:tcW w:type="dxa" w:w="72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Teste de triagem VIH (primeiro teste no algoritmo de dois testes)</w:t>
            </w:r>
          </w:p>
        </w:tc>
      </w:tr>
      <w:tr>
        <w:tc>
          <w:tcPr>
            <w:tcW w:type="dxa" w:w="24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Unigold</w:t>
            </w:r>
          </w:p>
        </w:tc>
        <w:tc>
          <w:tcPr>
            <w:tcW w:type="dxa" w:w="72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Teste confirmatório VIH (segundo teste no algoritmo de dois testes)</w:t>
            </w:r>
          </w:p>
        </w:tc>
      </w:tr>
      <w:tr>
        <w:tc>
          <w:tcPr>
            <w:tcW w:type="dxa" w:w="24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Yield%</w:t>
            </w:r>
          </w:p>
        </w:tc>
        <w:tc>
          <w:tcPr>
            <w:tcW w:type="dxa" w:w="72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Proporção de testados com resultado VIH positivo confirmado. Meta PEPFAR ≥ 5%</w:t>
            </w:r>
          </w:p>
        </w:tc>
      </w:tr>
      <w:tr>
        <w:tc>
          <w:tcPr>
            <w:tcW w:type="dxa" w:w="24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Aderência ao Algoritmo</w:t>
            </w:r>
          </w:p>
        </w:tc>
        <w:tc>
          <w:tcPr>
            <w:tcW w:type="dxa" w:w="72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Proporção de Det. Reactivos com Unigold realizado. Meta PEPFAR ≥ 95%</w:t>
            </w:r>
          </w:p>
        </w:tc>
      </w:tr>
      <w:tr>
        <w:tc>
          <w:tcPr>
            <w:tcW w:type="dxa" w:w="24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Indeterminado</w:t>
            </w:r>
          </w:p>
        </w:tc>
        <w:tc>
          <w:tcPr>
            <w:tcW w:type="dxa" w:w="72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Resultado inconclusivo (Det. Reactivo + Unigold Não Reactivo). Meta ≤ 2%</w:t>
            </w:r>
          </w:p>
        </w:tc>
      </w:tr>
      <w:tr>
        <w:tc>
          <w:tcPr>
            <w:tcW w:type="dxa" w:w="24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Injustificados</w:t>
            </w:r>
          </w:p>
        </w:tc>
        <w:tc>
          <w:tcPr>
            <w:tcW w:type="dxa" w:w="72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Testes consumidos sem registo de resultado correspondente</w:t>
            </w:r>
          </w:p>
        </w:tc>
      </w:tr>
      <w:tr>
        <w:tc>
          <w:tcPr>
            <w:tcW w:type="dxa" w:w="24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Score GREEN</w:t>
            </w:r>
          </w:p>
        </w:tc>
        <w:tc>
          <w:tcPr>
            <w:tcW w:type="dxa" w:w="72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Sem flags HIGH e sem flags MEDIUM suficientes para degradar o score</w:t>
            </w:r>
          </w:p>
        </w:tc>
      </w:tr>
      <w:tr>
        <w:tc>
          <w:tcPr>
            <w:tcW w:type="dxa" w:w="24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Score YELLOW</w:t>
            </w:r>
          </w:p>
        </w:tc>
        <w:tc>
          <w:tcPr>
            <w:tcW w:type="dxa" w:w="72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Sem flags HIGH mas com pelo menos um flag MEDIUM activo</w:t>
            </w:r>
          </w:p>
        </w:tc>
      </w:tr>
      <w:tr>
        <w:tc>
          <w:tcPr>
            <w:tcW w:type="dxa" w:w="24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Score RED</w:t>
            </w:r>
          </w:p>
        </w:tc>
        <w:tc>
          <w:tcPr>
            <w:tcW w:type="dxa" w:w="72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Pelo menos um flag HIGH activo em qualquer dimensão</w:t>
            </w:r>
          </w:p>
        </w:tc>
      </w:tr>
      <w:tr>
        <w:tc>
          <w:tcPr>
            <w:tcW w:type="dxa" w:w="24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Período de Referência</w:t>
            </w:r>
          </w:p>
        </w:tc>
        <w:tc>
          <w:tcPr>
            <w:tcW w:type="dxa" w:w="72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Identificador de período: semanal (2026-W23) ou mensal (2026-06)</w:t>
            </w:r>
          </w:p>
        </w:tc>
      </w:tr>
      <w:tr>
        <w:tc>
          <w:tcPr>
            <w:tcW w:type="dxa" w:w="24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PUSH</w:t>
            </w:r>
          </w:p>
        </w:tc>
        <w:tc>
          <w:tcPr>
            <w:tcW w:type="dxa" w:w="72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Envio de dados do browser para o Google Sheets (supervisores distritais)</w:t>
            </w:r>
          </w:p>
        </w:tc>
      </w:tr>
      <w:tr>
        <w:tc>
          <w:tcPr>
            <w:tcW w:type="dxa" w:w="24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PULL</w:t>
            </w:r>
          </w:p>
        </w:tc>
        <w:tc>
          <w:tcPr>
            <w:tcW w:type="dxa" w:w="72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Recepção de dados do Google Sheets para o browser (provincial/nacional)</w:t>
            </w:r>
          </w:p>
        </w:tc>
      </w:tr>
      <w:tr>
        <w:tc>
          <w:tcPr>
            <w:tcW w:type="dxa" w:w="24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Apps Script</w:t>
            </w:r>
          </w:p>
        </w:tc>
        <w:tc>
          <w:tcPr>
            <w:tcW w:type="dxa" w:w="72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Google Apps Script — serviço do Google que serve de backend da aplicação</w:t>
            </w:r>
          </w:p>
        </w:tc>
      </w:tr>
      <w:tr>
        <w:tc>
          <w:tcPr>
            <w:tcW w:type="dxa" w:w="24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localStorage</w:t>
            </w:r>
          </w:p>
        </w:tc>
        <w:tc>
          <w:tcPr>
            <w:tcW w:type="dxa" w:w="72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Armazenamento do browser, persistente entre sessões, isolado por dispositivo</w:t>
            </w:r>
          </w:p>
        </w:tc>
      </w:tr>
      <w:tr>
        <w:tc>
          <w:tcPr>
            <w:tcW w:type="dxa" w:w="24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Offline-first</w:t>
            </w:r>
          </w:p>
        </w:tc>
        <w:tc>
          <w:tcPr>
            <w:tcW w:type="dxa" w:w="72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Arquitectura onde a aplicação funciona sem internet e sincroniza quando disponível</w:t>
            </w:r>
          </w:p>
        </w:tc>
      </w:tr>
      <w:tr>
        <w:tc>
          <w:tcPr>
            <w:tcW w:type="dxa" w:w="24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PEPFAR</w:t>
            </w:r>
          </w:p>
        </w:tc>
        <w:tc>
          <w:tcPr>
            <w:tcW w:type="dxa" w:w="72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President's Emergency Plan for AIDS Relief (programa de financiamento dos EUA)</w:t>
            </w:r>
          </w:p>
        </w:tc>
      </w:tr>
      <w:tr>
        <w:tc>
          <w:tcPr>
            <w:tcW w:type="dxa" w:w="24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USAID</w:t>
            </w:r>
          </w:p>
        </w:tc>
        <w:tc>
          <w:tcPr>
            <w:tcW w:type="dxa" w:w="72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United States Agency for International Development</w:t>
            </w:r>
          </w:p>
        </w:tc>
      </w:tr>
      <w:tr>
        <w:tc>
          <w:tcPr>
            <w:tcW w:type="dxa" w:w="24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RISE</w:t>
            </w:r>
          </w:p>
        </w:tc>
        <w:tc>
          <w:tcPr>
            <w:tcW w:type="dxa" w:w="72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Reaching Impact, Saturation and Epidemic Control — programa PEPFAR/USAID</w:t>
            </w:r>
          </w:p>
        </w:tc>
      </w:tr>
      <w:tr>
        <w:tc>
          <w:tcPr>
            <w:tcW w:type="dxa" w:w="24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JHPIEGO</w:t>
            </w:r>
          </w:p>
        </w:tc>
        <w:tc>
          <w:tcPr>
            <w:tcW w:type="dxa" w:w="72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Implementador do programa RISE em Moçambique (afiliado da Universidade Johns Hopkins)</w:t>
            </w:r>
          </w:p>
        </w:tc>
      </w:tr>
      <w:tr>
        <w:tc>
          <w:tcPr>
            <w:tcW w:type="dxa" w:w="24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MISAU</w:t>
            </w:r>
          </w:p>
        </w:tc>
        <w:tc>
          <w:tcPr>
            <w:tcW w:type="dxa" w:w="72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Ministério da Saúde de Moçambique</w:t>
            </w:r>
          </w:p>
        </w:tc>
      </w:tr>
      <w:tr>
        <w:tc>
          <w:tcPr>
            <w:tcW w:type="dxa" w:w="24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MER</w:t>
            </w:r>
          </w:p>
        </w:tc>
        <w:tc>
          <w:tcPr>
            <w:tcW w:type="dxa" w:w="72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Monitoring, Evaluation and Reporting — sistema de indicadores PEPFAR</w:t>
            </w:r>
          </w:p>
        </w:tc>
      </w:tr>
      <w:tr>
        <w:tc>
          <w:tcPr>
            <w:tcW w:type="dxa" w:w="2400"/>
            <w:tcBorders>
              <w:top w:val="single" w:color="E2E8F0" w:sz="4"/>
              <w:left w:val="single" w:color="E2E8F0" w:sz="4"/>
              <w:bottom w:val="single" w:color="E2E8F0" w:sz="4"/>
              <w:right w:val="single" w:color="E2E8F0" w:sz="4"/>
            </w:tcBorders>
            <w:shd w:fill="F7FAFC" w:val="clear"/>
            <w:tcMar>
              <w:top w:type="dxa" w:w="80"/>
              <w:left w:type="dxa" w:w="120"/>
              <w:bottom w:type="dxa" w:w="80"/>
              <w:right w:type="dxa" w:w="120"/>
            </w:tcMar>
          </w:tcPr>
          <w:p>
            <w:pPr>
              <w:spacing w:after="0"/>
            </w:pPr>
            <w:r>
              <w:rPr>
                <w:rFonts w:ascii="Arial" w:cs="Arial" w:eastAsia="Arial" w:hAnsi="Arial"/>
                <w:b/>
                <w:bCs/>
                <w:color w:val="1B3A6B"/>
                <w:sz w:val="20"/>
                <w:szCs w:val="20"/>
              </w:rPr>
              <w:t xml:space="preserve">US / USS</w:t>
            </w:r>
          </w:p>
        </w:tc>
        <w:tc>
          <w:tcPr>
            <w:tcW w:type="dxa" w:w="7238"/>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pPr>
              <w:spacing w:after="0"/>
            </w:pPr>
            <w:r>
              <w:rPr>
                <w:rFonts w:ascii="Arial" w:cs="Arial" w:eastAsia="Arial" w:hAnsi="Arial"/>
                <w:color w:val="1A202C"/>
                <w:sz w:val="20"/>
                <w:szCs w:val="20"/>
              </w:rPr>
              <w:t xml:space="preserve">Unidade Sanitária (posto de saúde, centro de saúde, hospital)</w:t>
            </w:r>
          </w:p>
        </w:tc>
      </w:tr>
    </w:tbl>
    <w:p>
      <w:pPr>
        <w:spacing w:after="200"/>
      </w:pPr>
      <w:r>
        <w:rPr>
          <w:rFonts w:ascii="Arial" w:cs="Arial" w:eastAsia="Arial" w:hAnsi="Arial"/>
        </w:rPr>
        <w:t xml:space="preserve"/>
      </w:r>
    </w:p>
    <w:p>
      <w:pPr>
        <w:pBdr>
          <w:bottom w:val="single" w:color="E2E8F0" w:sz="6" w:space="1"/>
        </w:pBdr>
        <w:spacing w:after="200"/>
      </w:pPr>
      <w:r>
        <w:rPr>
          <w:rFonts w:ascii="Arial" w:cs="Arial" w:eastAsia="Arial" w:hAnsi="Arial"/>
        </w:rPr>
        <w:t xml:space="preserve"/>
      </w:r>
    </w:p>
    <w:p>
      <w:pPr>
        <w:spacing w:after="80"/>
        <w:jc w:val="center"/>
      </w:pPr>
      <w:r>
        <w:rPr>
          <w:rFonts w:ascii="Arial" w:cs="Arial" w:eastAsia="Arial" w:hAnsi="Arial"/>
          <w:color w:val="718096"/>
          <w:sz w:val="18"/>
          <w:szCs w:val="18"/>
        </w:rPr>
        <w:t xml:space="preserve">RISE ICT Monitor v1.1.0 · JHPIEGO Moçambique · PEPFAR/USAID RISE · Junho 2026</w:t>
      </w:r>
    </w:p>
    <w:p>
      <w:pPr>
        <w:spacing w:after="0"/>
        <w:jc w:val="center"/>
      </w:pPr>
      <w:r>
        <w:rPr>
          <w:rFonts w:ascii="Arial" w:cs="Arial" w:eastAsia="Arial" w:hAnsi="Arial"/>
          <w:color w:val="718096"/>
          <w:sz w:val="18"/>
          <w:szCs w:val="18"/>
        </w:rPr>
        <w:t xml:space="preserve">Desenvolvido para supervisão de Conselheiros Leigos de ATS-C nas províncias de Manica e Zambézia</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tabs>
        <w:tab w:val="right" w:pos="9638"/>
      </w:tabs>
      <w:spacing w:before="120"/>
    </w:pPr>
    <w:r>
      <w:rPr>
        <w:rFonts w:ascii="Arial" w:cs="Arial" w:eastAsia="Arial" w:hAnsi="Arial"/>
        <w:color w:val="718096"/>
        <w:sz w:val="16"/>
        <w:szCs w:val="16"/>
      </w:rPr>
      <w:t xml:space="preserve">Confidencial — Uso Interno RISE/JHPIEGO</w:t>
    </w:r>
    <w:r>
      <w:rPr>
        <w:rFonts w:ascii="Arial" w:cs="Arial" w:eastAsia="Arial" w:hAnsi="Arial"/>
      </w:rPr>
      <w:t xml:space="preserve">	</w:t>
    </w:r>
    <w:r>
      <w:rPr>
        <w:rFonts w:ascii="Arial" w:cs="Arial" w:eastAsia="Arial" w:hAnsi="Arial"/>
        <w:color w:val="718096"/>
        <w:sz w:val="16"/>
        <w:szCs w:val="16"/>
      </w:rPr>
      <w:t xml:space="preserve">Página </w:t>
    </w:r>
    <w:r>
      <w:rPr>
        <w:rFonts w:ascii="Arial" w:cs="Arial" w:eastAsia="Arial" w:hAnsi="Arial"/>
        <w:color w:val="718096"/>
        <w:sz w:val="16"/>
        <w:szCs w:val="16"/>
      </w:rPr>
      <w:fldChar w:fldCharType="begin"/>
      <w:instrText xml:space="preserve">PAGE</w:instrText>
      <w:fldChar w:fldCharType="separate"/>
      <w:fldChar w:fldCharType="end"/>
    </w:r>
    <w:r>
      <w:rPr>
        <w:rFonts w:ascii="Arial" w:cs="Arial" w:eastAsia="Arial" w:hAnsi="Arial"/>
        <w:color w:val="718096"/>
        <w:sz w:val="16"/>
        <w:szCs w:val="16"/>
      </w:rPr>
      <w:t xml:space="preserve"> de </w:t>
    </w:r>
    <w:r>
      <w:rPr>
        <w:rFonts w:ascii="Arial" w:cs="Arial" w:eastAsia="Arial" w:hAnsi="Arial"/>
        <w:color w:val="71809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1"/>
      </w:pBdr>
      <w:tabs>
        <w:tab w:val="right" w:pos="9638"/>
      </w:tabs>
      <w:spacing w:after="120"/>
    </w:pPr>
    <w:r>
      <w:rPr>
        <w:rFonts w:ascii="Arial" w:cs="Arial" w:eastAsia="Arial" w:hAnsi="Arial"/>
        <w:color w:val="718096"/>
        <w:sz w:val="18"/>
        <w:szCs w:val="18"/>
      </w:rPr>
      <w:t xml:space="preserve">RISE ICT Monitor — Manual do Utilizador</w:t>
    </w:r>
    <w:r>
      <w:rPr>
        <w:rFonts w:ascii="Arial" w:cs="Arial" w:eastAsia="Arial" w:hAnsi="Arial"/>
      </w:rPr>
      <w:t xml:space="preserve">	</w:t>
    </w:r>
    <w:r>
      <w:rPr>
        <w:rFonts w:ascii="Arial" w:cs="Arial" w:eastAsia="Arial" w:hAnsi="Arial"/>
        <w:color w:val="718096"/>
        <w:sz w:val="18"/>
        <w:szCs w:val="18"/>
      </w:rPr>
      <w:t xml:space="preserve">JHPIEGO Moçambique · PEPFAR/USAID RISE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B3A6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D374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2026-06-24T07:42:28.182Z</dcterms:created>
  <dcterms:modified xsi:type="dcterms:W3CDTF">2026-06-24T07:42:28.182Z</dcterms:modified>
</cp:coreProperties>
</file>

<file path=docProps/custom.xml><?xml version="1.0" encoding="utf-8"?>
<Properties xmlns="http://schemas.openxmlformats.org/officeDocument/2006/custom-properties" xmlns:vt="http://schemas.openxmlformats.org/officeDocument/2006/docPropsVTypes"/>
</file>