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true"/>
        <w:bidi w:val="0"/>
        <w:spacing w:lineRule="auto" w:line="259"/>
        <w:jc w:val="start"/>
        <w:rPr>
          <w:rFonts w:ascii="Calibri" w:hAnsi="Calibri" w:cs="Calibri" w:asciiTheme="minorHAnsi" w:cstheme="minorHAnsi" w:hAnsiTheme="minorHAnsi"/>
          <w:b/>
          <w:bCs/>
          <w:color w:themeColor="accent5" w:themeShade="bf" w:val="2E74B5"/>
          <w:sz w:val="28"/>
          <w:szCs w:val="28"/>
          <w:highlight w:val="cyan"/>
        </w:rPr>
      </w:pPr>
      <w:r>
        <w:rPr>
          <w:rFonts w:asciiTheme="minorHAnsi" w:cstheme="minorHAnsi" w:hAnsiTheme="minorHAnsi"/>
          <w:shd w:fill="auto" w:val="clear"/>
        </w:rPr>
      </w:r>
    </w:p>
    <w:p>
      <w:pPr>
        <w:pStyle w:val="Normal"/>
        <w:suppressAutoHyphens w:val="true"/>
        <w:bidi w:val="0"/>
        <w:spacing w:lineRule="auto" w:line="259"/>
        <w:jc w:val="start"/>
        <w:rPr>
          <w:rFonts w:ascii="Calibri" w:hAnsi="Calibri" w:cs="Calibri" w:asciiTheme="minorHAnsi" w:cstheme="minorHAnsi" w:hAnsiTheme="minorHAnsi"/>
          <w:b/>
          <w:bCs/>
          <w:color w:themeColor="accent5" w:themeShade="bf" w:val="2E74B5"/>
          <w:sz w:val="28"/>
          <w:szCs w:val="28"/>
          <w:highlight w:val="cyan"/>
        </w:rPr>
      </w:pPr>
      <w:bookmarkStart w:id="0" w:name="page45R_mcid4"/>
      <w:bookmarkEnd w:id="0"/>
      <w:r>
        <w:rPr>
          <w:rFonts w:eastAsia="Calibri" w:cs="Calibri" w:cstheme="minorHAnsi" w:ascii="Calibri" w:hAnsi="Calibri"/>
          <w:b/>
          <w:bCs/>
          <w:shd w:fill="auto" w:val="clear"/>
        </w:rPr>
        <w:t xml:space="preserve">Overview </w:t>
      </w:r>
      <w:bookmarkStart w:id="1" w:name="page45R_mcid5"/>
      <w:bookmarkEnd w:id="1"/>
      <w:r>
        <w:rPr>
          <w:rFonts w:eastAsia="Calibri" w:cs="Calibri" w:cstheme="minorHAnsi" w:ascii="Calibri" w:hAnsi="Calibri"/>
          <w:b/>
          <w:bCs/>
          <w:shd w:fill="auto" w:val="clear"/>
        </w:rPr>
        <w:br/>
        <w:t xml:space="preserve">The AMPS Platform MVP 1.1 delivers a unified, multi-rail payments stack covering Cards, UPI, NBBL, Net Banking, </w:t>
        <w:br/>
        <w:t xml:space="preserve">Affordability, and Payment Links, backed by strong refund and settlement capabilities. It introduces advanced </w:t>
        <w:br/>
        <w:t xml:space="preserve">features like dynamic and BIN-based routing, network/issuer tokenization, combined auth, GST invoicing, and FCY </w:t>
        <w:br/>
        <w:t xml:space="preserve">settlement. Merchants get a powerful Analytics Dashboard, Single MPR/Settlement, and full self-serve via the </w:t>
        <w:br/>
        <w:t xml:space="preserve">Merchant and Developer Portals. Overall, it establishes a scalable, intelligent, and compliant payments </w:t>
        <w:br/>
        <w:t>orchestration foundation.</w:t>
      </w:r>
    </w:p>
    <w:p>
      <w:pPr>
        <w:pStyle w:val="Normal"/>
        <w:suppressAutoHyphens w:val="true"/>
        <w:bidi w:val="0"/>
        <w:spacing w:lineRule="auto" w:line="259"/>
        <w:jc w:val="start"/>
        <w:rPr>
          <w:rFonts w:ascii="Calibri" w:hAnsi="Calibri" w:cs="Calibri" w:asciiTheme="minorHAnsi" w:cstheme="minorHAnsi" w:hAnsiTheme="minorHAnsi"/>
          <w:b/>
          <w:bCs/>
          <w:color w:themeColor="accent5" w:themeShade="bf" w:val="2E74B5"/>
          <w:sz w:val="28"/>
          <w:szCs w:val="28"/>
          <w:highlight w:val="cyan"/>
        </w:rPr>
      </w:pPr>
      <w:r>
        <w:rPr>
          <w:rFonts w:asciiTheme="minorHAnsi" w:cstheme="minorHAnsi" w:hAnsiTheme="minorHAnsi"/>
          <w:shd w:fill="auto" w:val="clear"/>
        </w:rPr>
      </w:r>
    </w:p>
    <w:p>
      <w:pPr>
        <w:pStyle w:val="Normal"/>
        <w:suppressAutoHyphens w:val="true"/>
        <w:bidi w:val="0"/>
        <w:spacing w:lineRule="auto" w:line="259"/>
        <w:jc w:val="start"/>
        <w:rPr>
          <w:rFonts w:ascii="Calibri" w:hAnsi="Calibri" w:cs="Calibri" w:asciiTheme="minorHAnsi" w:cstheme="minorHAnsi" w:hAnsiTheme="minorHAnsi"/>
          <w:b/>
          <w:bCs/>
          <w:color w:themeColor="accent5" w:themeShade="bf" w:val="2E74B5"/>
          <w:sz w:val="28"/>
          <w:szCs w:val="28"/>
          <w:highlight w:val="cyan"/>
        </w:rPr>
      </w:pPr>
      <w:r>
        <w:rPr>
          <w:rFonts w:eastAsia="Calibri" w:cs="Calibri" w:ascii="Calibri" w:hAnsi="Calibri" w:asciiTheme="minorHAnsi" w:cstheme="minorHAnsi" w:hAnsiTheme="minorHAnsi"/>
          <w:b/>
          <w:bCs/>
          <w:shd w:fill="auto" w:val="clear"/>
        </w:rPr>
        <w:t xml:space="preserve">There are </w:t>
      </w:r>
      <w:r>
        <w:rPr>
          <w:rFonts w:eastAsia="Calibri" w:cs="Calibri" w:ascii="Calibri" w:hAnsi="Calibri"/>
          <w:b/>
          <w:bCs/>
        </w:rPr>
        <w:t xml:space="preserve">24 features form the scope for AMPS Online MVP 1.1 , </w:t>
      </w:r>
      <w:r>
        <w:rPr>
          <w:rFonts w:eastAsia="Calibri" w:cs="Calibri" w:ascii="Calibri" w:hAnsi="Calibri"/>
          <w:b/>
          <w:bCs/>
        </w:rPr>
        <w:t xml:space="preserve">one of the feature is follows - </w:t>
      </w:r>
      <w:r>
        <w:rPr>
          <w:rFonts w:eastAsia="Calibri" w:cs="Calibri" w:ascii="Calibri" w:hAnsi="Calibri" w:asciiTheme="minorHAnsi" w:cstheme="minorHAnsi" w:hAnsiTheme="minorHAnsi"/>
          <w:b/>
          <w:bCs/>
          <w:shd w:fill="auto" w:val="clear"/>
        </w:rPr>
        <w:br/>
      </w:r>
    </w:p>
    <w:p>
      <w:pPr>
        <w:pStyle w:val="Normal"/>
        <w:suppressAutoHyphens w:val="true"/>
        <w:bidi w:val="0"/>
        <w:spacing w:lineRule="auto" w:line="259"/>
        <w:jc w:val="start"/>
        <w:rPr>
          <w:rFonts w:ascii="Calibri" w:hAnsi="Calibri" w:cs="Calibri" w:asciiTheme="minorHAnsi" w:cstheme="minorHAnsi" w:hAnsiTheme="minorHAnsi"/>
          <w:b/>
          <w:bCs/>
          <w:color w:themeColor="accent5" w:themeShade="bf" w:val="2E74B5"/>
          <w:sz w:val="28"/>
          <w:szCs w:val="28"/>
          <w:highlight w:val="cyan"/>
        </w:rPr>
      </w:pPr>
      <w:r>
        <w:rPr>
          <w:rFonts w:eastAsia="Calibri" w:cs="Calibri" w:cstheme="minorHAnsi" w:ascii="Calibri" w:hAnsi="Calibri"/>
          <w:b/>
          <w:bCs/>
          <w:shd w:fill="auto" w:val="clear"/>
        </w:rPr>
        <w:t>Bin Based Routing &amp; Blocking</w:t>
      </w:r>
    </w:p>
    <w:p>
      <w:pPr>
        <w:pStyle w:val="Normal"/>
        <w:suppressAutoHyphens w:val="true"/>
        <w:bidi w:val="0"/>
        <w:spacing w:lineRule="auto" w:line="259"/>
        <w:jc w:val="start"/>
        <w:rPr>
          <w:rFonts w:ascii="Calibri" w:hAnsi="Calibri" w:cs="Calibri" w:asciiTheme="minorHAnsi" w:cstheme="minorHAnsi" w:hAnsiTheme="minorHAnsi"/>
          <w:b/>
          <w:bCs/>
          <w:color w:themeColor="accent5" w:themeShade="bf" w:val="2E74B5"/>
          <w:sz w:val="28"/>
          <w:szCs w:val="28"/>
          <w:highlight w:val="cyan"/>
        </w:rPr>
      </w:pPr>
      <w:r>
        <w:rPr>
          <w:rFonts w:eastAsia="Calibri" w:cs="Calibri" w:cstheme="minorHAnsi" w:ascii="Calibri" w:hAnsi="Calibri"/>
          <w:b/>
          <w:bCs/>
          <w:shd w:fill="auto" w:val="clear"/>
        </w:rPr>
        <w:t>Overview</w:t>
      </w:r>
    </w:p>
    <w:p>
      <w:pPr>
        <w:pStyle w:val="Normal"/>
        <w:suppressAutoHyphens w:val="true"/>
        <w:bidi w:val="0"/>
        <w:spacing w:lineRule="auto" w:line="259"/>
        <w:jc w:val="start"/>
        <w:rPr>
          <w:rFonts w:ascii="Calibri" w:hAnsi="Calibri" w:eastAsia="Calibri" w:cs="Calibri" w:asciiTheme="minorHAnsi" w:cstheme="minorHAnsi" w:hAnsiTheme="minorHAnsi"/>
          <w:highlight w:val="cyan"/>
        </w:rPr>
      </w:pPr>
      <w:r>
        <w:rPr>
          <w:rFonts w:eastAsia="Calibri" w:cs="Calibri" w:cstheme="minorHAnsi" w:ascii="Calibri" w:hAnsi="Calibri"/>
          <w:shd w:fill="auto" w:val="clear"/>
        </w:rPr>
        <w:t>BIN (Bank Identification Number) logic uses the first 6–8 digits of a card to identify the issuer, network, region, product type, risk profile etc. and then applies routing or blocking rules at authorization time.</w:t>
      </w:r>
    </w:p>
    <w:p>
      <w:pPr>
        <w:pStyle w:val="Normal"/>
        <w:suppressAutoHyphens w:val="true"/>
        <w:bidi w:val="0"/>
        <w:spacing w:lineRule="auto" w:line="259"/>
        <w:jc w:val="start"/>
        <w:rPr>
          <w:rFonts w:ascii="Calibri" w:hAnsi="Calibri" w:eastAsia="Calibri" w:cs="Calibri" w:asciiTheme="minorHAnsi" w:cstheme="minorHAnsi" w:hAnsiTheme="minorHAnsi"/>
          <w:highlight w:val="cyan"/>
        </w:rPr>
      </w:pPr>
      <w:r>
        <w:rPr>
          <w:rFonts w:eastAsia="Calibri" w:cs="Calibri" w:cstheme="minorHAnsi" w:ascii="Calibri" w:hAnsi="Calibri"/>
          <w:shd w:fill="auto" w:val="clear"/>
        </w:rPr>
      </w:r>
    </w:p>
    <w:p>
      <w:pPr>
        <w:pStyle w:val="Normal"/>
        <w:suppressAutoHyphens w:val="true"/>
        <w:bidi w:val="0"/>
        <w:spacing w:lineRule="auto" w:line="259"/>
        <w:jc w:val="start"/>
        <w:rPr>
          <w:rFonts w:ascii="Calibri" w:hAnsi="Calibri" w:eastAsia="Calibri" w:cs="Calibri" w:asciiTheme="minorHAnsi" w:cstheme="minorHAnsi" w:hAnsiTheme="minorHAnsi"/>
          <w:b/>
          <w:bCs/>
          <w:highlight w:val="cyan"/>
        </w:rPr>
      </w:pPr>
      <w:r>
        <w:rPr>
          <w:rFonts w:eastAsia="Calibri" w:cs="Calibri" w:cstheme="minorHAnsi" w:ascii="Calibri" w:hAnsi="Calibri"/>
          <w:b/>
          <w:bCs/>
          <w:shd w:fill="auto" w:val="clear"/>
        </w:rPr>
        <w:t xml:space="preserve">Objective </w:t>
      </w:r>
    </w:p>
    <w:p>
      <w:pPr>
        <w:pStyle w:val="Normal"/>
        <w:suppressAutoHyphens w:val="true"/>
        <w:bidi w:val="0"/>
        <w:spacing w:lineRule="auto" w:line="259"/>
        <w:jc w:val="start"/>
        <w:rPr>
          <w:rFonts w:ascii="Calibri" w:hAnsi="Calibri" w:eastAsia="Calibri" w:cs="Calibri" w:asciiTheme="minorHAnsi" w:cstheme="minorHAnsi" w:hAnsiTheme="minorHAnsi"/>
          <w:highlight w:val="cyan"/>
        </w:rPr>
      </w:pPr>
      <w:r>
        <w:rPr>
          <w:rFonts w:eastAsia="Calibri" w:cs="Calibri" w:cstheme="minorHAnsi" w:ascii="Calibri" w:hAnsi="Calibri"/>
          <w:shd w:fill="auto" w:val="clear"/>
        </w:rPr>
        <w:t>To improve authorization success, reduce processing cost, and strengthen fraud control by deploying a unified BIN</w:t>
        <w:noBreakHyphen/>
        <w:t>based routing and blocking framework in AMPS—enabling smart acquirer selection, precise BIN filters, and real</w:t>
        <w:noBreakHyphen/>
        <w:t>time operational governance across card transactions.</w:t>
      </w:r>
    </w:p>
    <w:p>
      <w:pPr>
        <w:pStyle w:val="Normal"/>
        <w:suppressAutoHyphens w:val="true"/>
        <w:bidi w:val="0"/>
        <w:spacing w:lineRule="auto" w:line="259"/>
        <w:jc w:val="start"/>
        <w:rPr>
          <w:rFonts w:ascii="Calibri" w:hAnsi="Calibri" w:eastAsia="Calibri" w:cs="Calibri" w:asciiTheme="minorHAnsi" w:cstheme="minorHAnsi" w:hAnsiTheme="minorHAnsi"/>
          <w:b/>
          <w:bCs/>
          <w:highlight w:val="cyan"/>
        </w:rPr>
      </w:pPr>
      <w:r>
        <w:rPr>
          <w:rFonts w:eastAsia="Calibri" w:cs="Calibri" w:cstheme="minorHAnsi" w:ascii="Calibri" w:hAnsi="Calibri"/>
          <w:b/>
          <w:bCs/>
          <w:shd w:fill="auto" w:val="clear"/>
        </w:rPr>
      </w:r>
    </w:p>
    <w:p>
      <w:pPr>
        <w:pStyle w:val="Normal"/>
        <w:suppressAutoHyphens w:val="true"/>
        <w:bidi w:val="0"/>
        <w:spacing w:lineRule="auto" w:line="259"/>
        <w:jc w:val="start"/>
        <w:rPr>
          <w:rFonts w:ascii="Calibri" w:hAnsi="Calibri" w:eastAsia="Calibri" w:cs="Calibri" w:asciiTheme="minorHAnsi" w:cstheme="minorHAnsi" w:hAnsiTheme="minorHAnsi"/>
          <w:b/>
          <w:bCs/>
          <w:highlight w:val="cyan"/>
        </w:rPr>
      </w:pPr>
      <w:r>
        <w:rPr>
          <w:rFonts w:eastAsia="Calibri" w:cs="Calibri" w:cstheme="minorHAnsi" w:ascii="Calibri" w:hAnsi="Calibri"/>
          <w:b/>
          <w:bCs/>
          <w:shd w:fill="auto" w:val="clear"/>
        </w:rPr>
        <w:t xml:space="preserve">AMPS to enable: </w:t>
      </w:r>
    </w:p>
    <w:p>
      <w:pPr>
        <w:pStyle w:val="Normal"/>
        <w:numPr>
          <w:ilvl w:val="0"/>
          <w:numId w:val="2"/>
        </w:numPr>
        <w:suppressAutoHyphens w:val="true"/>
        <w:bidi w:val="0"/>
        <w:spacing w:lineRule="auto" w:line="259"/>
        <w:jc w:val="start"/>
        <w:rPr>
          <w:rFonts w:ascii="Calibri" w:hAnsi="Calibri" w:eastAsia="Calibri" w:cs="Calibri" w:asciiTheme="minorHAnsi" w:cstheme="minorHAnsi" w:hAnsiTheme="minorHAnsi"/>
          <w:highlight w:val="cyan"/>
        </w:rPr>
      </w:pPr>
      <w:r>
        <w:rPr>
          <w:rFonts w:eastAsia="Calibri" w:cs="Calibri" w:cstheme="minorHAnsi" w:ascii="Calibri" w:hAnsi="Calibri"/>
          <w:b/>
          <w:bCs/>
          <w:shd w:fill="auto" w:val="clear"/>
        </w:rPr>
        <w:t>Intelligent Routing:</w:t>
      </w:r>
      <w:r>
        <w:rPr>
          <w:rFonts w:eastAsia="Calibri" w:cs="Calibri" w:cstheme="minorHAnsi" w:ascii="Calibri" w:hAnsi="Calibri"/>
          <w:shd w:fill="auto" w:val="clear"/>
        </w:rPr>
        <w:br/>
        <w:t>Route transactions to the best</w:t>
        <w:noBreakHyphen/>
        <w:t>fit PG/acquirer (FSS, CYBS, MPGS, etc.) based on issuer/network, geography, MCC, product (debit/credit/prepaid), and historical success metrics.</w:t>
      </w:r>
    </w:p>
    <w:p>
      <w:pPr>
        <w:pStyle w:val="Normal"/>
        <w:numPr>
          <w:ilvl w:val="0"/>
          <w:numId w:val="2"/>
        </w:numPr>
        <w:suppressAutoHyphens w:val="true"/>
        <w:bidi w:val="0"/>
        <w:spacing w:lineRule="auto" w:line="259"/>
        <w:jc w:val="start"/>
        <w:rPr>
          <w:rFonts w:ascii="Calibri" w:hAnsi="Calibri" w:eastAsia="Calibri" w:cs="Calibri" w:asciiTheme="minorHAnsi" w:cstheme="minorHAnsi" w:hAnsiTheme="minorHAnsi"/>
          <w:highlight w:val="cyan"/>
        </w:rPr>
      </w:pPr>
      <w:r>
        <w:rPr>
          <w:rFonts w:eastAsia="Calibri" w:cs="Calibri" w:cstheme="minorHAnsi" w:ascii="Calibri" w:hAnsi="Calibri"/>
          <w:b/>
          <w:bCs/>
          <w:shd w:fill="auto" w:val="clear"/>
        </w:rPr>
        <w:t>Selective Blocking:</w:t>
      </w:r>
      <w:r>
        <w:rPr>
          <w:rFonts w:eastAsia="Calibri" w:cs="Calibri" w:cstheme="minorHAnsi" w:ascii="Calibri" w:hAnsi="Calibri"/>
          <w:shd w:fill="auto" w:val="clear"/>
        </w:rPr>
        <w:br/>
        <w:t>Block or soft</w:t>
        <w:noBreakHyphen/>
        <w:t>decline specific BINs (e.g., known fraud sources, unsupported products, restricted regions) with customizable messages and fallback options.</w:t>
      </w:r>
    </w:p>
    <w:p>
      <w:pPr>
        <w:pStyle w:val="Normal"/>
        <w:numPr>
          <w:ilvl w:val="0"/>
          <w:numId w:val="2"/>
        </w:numPr>
        <w:suppressAutoHyphens w:val="true"/>
        <w:bidi w:val="0"/>
        <w:spacing w:lineRule="auto" w:line="259"/>
        <w:jc w:val="start"/>
        <w:rPr>
          <w:rFonts w:ascii="Calibri" w:hAnsi="Calibri" w:eastAsia="Calibri" w:cs="Calibri" w:asciiTheme="minorHAnsi" w:cstheme="minorHAnsi" w:hAnsiTheme="minorHAnsi"/>
          <w:highlight w:val="cyan"/>
        </w:rPr>
      </w:pPr>
      <w:r>
        <w:rPr>
          <w:rFonts w:eastAsia="Calibri" w:cs="Calibri" w:cstheme="minorHAnsi" w:ascii="Calibri" w:hAnsi="Calibri"/>
          <w:b/>
          <w:bCs/>
          <w:shd w:fill="auto" w:val="clear"/>
        </w:rPr>
        <w:t>Rule Engine:</w:t>
      </w:r>
      <w:r>
        <w:rPr>
          <w:rFonts w:eastAsia="Calibri" w:cs="Calibri" w:cstheme="minorHAnsi" w:ascii="Calibri" w:hAnsi="Calibri"/>
          <w:shd w:fill="auto" w:val="clear"/>
        </w:rPr>
        <w:br/>
        <w:t>Centralized rule configuration with priority, conditions, and actions (route, block, fallback, step</w:t>
        <w:noBreakHyphen/>
        <w:t>up SCA/3DS).</w:t>
      </w:r>
    </w:p>
    <w:p>
      <w:pPr>
        <w:pStyle w:val="Normal"/>
        <w:numPr>
          <w:ilvl w:val="0"/>
          <w:numId w:val="2"/>
        </w:numPr>
        <w:suppressAutoHyphens w:val="true"/>
        <w:bidi w:val="0"/>
        <w:spacing w:lineRule="auto" w:line="259"/>
        <w:jc w:val="start"/>
        <w:rPr>
          <w:rFonts w:ascii="Calibri" w:hAnsi="Calibri" w:eastAsia="Calibri" w:cs="Calibri" w:asciiTheme="minorHAnsi" w:cstheme="minorHAnsi" w:hAnsiTheme="minorHAnsi"/>
          <w:highlight w:val="cyan"/>
        </w:rPr>
      </w:pPr>
      <w:r>
        <w:rPr>
          <w:rFonts w:eastAsia="Calibri" w:cs="Calibri" w:cstheme="minorHAnsi" w:ascii="Calibri" w:hAnsi="Calibri"/>
          <w:b/>
          <w:bCs/>
          <w:shd w:fill="auto" w:val="clear"/>
        </w:rPr>
        <w:t>Analytics &amp; Feedback Loop:</w:t>
      </w:r>
      <w:r>
        <w:rPr>
          <w:rFonts w:eastAsia="Calibri" w:cs="Calibri" w:cstheme="minorHAnsi" w:ascii="Calibri" w:hAnsi="Calibri"/>
          <w:shd w:fill="auto" w:val="clear"/>
        </w:rPr>
        <w:br/>
        <w:t>Monitor auth success rates, declines by reason, cost per txn, issuer performance, and auto</w:t>
        <w:noBreakHyphen/>
        <w:t>suggest rule optimizations.</w:t>
      </w:r>
    </w:p>
    <w:p>
      <w:pPr>
        <w:pStyle w:val="Normal"/>
        <w:numPr>
          <w:ilvl w:val="0"/>
          <w:numId w:val="2"/>
        </w:numPr>
        <w:suppressAutoHyphens w:val="true"/>
        <w:bidi w:val="0"/>
        <w:spacing w:lineRule="auto" w:line="259"/>
        <w:jc w:val="start"/>
        <w:rPr>
          <w:rFonts w:ascii="Calibri" w:hAnsi="Calibri" w:eastAsia="Calibri" w:cs="Calibri" w:asciiTheme="minorHAnsi" w:cstheme="minorHAnsi" w:hAnsiTheme="minorHAnsi"/>
          <w:highlight w:val="cyan"/>
        </w:rPr>
      </w:pPr>
      <w:r>
        <w:rPr>
          <w:rFonts w:eastAsia="Calibri" w:cs="Calibri" w:cstheme="minorHAnsi" w:ascii="Calibri" w:hAnsi="Calibri"/>
          <w:b/>
          <w:bCs/>
          <w:shd w:fill="auto" w:val="clear"/>
        </w:rPr>
        <w:t>Compliance &amp; Safety:</w:t>
      </w:r>
      <w:r>
        <w:rPr>
          <w:rFonts w:eastAsia="Calibri" w:cs="Calibri" w:cstheme="minorHAnsi" w:ascii="Calibri" w:hAnsi="Calibri"/>
          <w:shd w:fill="auto" w:val="clear"/>
        </w:rPr>
        <w:br/>
        <w:t>Respect network mandates, 3DS/SCA policies, velocity limits, and logging for audit.</w:t>
      </w:r>
    </w:p>
    <w:p>
      <w:pPr>
        <w:pStyle w:val="Normal"/>
        <w:suppressAutoHyphens w:val="true"/>
        <w:bidi w:val="0"/>
        <w:spacing w:lineRule="auto" w:line="259"/>
        <w:jc w:val="start"/>
        <w:rPr>
          <w:rFonts w:ascii="Calibri" w:hAnsi="Calibri" w:eastAsia="Calibri" w:cs="Calibri" w:asciiTheme="minorHAnsi" w:cstheme="minorHAnsi" w:hAnsiTheme="minorHAnsi"/>
          <w:b/>
          <w:bCs/>
          <w:highlight w:val="cyan"/>
        </w:rPr>
      </w:pPr>
      <w:r>
        <w:rPr>
          <w:rFonts w:eastAsia="Calibri" w:cs="Calibri" w:cstheme="minorHAnsi" w:ascii="Calibri" w:hAnsi="Calibri"/>
          <w:b/>
          <w:bCs/>
          <w:shd w:fill="auto" w:val="clear"/>
        </w:rPr>
      </w:r>
    </w:p>
    <w:p>
      <w:pPr>
        <w:pStyle w:val="Normal"/>
        <w:suppressAutoHyphens w:val="true"/>
        <w:bidi w:val="0"/>
        <w:spacing w:lineRule="auto" w:line="259"/>
        <w:jc w:val="start"/>
        <w:rPr>
          <w:rFonts w:ascii="Calibri" w:hAnsi="Calibri" w:eastAsia="Calibri" w:cs="Calibri" w:asciiTheme="minorHAnsi" w:cstheme="minorHAnsi" w:hAnsiTheme="minorHAnsi"/>
          <w:b/>
          <w:bCs/>
          <w:highlight w:val="cyan"/>
        </w:rPr>
      </w:pPr>
      <w:r>
        <w:rPr>
          <w:rFonts w:eastAsia="Calibri" w:cs="Calibri" w:cstheme="minorHAnsi" w:ascii="Calibri" w:hAnsi="Calibri"/>
          <w:b/>
          <w:bCs/>
          <w:shd w:fill="auto" w:val="clear"/>
        </w:rPr>
        <w:t xml:space="preserve">Example Rule Types </w:t>
      </w:r>
    </w:p>
    <w:p>
      <w:pPr>
        <w:pStyle w:val="Normal"/>
        <w:numPr>
          <w:ilvl w:val="0"/>
          <w:numId w:val="1"/>
        </w:numPr>
        <w:suppressAutoHyphens w:val="true"/>
        <w:bidi w:val="0"/>
        <w:spacing w:lineRule="auto" w:line="259"/>
        <w:jc w:val="start"/>
        <w:rPr>
          <w:rFonts w:ascii="Calibri" w:hAnsi="Calibri" w:eastAsia="Calibri" w:cs="Calibri" w:asciiTheme="minorHAnsi" w:cstheme="minorHAnsi" w:hAnsiTheme="minorHAnsi"/>
          <w:highlight w:val="cyan"/>
        </w:rPr>
      </w:pPr>
      <w:r>
        <w:rPr>
          <w:rFonts w:eastAsia="Calibri" w:cs="Calibri" w:cstheme="minorHAnsi" w:ascii="Calibri" w:hAnsi="Calibri"/>
          <w:b/>
          <w:bCs/>
          <w:shd w:fill="auto" w:val="clear"/>
        </w:rPr>
        <w:t>Issuer</w:t>
        <w:noBreakHyphen/>
        <w:t>based:</w:t>
      </w:r>
      <w:r>
        <w:rPr>
          <w:rFonts w:eastAsia="Calibri" w:cs="Calibri" w:cstheme="minorHAnsi" w:ascii="Calibri" w:hAnsi="Calibri"/>
          <w:shd w:fill="auto" w:val="clear"/>
        </w:rPr>
        <w:t xml:space="preserve"> Route HDFC/ICICI BINs to acquirer X; block BINs from unsupported banks.</w:t>
      </w:r>
    </w:p>
    <w:p>
      <w:pPr>
        <w:pStyle w:val="Normal"/>
        <w:numPr>
          <w:ilvl w:val="0"/>
          <w:numId w:val="1"/>
        </w:numPr>
        <w:suppressAutoHyphens w:val="true"/>
        <w:bidi w:val="0"/>
        <w:spacing w:lineRule="auto" w:line="259"/>
        <w:jc w:val="start"/>
        <w:rPr>
          <w:rFonts w:ascii="Calibri" w:hAnsi="Calibri" w:eastAsia="Calibri" w:cs="Calibri" w:asciiTheme="minorHAnsi" w:cstheme="minorHAnsi" w:hAnsiTheme="minorHAnsi"/>
          <w:highlight w:val="cyan"/>
        </w:rPr>
      </w:pPr>
      <w:r>
        <w:rPr>
          <w:rFonts w:eastAsia="Calibri" w:cs="Calibri" w:cstheme="minorHAnsi" w:ascii="Calibri" w:hAnsi="Calibri"/>
          <w:b/>
          <w:bCs/>
          <w:shd w:fill="auto" w:val="clear"/>
        </w:rPr>
        <w:t>Network</w:t>
        <w:noBreakHyphen/>
        <w:t>based:</w:t>
      </w:r>
      <w:r>
        <w:rPr>
          <w:rFonts w:eastAsia="Calibri" w:cs="Calibri" w:cstheme="minorHAnsi" w:ascii="Calibri" w:hAnsi="Calibri"/>
          <w:shd w:fill="auto" w:val="clear"/>
        </w:rPr>
        <w:t xml:space="preserve"> Send RuPay to domestic acquirer; Amex to MPGS.</w:t>
      </w:r>
    </w:p>
    <w:p>
      <w:pPr>
        <w:pStyle w:val="Normal"/>
        <w:numPr>
          <w:ilvl w:val="0"/>
          <w:numId w:val="1"/>
        </w:numPr>
        <w:suppressAutoHyphens w:val="true"/>
        <w:bidi w:val="0"/>
        <w:spacing w:lineRule="auto" w:line="259"/>
        <w:jc w:val="start"/>
        <w:rPr>
          <w:rFonts w:ascii="Calibri" w:hAnsi="Calibri" w:eastAsia="Calibri" w:cs="Calibri" w:asciiTheme="minorHAnsi" w:cstheme="minorHAnsi" w:hAnsiTheme="minorHAnsi"/>
          <w:highlight w:val="cyan"/>
        </w:rPr>
      </w:pPr>
      <w:r>
        <w:rPr>
          <w:rFonts w:eastAsia="Calibri" w:cs="Calibri" w:cstheme="minorHAnsi" w:ascii="Calibri" w:hAnsi="Calibri"/>
          <w:b/>
          <w:bCs/>
          <w:shd w:fill="auto" w:val="clear"/>
        </w:rPr>
        <w:t>Geo</w:t>
        <w:noBreakHyphen/>
        <w:t>based:</w:t>
      </w:r>
      <w:r>
        <w:rPr>
          <w:rFonts w:eastAsia="Calibri" w:cs="Calibri" w:cstheme="minorHAnsi" w:ascii="Calibri" w:hAnsi="Calibri"/>
          <w:shd w:fill="auto" w:val="clear"/>
        </w:rPr>
        <w:t xml:space="preserve"> International BINs → cross</w:t>
        <w:noBreakHyphen/>
        <w:t>border rail; restrict sanctioned geographies.</w:t>
      </w:r>
    </w:p>
    <w:p>
      <w:pPr>
        <w:pStyle w:val="Normal"/>
        <w:numPr>
          <w:ilvl w:val="0"/>
          <w:numId w:val="1"/>
        </w:numPr>
        <w:suppressAutoHyphens w:val="true"/>
        <w:bidi w:val="0"/>
        <w:spacing w:lineRule="auto" w:line="259"/>
        <w:jc w:val="start"/>
        <w:rPr>
          <w:rFonts w:ascii="Calibri" w:hAnsi="Calibri" w:eastAsia="Calibri" w:cs="Calibri" w:asciiTheme="minorHAnsi" w:cstheme="minorHAnsi" w:hAnsiTheme="minorHAnsi"/>
          <w:highlight w:val="cyan"/>
        </w:rPr>
      </w:pPr>
      <w:r>
        <w:rPr>
          <w:rFonts w:eastAsia="Calibri" w:cs="Calibri" w:cstheme="minorHAnsi" w:ascii="Calibri" w:hAnsi="Calibri"/>
          <w:b/>
          <w:bCs/>
          <w:shd w:fill="auto" w:val="clear"/>
        </w:rPr>
        <w:t>Product</w:t>
        <w:noBreakHyphen/>
        <w:t>based:</w:t>
      </w:r>
      <w:r>
        <w:rPr>
          <w:rFonts w:eastAsia="Calibri" w:cs="Calibri" w:cstheme="minorHAnsi" w:ascii="Calibri" w:hAnsi="Calibri"/>
          <w:shd w:fill="auto" w:val="clear"/>
        </w:rPr>
        <w:t xml:space="preserve"> Debit BINs → low</w:t>
        <w:noBreakHyphen/>
        <w:t>cost rail; corporate BINs → high</w:t>
        <w:noBreakHyphen/>
        <w:t>limit rail.</w:t>
      </w:r>
    </w:p>
    <w:p>
      <w:pPr>
        <w:pStyle w:val="Normal"/>
        <w:numPr>
          <w:ilvl w:val="0"/>
          <w:numId w:val="1"/>
        </w:numPr>
        <w:suppressAutoHyphens w:val="true"/>
        <w:bidi w:val="0"/>
        <w:spacing w:lineRule="auto" w:line="259"/>
        <w:jc w:val="start"/>
        <w:rPr>
          <w:rFonts w:ascii="Calibri" w:hAnsi="Calibri" w:eastAsia="Calibri" w:cs="Calibri" w:asciiTheme="minorHAnsi" w:cstheme="minorHAnsi" w:hAnsiTheme="minorHAnsi"/>
          <w:highlight w:val="cyan"/>
        </w:rPr>
      </w:pPr>
      <w:r>
        <w:rPr>
          <w:rFonts w:eastAsia="Calibri" w:cs="Calibri" w:cstheme="minorHAnsi" w:ascii="Calibri" w:hAnsi="Calibri"/>
          <w:b/>
          <w:bCs/>
          <w:shd w:fill="auto" w:val="clear"/>
        </w:rPr>
        <w:t>Risk</w:t>
        <w:noBreakHyphen/>
        <w:t>based:</w:t>
      </w:r>
      <w:r>
        <w:rPr>
          <w:rFonts w:eastAsia="Calibri" w:cs="Calibri" w:cstheme="minorHAnsi" w:ascii="Calibri" w:hAnsi="Calibri"/>
          <w:shd w:fill="auto" w:val="clear"/>
        </w:rPr>
        <w:t xml:space="preserve"> High</w:t>
        <w:noBreakHyphen/>
        <w:t>risk BIN cohort → mandatory 3DS; repeated declines → temporary block.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2751</TotalTime>
  <Application>LibreOffice/24.2.1.2$MacOSX_X86_64 LibreOffice_project/db4def46b0453cc22e2d0305797cf981b68ef5ac</Application>
  <AppVersion>15.0000</AppVersion>
  <Pages>2</Pages>
  <Words>335</Words>
  <Characters>2084</Characters>
  <CharactersWithSpaces>2399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2026-04-01T17:48:49Z</dcterms:created>
  <dc:creator/>
  <dc:description/>
  <dc:language>en-GB</dc:language>
  <cp:lastModifiedBy/>
  <dcterms:modified xsi:type="dcterms:W3CDTF">2026-04-03T15:40:19Z</dcterms:modified>
  <cp:revision>2</cp:revision>
  <dc:subject/>
  <dc:title/>
</cp:coreProperties>
</file>