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6" w:rsidRDefault="00094D56" w:rsidP="00094D56">
      <w:pPr>
        <w:spacing w:afterLines="100"/>
        <w:rPr>
          <w:rFonts w:ascii="Arial" w:eastAsia="黑体" w:hAnsi="Arial"/>
          <w:sz w:val="28"/>
          <w:szCs w:val="28"/>
        </w:rPr>
      </w:pPr>
      <w:r>
        <w:pict>
          <v:line id="直接连接符 1" o:spid="_x0000_s2050" style="position:absolute;left:0;text-align:left;z-index:251658240;visibility:visibl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" strokecolor="black [3213]" strokeweight="1pt">
            <v:stroke dashstyle="dash"/>
          </v:line>
        </w:pic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竞赛要求：</w:t>
      </w:r>
      <w:r>
        <w:rPr>
          <w:rFonts w:ascii="Arial" w:eastAsia="黑体" w:hAnsi="Arial" w:hint="eastAsia"/>
          <w:sz w:val="28"/>
          <w:szCs w:val="28"/>
        </w:rPr>
        <w:t>每个小组提交一份报告（包含计算过程及结果），并保存在本计算机的</w:t>
      </w:r>
      <w:r>
        <w:rPr>
          <w:rFonts w:ascii="Arial" w:eastAsia="黑体" w:hAnsi="Arial"/>
          <w:sz w:val="28"/>
          <w:szCs w:val="28"/>
        </w:rPr>
        <w:t>D:\GISContest</w:t>
      </w:r>
      <w:r>
        <w:rPr>
          <w:rFonts w:ascii="Arial" w:eastAsia="黑体" w:hAnsi="Arial" w:hint="eastAsia"/>
          <w:sz w:val="28"/>
          <w:szCs w:val="28"/>
        </w:rPr>
        <w:t>文件夹下。</w:t>
      </w:r>
    </w:p>
    <w:p w:rsidR="00094D56" w:rsidRDefault="00094D56" w:rsidP="00094D56">
      <w:pPr>
        <w:jc w:val="center"/>
        <w:rPr>
          <w:rFonts w:ascii="Arial" w:eastAsia="黑体" w:hAnsi="Arial"/>
          <w:sz w:val="32"/>
          <w:szCs w:val="32"/>
        </w:rPr>
      </w:pPr>
      <w:r>
        <w:rPr>
          <w:rFonts w:ascii="Arial" w:eastAsia="黑体" w:hAnsi="Arial" w:hint="eastAsia"/>
          <w:sz w:val="32"/>
          <w:szCs w:val="32"/>
        </w:rPr>
        <w:t>全国大学生</w:t>
      </w:r>
      <w:r>
        <w:rPr>
          <w:rFonts w:ascii="Arial" w:eastAsia="黑体" w:hAnsi="Arial"/>
          <w:sz w:val="32"/>
          <w:szCs w:val="32"/>
        </w:rPr>
        <w:t>GIS</w:t>
      </w:r>
      <w:r>
        <w:rPr>
          <w:rFonts w:ascii="Arial" w:eastAsia="黑体" w:hAnsi="Arial" w:hint="eastAsia"/>
          <w:sz w:val="32"/>
          <w:szCs w:val="32"/>
        </w:rPr>
        <w:t>技能大赛试题（下午）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城市用地适宜性评价是城市总体规划的一项重要前期工作。它首先对工程地质、社会经济和生态环境等要素进行单项用地适宜性评价，然后用叠加技术生成综合的用地适宜性评价结果，俗称“千层饼模式”。请根据所学的知识，用提供的数据进行建设用地适宜性评价。</w:t>
      </w:r>
    </w:p>
    <w:p w:rsidR="00094D56" w:rsidRDefault="00094D56" w:rsidP="00094D56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一、数据说明（见“</w:t>
      </w:r>
      <w:r>
        <w:rPr>
          <w:b/>
          <w:sz w:val="24"/>
          <w:szCs w:val="24"/>
        </w:rPr>
        <w:t>Data</w:t>
      </w:r>
      <w:r>
        <w:rPr>
          <w:rFonts w:hint="eastAsia"/>
          <w:b/>
          <w:sz w:val="24"/>
          <w:szCs w:val="24"/>
        </w:rPr>
        <w:t>”文件夹）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bookmarkStart w:id="0" w:name="OLE_LINK4"/>
      <w:bookmarkStart w:id="1" w:name="OLE_LINK3"/>
      <w:r>
        <w:rPr>
          <w:rFonts w:ascii="Times New Roman" w:hAnsi="Times New Roman" w:hint="eastAsia"/>
          <w:sz w:val="24"/>
          <w:szCs w:val="24"/>
        </w:rPr>
        <w:t>道路</w:t>
      </w:r>
      <w:r>
        <w:rPr>
          <w:rFonts w:ascii="Times New Roman" w:hAnsi="Times New Roman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</w:t>
      </w:r>
      <w:bookmarkEnd w:id="0"/>
      <w:bookmarkEnd w:id="1"/>
      <w:r>
        <w:rPr>
          <w:rFonts w:ascii="Times New Roman" w:hAnsi="Times New Roman" w:hint="eastAsia"/>
          <w:sz w:val="24"/>
          <w:szCs w:val="24"/>
        </w:rPr>
        <w:t>道路数据；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、工业</w:t>
      </w:r>
      <w:r>
        <w:rPr>
          <w:rFonts w:ascii="Times New Roman" w:hAnsi="Times New Roman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：工业分布数据；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、河流</w:t>
      </w:r>
      <w:r>
        <w:rPr>
          <w:rFonts w:ascii="Times New Roman" w:hAnsi="Times New Roman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：河流分布数据；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、居民点</w:t>
      </w:r>
      <w:r>
        <w:rPr>
          <w:rFonts w:ascii="Times New Roman" w:hAnsi="Times New Roman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：居民点分布数据；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、林区</w:t>
      </w:r>
      <w:r>
        <w:rPr>
          <w:rFonts w:ascii="Times New Roman" w:hAnsi="Times New Roman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：林区分布数据；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、溪流</w:t>
      </w:r>
      <w:r>
        <w:rPr>
          <w:rFonts w:ascii="Times New Roman" w:hAnsi="Times New Roman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：溪流分布数据；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、研究范围</w:t>
      </w:r>
      <w:r>
        <w:rPr>
          <w:rFonts w:ascii="Times New Roman" w:hAnsi="Times New Roman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：研究范围数据；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dem.tif</w:t>
      </w:r>
      <w:r>
        <w:rPr>
          <w:rFonts w:ascii="Times New Roman" w:hAnsi="Times New Roman" w:hint="eastAsia"/>
          <w:sz w:val="24"/>
          <w:szCs w:val="24"/>
        </w:rPr>
        <w:t>：数字高程模型数据；</w:t>
      </w:r>
    </w:p>
    <w:p w:rsidR="00094D56" w:rsidRDefault="00094D56" w:rsidP="00094D56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二、要求</w:t>
      </w:r>
    </w:p>
    <w:p w:rsidR="00094D56" w:rsidRDefault="00094D56" w:rsidP="00094D56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分析（</w:t>
      </w:r>
      <w:r>
        <w:rPr>
          <w:b/>
          <w:sz w:val="24"/>
          <w:szCs w:val="24"/>
        </w:rPr>
        <w:t>70</w:t>
      </w:r>
      <w:r>
        <w:rPr>
          <w:rFonts w:hint="eastAsia"/>
          <w:b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、用地适宜性评价因子及权重</w:t>
      </w:r>
    </w:p>
    <w:tbl>
      <w:tblPr>
        <w:tblStyle w:val="a6"/>
        <w:tblW w:w="0" w:type="auto"/>
        <w:tblInd w:w="0" w:type="dxa"/>
        <w:tblLook w:val="04A0"/>
      </w:tblPr>
      <w:tblGrid>
        <w:gridCol w:w="1704"/>
        <w:gridCol w:w="1704"/>
        <w:gridCol w:w="1704"/>
        <w:gridCol w:w="1705"/>
        <w:gridCol w:w="1705"/>
      </w:tblGrid>
      <w:tr w:rsidR="00094D56" w:rsidTr="00094D56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评价因子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权重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子因子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子因子权重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复合权重</w:t>
            </w:r>
          </w:p>
        </w:tc>
      </w:tr>
      <w:tr w:rsidR="00094D56" w:rsidTr="00094D56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交通便捷性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0.28</w:t>
            </w:r>
          </w:p>
        </w:tc>
      </w:tr>
      <w:tr w:rsidR="00094D56" w:rsidTr="00094D56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环境适宜性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滨水环境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远离工业污染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0.25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0.06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森林环境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0.07</w:t>
            </w:r>
          </w:p>
        </w:tc>
      </w:tr>
      <w:tr w:rsidR="00094D56" w:rsidTr="00094D56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城市氛围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</w:t>
            </w:r>
          </w:p>
        </w:tc>
      </w:tr>
      <w:tr w:rsidR="00094D56" w:rsidTr="00094D56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地形适宜性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地形高程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0.155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地形坡度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0.155</w:t>
            </w:r>
          </w:p>
        </w:tc>
      </w:tr>
    </w:tbl>
    <w:p w:rsidR="00094D56" w:rsidRDefault="00094D56" w:rsidP="00094D56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、交通便捷性评价标准</w:t>
      </w:r>
    </w:p>
    <w:tbl>
      <w:tblPr>
        <w:tblStyle w:val="a6"/>
        <w:tblW w:w="0" w:type="auto"/>
        <w:tblInd w:w="0" w:type="dxa"/>
        <w:tblLook w:val="04A0"/>
      </w:tblPr>
      <w:tblGrid>
        <w:gridCol w:w="1668"/>
        <w:gridCol w:w="5528"/>
        <w:gridCol w:w="1326"/>
      </w:tblGrid>
      <w:tr w:rsidR="00094D56" w:rsidTr="00094D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评价因子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分类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分级</w:t>
            </w:r>
          </w:p>
        </w:tc>
      </w:tr>
      <w:tr w:rsidR="00094D56" w:rsidTr="00094D5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交通便捷性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距离省道</w:t>
            </w:r>
            <w:r>
              <w:rPr>
                <w:rFonts w:ascii="Times New Roman" w:hAnsi="Times New Roman"/>
                <w:sz w:val="24"/>
                <w:szCs w:val="24"/>
              </w:rPr>
              <w:t>0~500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米，距离县道</w:t>
            </w:r>
            <w:r>
              <w:rPr>
                <w:rFonts w:ascii="Times New Roman" w:hAnsi="Times New Roman"/>
                <w:sz w:val="24"/>
                <w:szCs w:val="24"/>
              </w:rPr>
              <w:t>0~250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距离省道</w:t>
            </w:r>
            <w:r>
              <w:rPr>
                <w:rFonts w:ascii="Times New Roman" w:hAnsi="Times New Roman"/>
                <w:sz w:val="24"/>
                <w:szCs w:val="24"/>
              </w:rPr>
              <w:t>500~1000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米，或距离县道</w:t>
            </w:r>
            <w:r>
              <w:rPr>
                <w:rFonts w:ascii="Times New Roman" w:hAnsi="Times New Roman"/>
                <w:sz w:val="24"/>
                <w:szCs w:val="24"/>
              </w:rPr>
              <w:t>250~500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距离省道</w:t>
            </w:r>
            <w:r>
              <w:rPr>
                <w:rFonts w:ascii="Times New Roman" w:hAnsi="Times New Roman"/>
                <w:sz w:val="24"/>
                <w:szCs w:val="24"/>
              </w:rPr>
              <w:t>1000~1500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米，或距离县道</w:t>
            </w:r>
            <w:r>
              <w:rPr>
                <w:rFonts w:ascii="Times New Roman" w:hAnsi="Times New Roman"/>
                <w:sz w:val="24"/>
                <w:szCs w:val="24"/>
              </w:rPr>
              <w:t>500~1000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距离省道</w:t>
            </w:r>
            <w:r>
              <w:rPr>
                <w:rFonts w:ascii="Times New Roman" w:hAnsi="Times New Roman"/>
                <w:sz w:val="24"/>
                <w:szCs w:val="24"/>
              </w:rPr>
              <w:t>1500~3000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米，或距离省道</w:t>
            </w:r>
            <w:r>
              <w:rPr>
                <w:rFonts w:ascii="Times New Roman" w:hAnsi="Times New Roman"/>
                <w:sz w:val="24"/>
                <w:szCs w:val="24"/>
              </w:rPr>
              <w:t>1000~2000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距离省道</w:t>
            </w:r>
            <w:r>
              <w:rPr>
                <w:rFonts w:ascii="Times New Roman" w:hAnsi="Times New Roman"/>
                <w:sz w:val="24"/>
                <w:szCs w:val="24"/>
              </w:rPr>
              <w:t>3000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米以上，或距离县道</w:t>
            </w:r>
            <w:r>
              <w:rPr>
                <w:rFonts w:ascii="Times New Roman" w:hAnsi="Times New Roman"/>
                <w:sz w:val="24"/>
                <w:szCs w:val="24"/>
              </w:rPr>
              <w:t>2000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米以上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094D56" w:rsidRDefault="00094D56" w:rsidP="00094D56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、滨水环境的评价标准</w:t>
      </w:r>
    </w:p>
    <w:tbl>
      <w:tblPr>
        <w:tblStyle w:val="a6"/>
        <w:tblW w:w="0" w:type="auto"/>
        <w:tblInd w:w="0" w:type="dxa"/>
        <w:tblLook w:val="04A0"/>
      </w:tblPr>
      <w:tblGrid>
        <w:gridCol w:w="1668"/>
        <w:gridCol w:w="5528"/>
        <w:gridCol w:w="1326"/>
      </w:tblGrid>
      <w:tr w:rsidR="00094D56" w:rsidTr="00094D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评价因子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分类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分级</w:t>
            </w:r>
          </w:p>
        </w:tc>
      </w:tr>
      <w:tr w:rsidR="00094D56" w:rsidTr="00094D5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滨水环境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距离河流</w:t>
            </w:r>
            <w:r>
              <w:rPr>
                <w:rFonts w:ascii="Times New Roman" w:hAnsi="Times New Roman"/>
                <w:sz w:val="24"/>
                <w:szCs w:val="24"/>
              </w:rPr>
              <w:t>0~250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米，或距离溪流</w:t>
            </w:r>
            <w:r>
              <w:rPr>
                <w:rFonts w:ascii="Times New Roman" w:hAnsi="Times New Roman"/>
                <w:sz w:val="24"/>
                <w:szCs w:val="24"/>
              </w:rPr>
              <w:t>0~100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距离河流</w:t>
            </w:r>
            <w:r>
              <w:rPr>
                <w:rFonts w:ascii="Times New Roman" w:hAnsi="Times New Roman"/>
                <w:sz w:val="24"/>
                <w:szCs w:val="24"/>
              </w:rPr>
              <w:t>250~500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米，或距离溪流</w:t>
            </w:r>
            <w:r>
              <w:rPr>
                <w:rFonts w:ascii="Times New Roman" w:hAnsi="Times New Roman"/>
                <w:sz w:val="24"/>
                <w:szCs w:val="24"/>
              </w:rPr>
              <w:t>100~200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距离河流</w:t>
            </w:r>
            <w:r>
              <w:rPr>
                <w:rFonts w:ascii="Times New Roman" w:hAnsi="Times New Roman"/>
                <w:sz w:val="24"/>
                <w:szCs w:val="24"/>
              </w:rPr>
              <w:t>500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米以上，或距离溪流</w:t>
            </w: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米以上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094D56" w:rsidRDefault="00094D56" w:rsidP="00094D56">
      <w:pPr>
        <w:spacing w:line="360" w:lineRule="auto"/>
        <w:ind w:firstLineChars="118" w:firstLine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、远离工业污染的评价标准</w:t>
      </w:r>
    </w:p>
    <w:tbl>
      <w:tblPr>
        <w:tblStyle w:val="a6"/>
        <w:tblW w:w="0" w:type="auto"/>
        <w:tblInd w:w="0" w:type="dxa"/>
        <w:tblLook w:val="04A0"/>
      </w:tblPr>
      <w:tblGrid>
        <w:gridCol w:w="1668"/>
        <w:gridCol w:w="5528"/>
        <w:gridCol w:w="1326"/>
      </w:tblGrid>
      <w:tr w:rsidR="00094D56" w:rsidTr="00094D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评价因子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分类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分级</w:t>
            </w:r>
          </w:p>
        </w:tc>
      </w:tr>
      <w:tr w:rsidR="00094D56" w:rsidTr="00094D5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远离工业污染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距离成片工业区</w:t>
            </w:r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米以上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距离成片工业区</w:t>
            </w:r>
            <w:r>
              <w:rPr>
                <w:rFonts w:ascii="Times New Roman" w:hAnsi="Times New Roman"/>
                <w:sz w:val="24"/>
                <w:szCs w:val="24"/>
              </w:rPr>
              <w:t>200~1000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距离成片工业区</w:t>
            </w:r>
            <w:r>
              <w:rPr>
                <w:rFonts w:ascii="Times New Roman" w:hAnsi="Times New Roman"/>
                <w:sz w:val="24"/>
                <w:szCs w:val="24"/>
              </w:rPr>
              <w:t>100~200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距离成片工业区</w:t>
            </w:r>
            <w:r>
              <w:rPr>
                <w:rFonts w:ascii="Times New Roman" w:hAnsi="Times New Roman"/>
                <w:sz w:val="24"/>
                <w:szCs w:val="24"/>
              </w:rPr>
              <w:t>0~100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米，或工业区内部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094D56" w:rsidRDefault="00094D56" w:rsidP="00094D56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、森林环境评价标准</w:t>
      </w:r>
    </w:p>
    <w:tbl>
      <w:tblPr>
        <w:tblStyle w:val="a6"/>
        <w:tblW w:w="0" w:type="auto"/>
        <w:tblInd w:w="0" w:type="dxa"/>
        <w:tblLook w:val="04A0"/>
      </w:tblPr>
      <w:tblGrid>
        <w:gridCol w:w="1668"/>
        <w:gridCol w:w="5528"/>
        <w:gridCol w:w="1326"/>
      </w:tblGrid>
      <w:tr w:rsidR="00094D56" w:rsidTr="00094D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评价因子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分类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分级</w:t>
            </w:r>
          </w:p>
        </w:tc>
      </w:tr>
      <w:tr w:rsidR="00094D56" w:rsidTr="00094D5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森林环境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距离林区</w:t>
            </w:r>
            <w:r>
              <w:rPr>
                <w:rFonts w:ascii="Times New Roman" w:hAnsi="Times New Roman"/>
                <w:sz w:val="24"/>
                <w:szCs w:val="24"/>
              </w:rPr>
              <w:t>0~500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米，或林区内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距离林区</w:t>
            </w:r>
            <w:r>
              <w:rPr>
                <w:rFonts w:ascii="Times New Roman" w:hAnsi="Times New Roman"/>
                <w:sz w:val="24"/>
                <w:szCs w:val="24"/>
              </w:rPr>
              <w:t>500~1000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距离林区</w:t>
            </w:r>
            <w:r>
              <w:rPr>
                <w:rFonts w:ascii="Times New Roman" w:hAnsi="Times New Roman"/>
                <w:sz w:val="24"/>
                <w:szCs w:val="24"/>
              </w:rPr>
              <w:t>1000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米以上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094D56" w:rsidRDefault="00094D56" w:rsidP="00094D56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、城市氛围的评价标准</w:t>
      </w:r>
    </w:p>
    <w:tbl>
      <w:tblPr>
        <w:tblStyle w:val="a6"/>
        <w:tblW w:w="0" w:type="auto"/>
        <w:tblInd w:w="0" w:type="dxa"/>
        <w:tblLook w:val="04A0"/>
      </w:tblPr>
      <w:tblGrid>
        <w:gridCol w:w="1668"/>
        <w:gridCol w:w="5953"/>
        <w:gridCol w:w="901"/>
      </w:tblGrid>
      <w:tr w:rsidR="00094D56" w:rsidTr="00094D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评价因子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分类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分级</w:t>
            </w:r>
          </w:p>
        </w:tc>
      </w:tr>
      <w:tr w:rsidR="00094D56" w:rsidTr="00094D5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城市氛围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距离城镇建成区</w:t>
            </w:r>
            <w:r>
              <w:rPr>
                <w:rFonts w:ascii="Times New Roman" w:hAnsi="Times New Roman"/>
                <w:sz w:val="24"/>
                <w:szCs w:val="24"/>
              </w:rPr>
              <w:t>0~250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米，或城镇建成区范围内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距离城镇建成区</w:t>
            </w:r>
            <w:r>
              <w:rPr>
                <w:rFonts w:ascii="Times New Roman" w:hAnsi="Times New Roman"/>
                <w:sz w:val="24"/>
                <w:szCs w:val="24"/>
              </w:rPr>
              <w:t>250~500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米，或村庄范围内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距离城镇建成区</w:t>
            </w:r>
            <w:r>
              <w:rPr>
                <w:rFonts w:ascii="Times New Roman" w:hAnsi="Times New Roman"/>
                <w:sz w:val="24"/>
                <w:szCs w:val="24"/>
              </w:rPr>
              <w:t>500~1000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米，或距村庄</w:t>
            </w:r>
            <w:r>
              <w:rPr>
                <w:rFonts w:ascii="Times New Roman" w:hAnsi="Times New Roman"/>
                <w:sz w:val="24"/>
                <w:szCs w:val="24"/>
              </w:rPr>
              <w:t>0~250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距离城镇建成区</w:t>
            </w:r>
            <w:r>
              <w:rPr>
                <w:rFonts w:ascii="Times New Roman" w:hAnsi="Times New Roman"/>
                <w:sz w:val="24"/>
                <w:szCs w:val="24"/>
              </w:rPr>
              <w:t>1000~2000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米，或距村庄</w:t>
            </w:r>
            <w:r>
              <w:rPr>
                <w:rFonts w:ascii="Times New Roman" w:hAnsi="Times New Roman"/>
                <w:sz w:val="24"/>
                <w:szCs w:val="24"/>
              </w:rPr>
              <w:t>250~500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距离城镇建成区</w:t>
            </w:r>
            <w:r>
              <w:rPr>
                <w:rFonts w:ascii="Times New Roman" w:hAnsi="Times New Roman"/>
                <w:sz w:val="24"/>
                <w:szCs w:val="24"/>
              </w:rPr>
              <w:t>2000~5000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米，或距村庄</w:t>
            </w:r>
            <w:r>
              <w:rPr>
                <w:rFonts w:ascii="Times New Roman" w:hAnsi="Times New Roman"/>
                <w:sz w:val="24"/>
                <w:szCs w:val="24"/>
              </w:rPr>
              <w:t>500~5000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094D56" w:rsidRDefault="00094D56" w:rsidP="00094D56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7</w:t>
      </w:r>
      <w:r>
        <w:rPr>
          <w:rFonts w:ascii="Times New Roman" w:hAnsi="Times New Roman" w:hint="eastAsia"/>
          <w:sz w:val="24"/>
          <w:szCs w:val="24"/>
        </w:rPr>
        <w:t>、地形高程的评价标准</w:t>
      </w:r>
    </w:p>
    <w:tbl>
      <w:tblPr>
        <w:tblStyle w:val="a6"/>
        <w:tblW w:w="0" w:type="auto"/>
        <w:tblInd w:w="0" w:type="dxa"/>
        <w:tblLook w:val="04A0"/>
      </w:tblPr>
      <w:tblGrid>
        <w:gridCol w:w="1668"/>
        <w:gridCol w:w="5953"/>
        <w:gridCol w:w="901"/>
      </w:tblGrid>
      <w:tr w:rsidR="00094D56" w:rsidTr="00094D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评价因子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分类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分级</w:t>
            </w:r>
          </w:p>
        </w:tc>
      </w:tr>
      <w:tr w:rsidR="00094D56" w:rsidTr="00094D5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地形高程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高程在</w:t>
            </w:r>
            <w:r>
              <w:rPr>
                <w:rFonts w:ascii="Times New Roman" w:hAnsi="Times New Roman"/>
                <w:sz w:val="24"/>
                <w:szCs w:val="24"/>
              </w:rPr>
              <w:t>200~220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高程在</w:t>
            </w:r>
            <w:r>
              <w:rPr>
                <w:rFonts w:ascii="Times New Roman" w:hAnsi="Times New Roman"/>
                <w:sz w:val="24"/>
                <w:szCs w:val="24"/>
              </w:rPr>
              <w:t>220~240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高程在</w:t>
            </w:r>
            <w:r>
              <w:rPr>
                <w:rFonts w:ascii="Times New Roman" w:hAnsi="Times New Roman"/>
                <w:sz w:val="24"/>
                <w:szCs w:val="24"/>
              </w:rPr>
              <w:t>240~260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高程在</w:t>
            </w:r>
            <w:r>
              <w:rPr>
                <w:rFonts w:ascii="Times New Roman" w:hAnsi="Times New Roman"/>
                <w:sz w:val="24"/>
                <w:szCs w:val="24"/>
              </w:rPr>
              <w:t>260~300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高程在</w:t>
            </w:r>
            <w:r>
              <w:rPr>
                <w:rFonts w:ascii="Times New Roman" w:hAnsi="Times New Roman"/>
                <w:sz w:val="24"/>
                <w:szCs w:val="24"/>
              </w:rPr>
              <w:t>300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米以上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094D56" w:rsidRDefault="00094D56" w:rsidP="00094D56">
      <w:pPr>
        <w:spacing w:line="360" w:lineRule="auto"/>
        <w:ind w:firstLineChars="177" w:firstLine="42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、地形坡度的评价标准</w:t>
      </w:r>
    </w:p>
    <w:tbl>
      <w:tblPr>
        <w:tblStyle w:val="a6"/>
        <w:tblW w:w="0" w:type="auto"/>
        <w:tblInd w:w="0" w:type="dxa"/>
        <w:tblLook w:val="04A0"/>
      </w:tblPr>
      <w:tblGrid>
        <w:gridCol w:w="1668"/>
        <w:gridCol w:w="5953"/>
        <w:gridCol w:w="901"/>
      </w:tblGrid>
      <w:tr w:rsidR="00094D56" w:rsidTr="00094D5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评价因子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分类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分级</w:t>
            </w:r>
          </w:p>
        </w:tc>
      </w:tr>
      <w:tr w:rsidR="00094D56" w:rsidTr="00094D5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地形坡度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坡度在</w:t>
            </w:r>
            <w:r>
              <w:rPr>
                <w:rFonts w:ascii="Times New Roman" w:hAnsi="Times New Roman"/>
                <w:sz w:val="24"/>
                <w:szCs w:val="24"/>
              </w:rPr>
              <w:t>0~7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度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坡度在</w:t>
            </w:r>
            <w:r>
              <w:rPr>
                <w:rFonts w:ascii="Times New Roman" w:hAnsi="Times New Roman"/>
                <w:sz w:val="24"/>
                <w:szCs w:val="24"/>
              </w:rPr>
              <w:t>7~15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度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坡度在</w:t>
            </w:r>
            <w:r>
              <w:rPr>
                <w:rFonts w:ascii="Times New Roman" w:hAnsi="Times New Roman"/>
                <w:sz w:val="24"/>
                <w:szCs w:val="24"/>
              </w:rPr>
              <w:t>15~30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度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坡度在</w:t>
            </w:r>
            <w:r>
              <w:rPr>
                <w:rFonts w:ascii="Times New Roman" w:hAnsi="Times New Roman"/>
                <w:sz w:val="24"/>
                <w:szCs w:val="24"/>
              </w:rPr>
              <w:t>30~40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度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4D56" w:rsidTr="00094D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widowControl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坡度在</w:t>
            </w: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度以上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D56" w:rsidRDefault="00094D56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094D56" w:rsidRDefault="00094D56" w:rsidP="00094D56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开发（</w:t>
      </w:r>
      <w:r>
        <w:rPr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、根据你的解决方案，开发一个应用型</w:t>
      </w:r>
      <w:r>
        <w:rPr>
          <w:rFonts w:ascii="Times New Roman" w:hAnsi="Times New Roman"/>
          <w:sz w:val="24"/>
          <w:szCs w:val="24"/>
        </w:rPr>
        <w:t>GIS</w:t>
      </w:r>
      <w:r>
        <w:rPr>
          <w:rFonts w:ascii="Times New Roman" w:hAnsi="Times New Roman" w:hint="eastAsia"/>
          <w:sz w:val="24"/>
          <w:szCs w:val="24"/>
        </w:rPr>
        <w:t>系统，该系统需要具备以下功能：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打开地图文档功能（地图文档位于</w:t>
      </w:r>
      <w:r>
        <w:rPr>
          <w:rFonts w:ascii="Times New Roman" w:hAnsi="Times New Roman"/>
          <w:sz w:val="24"/>
          <w:szCs w:val="24"/>
        </w:rPr>
        <w:t>AirQuality</w:t>
      </w:r>
      <w:r>
        <w:rPr>
          <w:rFonts w:ascii="Times New Roman" w:hAnsi="Times New Roman" w:hint="eastAsia"/>
          <w:sz w:val="24"/>
          <w:szCs w:val="24"/>
        </w:rPr>
        <w:t>文件夹下）。（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退出程序并保存地图文档功能。（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 w:hint="eastAsia"/>
          <w:sz w:val="24"/>
          <w:szCs w:val="24"/>
        </w:rPr>
        <w:t>在地图上点击，选择一个监测站点，并显示该监测站点的属性信息。（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 w:hint="eastAsia"/>
          <w:sz w:val="24"/>
          <w:szCs w:val="24"/>
        </w:rPr>
        <w:t>在监测站点列表中选择一个监测站点后，在地图上高亮显示，缩放至该监测站点，并显示该监测站点的属性信息。（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</w:t>
      </w:r>
      <w:r>
        <w:rPr>
          <w:rFonts w:ascii="Times New Roman" w:hAnsi="Times New Roman" w:hint="eastAsia"/>
          <w:sz w:val="24"/>
          <w:szCs w:val="24"/>
        </w:rPr>
        <w:t>在地图上选择一个多边形，统计该多边形内部的监测站点内数量，并高亮显示。（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f. </w:t>
      </w:r>
      <w:r>
        <w:rPr>
          <w:rFonts w:ascii="Times New Roman" w:hAnsi="Times New Roman" w:hint="eastAsia"/>
          <w:sz w:val="24"/>
          <w:szCs w:val="24"/>
        </w:rPr>
        <w:t>将</w:t>
      </w:r>
      <w:r>
        <w:rPr>
          <w:rFonts w:ascii="Times New Roman" w:hAnsi="Times New Roman"/>
          <w:sz w:val="24"/>
          <w:szCs w:val="24"/>
        </w:rPr>
        <w:t>Excel</w:t>
      </w:r>
      <w:r>
        <w:rPr>
          <w:rFonts w:ascii="Times New Roman" w:hAnsi="Times New Roman" w:hint="eastAsia"/>
          <w:sz w:val="24"/>
          <w:szCs w:val="24"/>
        </w:rPr>
        <w:t>中的数据匹配到监测站点。（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g. </w:t>
      </w:r>
      <w:r>
        <w:rPr>
          <w:rFonts w:ascii="Times New Roman" w:hAnsi="Times New Roman" w:hint="eastAsia"/>
          <w:sz w:val="24"/>
          <w:szCs w:val="24"/>
        </w:rPr>
        <w:t>在地图上显示北京各个区县的名称。（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 </w:t>
      </w:r>
      <w:r>
        <w:rPr>
          <w:rFonts w:ascii="Times New Roman" w:hAnsi="Times New Roman" w:hint="eastAsia"/>
          <w:sz w:val="24"/>
          <w:szCs w:val="24"/>
        </w:rPr>
        <w:t>为北京各个区县匹配一个符号。（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i. </w:t>
      </w:r>
      <w:r>
        <w:rPr>
          <w:rFonts w:ascii="Times New Roman" w:hAnsi="Times New Roman" w:hint="eastAsia"/>
          <w:sz w:val="24"/>
          <w:szCs w:val="24"/>
        </w:rPr>
        <w:t>导出北京区县图层为一个新的数据。（</w:t>
      </w:r>
      <w:r>
        <w:rPr>
          <w:rFonts w:ascii="Times New Roman" w:hAnsi="Times New Roman"/>
          <w:sz w:val="24"/>
          <w:szCs w:val="24"/>
        </w:rPr>
        <w:t>3</w:t>
      </w:r>
      <w:bookmarkStart w:id="2" w:name="_GoBack"/>
      <w:bookmarkEnd w:id="2"/>
      <w:r>
        <w:rPr>
          <w:rFonts w:ascii="Times New Roman" w:hAnsi="Times New Roman" w:hint="eastAsia"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j. </w:t>
      </w:r>
      <w:r>
        <w:rPr>
          <w:rFonts w:ascii="Times New Roman" w:hAnsi="Times New Roman" w:hint="eastAsia"/>
          <w:sz w:val="24"/>
          <w:szCs w:val="24"/>
        </w:rPr>
        <w:t>在监测站点图层添加一个新站点。（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094D56" w:rsidRDefault="00094D56" w:rsidP="00094D56">
      <w:pPr>
        <w:spacing w:line="360" w:lineRule="auto"/>
        <w:ind w:firstLineChars="200" w:firstLine="48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i/>
          <w:sz w:val="24"/>
          <w:szCs w:val="24"/>
          <w:u w:val="single"/>
        </w:rPr>
        <w:t>注：需提交</w:t>
      </w:r>
      <w:r>
        <w:rPr>
          <w:rFonts w:ascii="Times New Roman" w:hAnsi="Times New Roman"/>
          <w:b/>
          <w:i/>
          <w:sz w:val="24"/>
          <w:szCs w:val="24"/>
          <w:u w:val="single"/>
        </w:rPr>
        <w:t>GIS</w:t>
      </w:r>
      <w:r>
        <w:rPr>
          <w:rFonts w:ascii="Times New Roman" w:hAnsi="Times New Roman" w:hint="eastAsia"/>
          <w:b/>
          <w:i/>
          <w:sz w:val="24"/>
          <w:szCs w:val="24"/>
          <w:u w:val="single"/>
        </w:rPr>
        <w:t>应用系统的源码文件和可执行应用程序</w:t>
      </w:r>
      <w:r>
        <w:rPr>
          <w:rFonts w:hint="eastAsia"/>
          <w:b/>
          <w:sz w:val="24"/>
        </w:rPr>
        <w:t>。</w:t>
      </w:r>
    </w:p>
    <w:p w:rsidR="00000000" w:rsidRPr="00094D56" w:rsidRDefault="00094D56"/>
    <w:sectPr w:rsidR="00000000" w:rsidRPr="0009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D56" w:rsidRDefault="00094D56" w:rsidP="00094D56">
      <w:r>
        <w:separator/>
      </w:r>
    </w:p>
  </w:endnote>
  <w:endnote w:type="continuationSeparator" w:id="1">
    <w:p w:rsidR="00094D56" w:rsidRDefault="00094D56" w:rsidP="00094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D56" w:rsidRDefault="00094D56" w:rsidP="00094D56">
      <w:r>
        <w:separator/>
      </w:r>
    </w:p>
  </w:footnote>
  <w:footnote w:type="continuationSeparator" w:id="1">
    <w:p w:rsidR="00094D56" w:rsidRDefault="00094D56" w:rsidP="00094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D21"/>
    <w:multiLevelType w:val="hybridMultilevel"/>
    <w:tmpl w:val="4DE0E39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D56"/>
    <w:rsid w:val="0009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4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4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4D56"/>
    <w:rPr>
      <w:sz w:val="18"/>
      <w:szCs w:val="18"/>
    </w:rPr>
  </w:style>
  <w:style w:type="paragraph" w:styleId="a5">
    <w:name w:val="List Paragraph"/>
    <w:basedOn w:val="a"/>
    <w:uiPriority w:val="34"/>
    <w:qFormat/>
    <w:rsid w:val="00094D56"/>
    <w:pPr>
      <w:ind w:firstLineChars="200" w:firstLine="420"/>
    </w:pPr>
  </w:style>
  <w:style w:type="table" w:styleId="a6">
    <w:name w:val="Table Grid"/>
    <w:basedOn w:val="a1"/>
    <w:uiPriority w:val="59"/>
    <w:rsid w:val="00094D5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1556</Characters>
  <Application>Microsoft Office Word</Application>
  <DocSecurity>0</DocSecurity>
  <Lines>12</Lines>
  <Paragraphs>3</Paragraphs>
  <ScaleCrop>false</ScaleCrop>
  <Company>ASir-HUI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ASir-HUI</dc:creator>
  <cp:keywords/>
  <dc:description/>
  <cp:lastModifiedBy>ASir-HUI</cp:lastModifiedBy>
  <cp:revision>2</cp:revision>
  <dcterms:created xsi:type="dcterms:W3CDTF">2016-11-04T09:55:00Z</dcterms:created>
  <dcterms:modified xsi:type="dcterms:W3CDTF">2016-11-04T09:55:00Z</dcterms:modified>
</cp:coreProperties>
</file>