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开发部分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系统需求分析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实现保护地区生态环境的目的，该系统提供从地形、植被、水体三个方面开展生态环境敏感性分析功能，通过加权计算地区的生态敏感性信息，对敏感性等级进行分类，并绘制地区的生态敏感性登记及分布专题图。另外，该系统还具备加载数据、浏览数据、查询数据等基本功能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系统设计框架及功能模块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系统框架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系统以提供数据处理和空间分析作为主要功能，基于.NET的ArcGIS Engine开发，利用ArcGIS Engine组件，以VS 2010为开发平台，采用C#编写而成，完成地图文档数据的简单处理及简单的空间分析。</w:t>
      </w:r>
    </w:p>
    <w:p>
      <w:pPr>
        <w:ind w:left="0" w:leftChars="0" w:firstLine="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67630" cy="3088005"/>
            <wp:effectExtent l="0" t="0" r="13970" b="5715"/>
            <wp:docPr id="1" name="图片 1" descr="系统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系统框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地图查看模块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（1）打开及保存地图文档。</w:t>
      </w:r>
      <w:r>
        <w:rPr>
          <w:rFonts w:hint="eastAsia"/>
          <w:sz w:val="24"/>
          <w:szCs w:val="24"/>
          <w:lang w:val="en-US" w:eastAsia="zh-CN"/>
        </w:rPr>
        <w:t>打开地图文档功能，默认打开指定路径中的文档，也可以打开其他路径中的文档；保存地图文档功能，将当前地图文档保存在原默认路径。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（2）地图导航。</w:t>
      </w:r>
      <w:r>
        <w:rPr>
          <w:rFonts w:hint="eastAsia"/>
          <w:sz w:val="24"/>
          <w:szCs w:val="24"/>
          <w:lang w:val="en-US" w:eastAsia="zh-CN"/>
        </w:rPr>
        <w:t>提供对于当前数据框内地图的放大、缩小、平移、缩放功能。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数据管理模块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 添加指定图层。提供为当前地图文档添加指定图层功能。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 导出地图。提供符号化、添加图例及标题，将地图文档当前数据框内容输出为jpg图片功能。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高级分析模块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 表面分析。提供计算图层范围内的坡度、坡向功能。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 水文分析。提供提取图层范围为内的河流线数据功能。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 欧氏距离。提供计算每个栅格到 最近河流栅格的直线距离值功能。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 重分类。提供对生态因子敏感性等级分类功能。</w:t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 加权叠加。提供对生态因子进行加权计算，获取区域生态敏感性信息功能。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开发平台及工具介绍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系统功能与实现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在本系统中，所有功能实现均由FormMain类负责。将部分方法的功能用途介绍如下：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53660" cy="3141345"/>
            <wp:effectExtent l="0" t="0" r="12700" b="13335"/>
            <wp:docPr id="2" name="图片 2" descr="方法名称及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方法名称及说明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添加区域高程模型和植被覆盖信息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3166745</wp:posOffset>
            </wp:positionH>
            <wp:positionV relativeFrom="paragraph">
              <wp:posOffset>24130</wp:posOffset>
            </wp:positionV>
            <wp:extent cx="2171065" cy="2905760"/>
            <wp:effectExtent l="0" t="0" r="8255" b="5080"/>
            <wp:wrapSquare wrapText="bothSides"/>
            <wp:docPr id="4" name="图片 4" descr="加载地图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加载地图文档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在界面布局窗口添加【添加区域高程模型和植被覆盖信息】Button控件，在FormMain类中编写此Button控件的Click事件，btn_AddData_Click(object sender, EventArgs e)。在事件中，首先利用if语句判断是否打开默认地图文档，若DialogResult为Yes，则直接打开默认地图文档，相反将调用GetFilenameFromOFG( )方法打开文件对话框读取文件。在if语句执行完毕后，将调用 LoadMxdFromFilename( )方法，用于加载*.mxd文档。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该功能实现结果如下：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80660" cy="3041650"/>
            <wp:effectExtent l="0" t="0" r="7620" b="6350"/>
            <wp:docPr id="5" name="图片 5" descr="结果1-添加区域高程模型和植被覆盖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结果1-添加区域高程模型和植被覆盖信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计算“植被覆盖”图层范围内的坡度、坡向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3387090</wp:posOffset>
            </wp:positionH>
            <wp:positionV relativeFrom="paragraph">
              <wp:posOffset>31115</wp:posOffset>
            </wp:positionV>
            <wp:extent cx="1929130" cy="4062095"/>
            <wp:effectExtent l="0" t="0" r="6350" b="6985"/>
            <wp:wrapSquare wrapText="bothSides"/>
            <wp:docPr id="6" name="图片 6" descr="计算“植被覆盖”图层范围内的坡度和坡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算“植被覆盖”图层范围内的坡度和坡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在界面布局窗口添加【计算“植被覆盖”图层范围内的坡度、坡向】Button控件，在FormMain类中编写此Button控件的Click事件，btn_AnalysisFillArr_Click(object sender, EventArgs e)。在事件中，首先调用GetLayerFromName( )方法用于获取原始DEM图层以及植被覆盖图层，之后调用ExtractByMask( )方法用于按掩膜提取研究区DEM图层数据，并调用AddRasterFromGDB( )方法将结果加载至地图数据框内。依次调用Slope( )方法与Aspect( )方法，完成表面分析中的坡度分析和坡向分析。最终调用SetLayersVisibleStatus( )方法，使得数据框只显示最终结果图层数据。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该功能实现结果如下：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7" name="图片 7" descr="结果-坡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结果-坡度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8" name="图片 8" descr="结果-坡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结果-坡向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提取“植被覆盖”图层范围内的河流线数据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在界面布局窗口添加【计算“植被覆盖”图层范围内的河流线数据】Button控件，在FormMain类中编写此Button控件的Click事件，btn_GetWater_Click(object sender, EventArgs e)。在事件中，调用与【计算“植被覆盖”图层范围内的坡度、坡向】Button控件中相同的方法来提取研究区DEM图层数据，并调用AddRasterFromGDB( )方法将结果加载至地图数据框内。调用Fill( )方法对研究区DEM数据进行填洼，之后进行水文分析提取流向和流量，调用FlowDirection( )方法进行流向分析，调用FlowAccumulation( )方法进行流量分析。根据系统要求提取“汇流临界值为1000”河流线数据，调用 ExtractByAttributes( )方法，设置关键参数为SQL语句 "Value &gt;= 1000"，完成提取河流线数据。最后调用EuclideanDistance( )方法计算河流线数据的欧氏距离，完成系统要求“计算每个栅格到最近河流栅格的直线距离值”。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08200"/>
            <wp:effectExtent l="0" t="0" r="6350" b="10160"/>
            <wp:docPr id="3" name="图片 3" descr="提取植被覆盖范围内的河流数据及河流缓冲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提取植被覆盖范围内的河流数据及河流缓冲情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该功能实现结果如下：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9" name="图片 9" descr="结果-河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结果-河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10" name="图片 10" descr="结果-河流缓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结果-河流缓冲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 生态因子敏感性等级分类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在界面布局窗口添加【生态因子敏感性等级分类】Button控件，在FormMain类中编写此Button控件的Click事件，btn_classify_Click(object sender, EventArgs e)。在事件中，调用GetLayerFromName( )方法依次获取与地形因子相关的“坡度”、“研究区DEM”、“坡向”图层，与植被因子相关的“植被覆盖”图层，与水文因子相关的“流量”、“河流缓冲”图层，之后依次调用Reclassify( )方法对所有相关图层进行重分类分析，分类指标按系统要求设置。</w:t>
      </w:r>
    </w:p>
    <w:tbl>
      <w:tblPr>
        <w:tblStyle w:val="6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843"/>
        <w:gridCol w:w="1984"/>
        <w:gridCol w:w="1560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生态因子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二级因子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 w:eastAsia="微软雅黑"/>
              </w:rPr>
            </w:pPr>
            <w:r>
              <w:rPr>
                <w:rFonts w:hint="eastAsia" w:ascii="Calibri" w:hAnsi="Calibri" w:eastAsia="微软雅黑"/>
              </w:rPr>
              <w:t>分类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 w:eastAsia="微软雅黑"/>
              </w:rPr>
            </w:pPr>
            <w:r>
              <w:rPr>
                <w:rFonts w:hint="eastAsia" w:ascii="Calibri" w:hAnsi="Calibri" w:eastAsia="微软雅黑"/>
              </w:rPr>
              <w:t>敏感性等级</w:t>
            </w:r>
          </w:p>
        </w:tc>
        <w:tc>
          <w:tcPr>
            <w:tcW w:w="1842" w:type="dxa"/>
            <w:vAlign w:val="center"/>
          </w:tcPr>
          <w:p>
            <w:pPr>
              <w:jc w:val="center"/>
              <w:rPr>
                <w:rFonts w:ascii="Calibri" w:hAnsi="Calibri" w:eastAsia="微软雅黑"/>
              </w:rPr>
            </w:pPr>
            <w:r>
              <w:rPr>
                <w:rFonts w:hint="eastAsia" w:ascii="Calibri" w:hAnsi="Calibri" w:eastAsia="微软雅黑"/>
              </w:rPr>
              <w:t>权重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地形因子</w:t>
            </w: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坡度(单位</w:t>
            </w:r>
            <w:r>
              <w:rPr>
                <w:rFonts w:ascii="微软雅黑" w:hAnsi="微软雅黑" w:eastAsia="微软雅黑"/>
              </w:rPr>
              <w:t>：度</w:t>
            </w:r>
            <w:r>
              <w:rPr>
                <w:rFonts w:hint="eastAsia" w:ascii="微软雅黑" w:hAnsi="微软雅黑" w:eastAsia="微软雅黑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&gt;</w:t>
            </w:r>
            <w:r>
              <w:rPr>
                <w:rFonts w:ascii="Calibri" w:hAnsi="Calibri"/>
              </w:rPr>
              <w:t>60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极高敏感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45-60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高</w:t>
            </w:r>
            <w:r>
              <w:rPr>
                <w:rFonts w:ascii="Calibri" w:hAnsi="Calibri"/>
              </w:rPr>
              <w:t>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  <w:r>
              <w:rPr>
                <w:rFonts w:ascii="Calibri" w:hAnsi="Calibri"/>
              </w:rPr>
              <w:t>5-45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中敏感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10-</w:t>
            </w:r>
            <w:r>
              <w:rPr>
                <w:rFonts w:ascii="Calibri" w:hAnsi="Calibri"/>
              </w:rPr>
              <w:t>25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低敏感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0-10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非</w:t>
            </w:r>
            <w:r>
              <w:rPr>
                <w:rFonts w:ascii="Calibri" w:hAnsi="Calibri"/>
              </w:rPr>
              <w:t>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高程（单位：</w:t>
            </w:r>
            <w:r>
              <w:rPr>
                <w:rFonts w:ascii="微软雅黑" w:hAnsi="微软雅黑" w:eastAsia="微软雅黑"/>
              </w:rPr>
              <w:t>米）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&gt;3000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极高</w:t>
            </w:r>
            <w:r>
              <w:rPr>
                <w:rFonts w:ascii="Calibri" w:hAnsi="Calibri"/>
              </w:rPr>
              <w:t>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2500-3000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高敏感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</w:t>
            </w:r>
            <w:r>
              <w:rPr>
                <w:rFonts w:hint="eastAsia" w:ascii="Calibri" w:hAnsi="Calibri"/>
              </w:rPr>
              <w:t>00-2500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中敏感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  <w:r>
              <w:rPr>
                <w:rFonts w:ascii="Calibri" w:hAnsi="Calibri"/>
              </w:rPr>
              <w:t>0</w:t>
            </w:r>
            <w:r>
              <w:rPr>
                <w:rFonts w:hint="eastAsia" w:ascii="Calibri" w:hAnsi="Calibri"/>
              </w:rPr>
              <w:t>00-</w:t>
            </w:r>
            <w:r>
              <w:rPr>
                <w:rFonts w:ascii="Calibri" w:hAnsi="Calibri"/>
              </w:rPr>
              <w:t>15</w:t>
            </w:r>
            <w:r>
              <w:rPr>
                <w:rFonts w:hint="eastAsia" w:ascii="Calibri" w:hAnsi="Calibri"/>
              </w:rPr>
              <w:t>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低敏感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&lt;1000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非敏感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坡向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正北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极高</w:t>
            </w:r>
            <w:r>
              <w:rPr>
                <w:rFonts w:ascii="Calibri" w:hAnsi="Calibri"/>
              </w:rPr>
              <w:t>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东北、西北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高敏感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正东、正西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中敏感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东南、西南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低敏感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平地、正南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非敏感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植被因子</w:t>
            </w: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植被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0（有植被）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高敏感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-1（裸地）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非敏感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水体因子</w:t>
            </w: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水系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  <w:r>
              <w:rPr>
                <w:rFonts w:ascii="Calibri" w:hAnsi="Calibri"/>
              </w:rPr>
              <w:t>（河流）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高敏感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（无）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非敏感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河流</w:t>
            </w:r>
            <w:r>
              <w:rPr>
                <w:rFonts w:ascii="微软雅黑" w:hAnsi="微软雅黑" w:eastAsia="微软雅黑"/>
              </w:rPr>
              <w:t>缓冲</w:t>
            </w:r>
            <w:r>
              <w:rPr>
                <w:rFonts w:hint="eastAsia" w:ascii="微软雅黑" w:hAnsi="微软雅黑" w:eastAsia="微软雅黑"/>
              </w:rPr>
              <w:t>（单位</w:t>
            </w:r>
            <w:r>
              <w:rPr>
                <w:rFonts w:ascii="微软雅黑" w:hAnsi="微软雅黑" w:eastAsia="微软雅黑"/>
              </w:rPr>
              <w:t>：米）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&gt;150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极高</w:t>
            </w:r>
            <w:r>
              <w:rPr>
                <w:rFonts w:ascii="Calibri" w:hAnsi="Calibri"/>
              </w:rPr>
              <w:t>敏感</w:t>
            </w:r>
          </w:p>
        </w:tc>
        <w:tc>
          <w:tcPr>
            <w:tcW w:w="1842" w:type="dxa"/>
            <w:vMerge w:val="restart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  <w:r>
              <w:rPr>
                <w:rFonts w:ascii="Calibri" w:hAnsi="Calibri"/>
              </w:rPr>
              <w:t>00-150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高敏感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5</w:t>
            </w:r>
            <w:r>
              <w:rPr>
                <w:rFonts w:ascii="Calibri" w:hAnsi="Calibri"/>
              </w:rPr>
              <w:t>0-100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中敏感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  <w:r>
              <w:rPr>
                <w:rFonts w:ascii="Calibri" w:hAnsi="Calibri"/>
              </w:rPr>
              <w:t>5-50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低敏感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843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&lt;</w:t>
            </w:r>
            <w:r>
              <w:rPr>
                <w:rFonts w:ascii="Calibri" w:hAnsi="Calibri"/>
              </w:rPr>
              <w:t>25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非敏感</w:t>
            </w:r>
          </w:p>
        </w:tc>
        <w:tc>
          <w:tcPr>
            <w:tcW w:w="1842" w:type="dxa"/>
            <w:vMerge w:val="continue"/>
            <w:vAlign w:val="center"/>
          </w:tcPr>
          <w:p>
            <w:pPr>
              <w:jc w:val="center"/>
              <w:rPr>
                <w:rFonts w:ascii="Calibri" w:hAnsi="Calibri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该功能实现结果如下：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21" name="图片 21" descr="结果-坡度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结果-坡度生态敏感等级化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17" name="图片 17" descr="结果-高程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结果-高程生态敏感等级化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20" name="图片 20" descr="结果-坡向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结果-坡向生态敏感等级化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14" name="图片 14" descr="结果-植被覆盖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结果-植被覆盖生态敏感等级化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18" name="图片 18" descr="结果-水系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结果-水系生态敏感等级化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19" name="图片 19" descr="结果-河流缓冲生态敏感等级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结果-河流缓冲生态敏感等级化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 加权叠加生成生态因子敏感度等级分布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在界面布局窗口添加【加权叠加生成生态因子敏感度等级分布】Button控件，在FormMain类中编写此Button控件的Click事件，btn_weightedOverlay_Click(object sender, EventArgs e)。在事件中，先调用GetLayerFromName( )方法获取参与计算的图层数据，包括已经进行重分类分析的坡度、研究区DEM、坡向、植被覆盖、水系和河流缓冲数据。之后调用WeightedOverlay类执行加权叠加分析，生成生态因子敏感度等级分布结果数据。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【生态因子敏感性等级分类】</w:t>
      </w:r>
      <w:r>
        <w:rPr>
          <w:rFonts w:hint="eastAsia"/>
          <w:sz w:val="24"/>
          <w:szCs w:val="24"/>
          <w:lang w:val="en-US" w:eastAsia="zh-CN"/>
        </w:rPr>
        <w:t>功能与【加权叠加生成生态因子敏感度等级分布】功能联系紧密，因此两项功能具体流程图如下：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2790825"/>
            <wp:effectExtent l="0" t="0" r="1905" b="13335"/>
            <wp:docPr id="22" name="图片 22" descr="生态因子敏感性等级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生态因子敏感性等级分类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该功能实现结果如下：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3030220"/>
            <wp:effectExtent l="0" t="0" r="6350" b="2540"/>
            <wp:docPr id="23" name="图片 23" descr="结果-加权叠加-生态环境敏感度等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结果-加权叠加-生态环境敏感度等级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2.4.6 输出生态敏感性等级分布专题图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在界面布局窗口添加【出图】Button控件，在FormMain类中编写此Button控件的Click事件，btn_ExportMap_Click(object sender, EventArgs e)。触发该事件后弹出“输出地图对话框”窗体，同时调用GetLayerFromName( )方法获取“生态环境敏感度等级”图层并传递至新窗体的数据框内。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2962910"/>
            <wp:effectExtent l="0" t="0" r="3810" b="8890"/>
            <wp:docPr id="24" name="图片 24" descr="结果-打开输出地图对话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结果-打开输出地图对话框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在“输出地图对话框”窗体内，依次点击“符号化”按钮、“添加地图三要素”按钮、“添加标题”按钮以实现符号渲染及地图整饰。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该功能实现结果如下：</w:t>
      </w:r>
    </w:p>
    <w:p>
      <w:pPr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58820" cy="4788535"/>
            <wp:effectExtent l="0" t="0" r="2540" b="12065"/>
            <wp:docPr id="25" name="图片 25" descr="结果-专题图渲染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结果-专题图渲染效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最后点击“输出专题图”按钮，完成输出地图功能。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46015" cy="2685415"/>
            <wp:effectExtent l="0" t="0" r="6985" b="12065"/>
            <wp:docPr id="26" name="图片 26" descr="专题图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专题图的输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259455" cy="4610100"/>
            <wp:effectExtent l="0" t="0" r="1905" b="7620"/>
            <wp:docPr id="27" name="图片 27" descr="结果-专题图输出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结果-专题图输出结果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31218"/>
    <w:rsid w:val="10B53B56"/>
    <w:rsid w:val="2CCC4615"/>
    <w:rsid w:val="2DBF4635"/>
    <w:rsid w:val="348E6EFC"/>
    <w:rsid w:val="35327A37"/>
    <w:rsid w:val="3C710BD7"/>
    <w:rsid w:val="67040D89"/>
    <w:rsid w:val="7433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ind w:firstLine="0" w:firstLineChars="0"/>
      <w:outlineLvl w:val="0"/>
    </w:pPr>
    <w:rPr>
      <w:rFonts w:ascii="宋体" w:hAnsi="宋体" w:eastAsia="宋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firstLine="0" w:firstLineChars="0"/>
      <w:outlineLvl w:val="1"/>
    </w:pPr>
    <w:rPr>
      <w:rFonts w:ascii="宋体" w:hAnsi="宋体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firstLine="0" w:firstLineChars="0"/>
      <w:outlineLvl w:val="2"/>
    </w:pPr>
    <w:rPr>
      <w:rFonts w:ascii="宋体" w:hAnsi="宋体" w:eastAsia="宋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2019-11-11T12:12:00Z</dcterms:created>
  <dc:creator>Starry</dc:creator>
  <cp:lastModifiedBy>Starry</cp:lastModifiedBy>
  <dcterms:modified xsi:type="dcterms:W3CDTF">2019-11-13T12:39:29Z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