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Applied Digital Corporation</w:t>
      </w:r>
    </w:p>
    <w:p>
      <w:pPr>
        <w:spacing w:before="20" w:after="50"/>
      </w:pPr>
      <w:r>
        <w:rPr>
          <w:rFonts w:ascii="Arial" w:cs="Arial" w:eastAsia="Arial" w:hAnsi="Arial"/>
          <w:color w:val="4A4A4A"/>
          <w:sz w:val="16"/>
          <w:szCs w:val="16"/>
        </w:rPr>
        <w:t xml:space="preserve">NASDAQ: APLD  |  </w:t>
      </w: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Price: $25.70  |  </w:t>
      </w:r>
      <w:r>
        <w:rPr>
          <w:rFonts w:ascii="Arial" w:cs="Arial" w:eastAsia="Arial" w:hAnsi="Arial"/>
          <w:color w:val="4A4A4A"/>
          <w:sz w:val="16"/>
          <w:szCs w:val="16"/>
        </w:rPr>
        <w:t xml:space="preserve">Mkt Cap: $7.5B  |  </w:t>
      </w:r>
      <w:r>
        <w:rPr>
          <w:rFonts w:ascii="Arial" w:cs="Arial" w:eastAsia="Arial" w:hAnsi="Arial"/>
          <w:color w:val="4A4A4A"/>
          <w:sz w:val="16"/>
          <w:szCs w:val="16"/>
        </w:rPr>
        <w:t xml:space="preserve">Rating: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LONG (Speculative)</w:t>
      </w:r>
      <w:r>
        <w:rPr>
          <w:rFonts w:ascii="Arial" w:cs="Arial" w:eastAsia="Arial" w:hAnsi="Arial"/>
          <w:color w:val="4A4A4A"/>
          <w:sz w:val="16"/>
          <w:szCs w:val="16"/>
        </w:rPr>
        <w:t xml:space="preserve">  |  Consensus PT: $35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INVESTMENT THESIS</w:t>
      </w:r>
    </w:p>
    <w:p>
      <w:pPr>
        <w:spacing w:before="30" w:after="3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Applied Digital is a higher-beta, more direct way to invest in the physical buildout of U.S. AI data center infrastructure than larger, diversified alternatives. </w:t>
      </w: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The company is an emerging AI infrastructure landlord developing purpose-built, power-backed data center campuses for hyperscaler and HPC workloads.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 APLD has 600 MW of contracted critical IT load across two flagship campuses (Polaris Forge 1 and 2), with ~$16B of prospective lease revenue under agreement with CoreWeave (400 MW) and an investment-grade hyperscaler (200 MW). The equity is riskier than scaled REIT peers — the company is pre-profitability, highly levered (~$5B debt post-March 2026 offering), and executing against an aggressive construction timeline. But if APLD successfully converts announced capacity into durable cash flow, the current ~$7.5B market cap dramatically undervalues the infrastructure being built. The risk/reward is asymmetric for investors willing to underwrite execution.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WHY NOW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AI infrastructure demand surge: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U.S. hyperscalers and AI companies need new data center capacity faster than the market can supply it. APLD’s power-secured, shovel-ready sites are scarce assets in a supply-constrained environment.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Polaris Forge 1 achieving milestones: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100 MW reached Ready-for-Service on schedule; the first building (ELN-02) is fully energized. A second 150 MW building is expected online in CY2026. Execution proof de-risks the thesis.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$2.15B debt financing closed (March 2026):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Senior secured notes fund Polaris Forge 2 construction (200 MW), removing near-term funding uncertainty. The hyperscaler’s right of first refusal on 800 MW of additional capacity at the same site signals expansion optionality.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Revenue inflecting: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Fiscal Q2 2026 revenue of $126.6M (+250% y/y) was driven by HPC Hosting; losses are narrowing as lease revenue begins ramping. The business is transitioning from cash-burning developer to cash-generating landlord.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INFRASTRUCTURE BUILDOUT STORY</w:t>
      </w:r>
    </w:p>
    <w:p>
      <w:pPr>
        <w:pStyle w:val="ListParagraph"/>
        <w:numPr>
          <w:ilvl w:val="0"/>
          <w:numId w:val="3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Polaris Forge 1 (Jamestown, ND):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400 MW contracted to CoreWeave (~$11B prospective lease revenue over ~15 years). 100 MW operational; 150 MW building 2 expected CY2026; 150 MW building 3 expected CY2027.</w:t>
      </w:r>
    </w:p>
    <w:p>
      <w:pPr>
        <w:pStyle w:val="ListParagraph"/>
        <w:numPr>
          <w:ilvl w:val="0"/>
          <w:numId w:val="3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Polaris Forge 2 (Harwood, ND):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200 MW leased to an investment-grade U.S. hyperscaler (~$5B prospective revenue). Groundbreaking August 2025; initial capacity expected CY2026. Hyperscaler holds ROFR on 800 MW additional.</w:t>
      </w:r>
    </w:p>
    <w:p>
      <w:pPr>
        <w:pStyle w:val="ListParagraph"/>
        <w:numPr>
          <w:ilvl w:val="0"/>
          <w:numId w:val="3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Power strategy: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Notice to proceed on a 1.2 GW dedicated power-generation project linked to APLD campuses, with a possible additional 1.2 GW option. Securing behind-the-meter power is the critical moat.</w:t>
      </w:r>
    </w:p>
    <w:p>
      <w:pPr>
        <w:pStyle w:val="ListParagraph"/>
        <w:numPr>
          <w:ilvl w:val="0"/>
          <w:numId w:val="3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Financing structure: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$2.35B secured notes (9.25%, Nov 2025) + $2.15B secured notes (6.75%, Mar 2026) + $900M preferred equity drawn. Capital-intensive but project-financed against contracted cash flows.</w:t>
      </w:r>
    </w:p>
    <w:p>
      <w:pPr>
        <w:pStyle w:val="ListParagraph"/>
        <w:numPr>
          <w:ilvl w:val="0"/>
          <w:numId w:val="3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Customer concentration: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Two customers (CoreWeave + one IG hyperscaler) represent substantially all contracted revenue. Concentration is the key risk but also reflects the quality of the counterparties.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FINANCIAL SNAPSHOT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</w:tblGrid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FQ2 2026 Revenue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$126.6M (+250% y/y)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FQ2 2026 Net Loss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($31.2M) (narrowing)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FQ2 2026 Adj. EBITDA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$20.2M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Contracted Load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600 MW (~$16B prospective rev.)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Total Debt (post-March offering)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~$5.0B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Cash (FQ2 end)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~$2.3B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Shares Outstanding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~290M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12-Mo. Analyst Consensus PT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$35 (12 analysts, Strong Buy)</w:t>
            </w:r>
          </w:p>
        </w:tc>
      </w:tr>
    </w:tbl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VALUATION: THREE SCENARIOS</w:t>
      </w:r>
    </w:p>
    <w:p>
      <w:pPr>
        <w:spacing w:before="30" w:after="30"/>
      </w:pPr>
      <w:r>
        <w:rPr>
          <w:rFonts w:ascii="Arial" w:cs="Arial" w:eastAsia="Arial" w:hAnsi="Arial"/>
          <w:color w:val="1A1A1A"/>
          <w:sz w:val="14"/>
          <w:szCs w:val="14"/>
        </w:rPr>
        <w:t xml:space="preserve">APLD does not lend itself to traditional earnings multiples (negative GAAP EPS). The relevant framework is EV/MW of contracted capacity, comparable transaction pricing, and DCF of prospective lease revenue. At ~$7.5B equity + ~$5B net debt = ~$12.5B EV on 600 MW contracted, the stock implies ~$21M/MW — below recent data center transactions ($25–$40M/MW for powered capacity). The following scenarios test the range: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000"/>
      </w:tblGrid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Implied Valuation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EV/MW Contracted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Share Price Range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Emerging AI Infra Landlord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$12–$18B EV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$20–30M/MW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$35–$55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Speculative Small-Cap Developer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$5–$8B EV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$8–13M/MW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$15–$25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Strategic Asset Platform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$18–$25B+ EV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$30–40M/MW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$55–$80+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i/>
          <w:iCs/>
          <w:color w:val="1A1A1A"/>
          <w:sz w:val="14"/>
          <w:szCs w:val="14"/>
        </w:rPr>
        <w:t xml:space="preserve">Current price (~$26) sits in the middle of the speculative-developer range, implying minimal credit for Polaris Forge 2 expansion or the 800 MW ROFR optionality.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CATALYSTS (6–12 MONTHS)</w:t>
      </w:r>
    </w:p>
    <w:p>
      <w:pPr>
        <w:pStyle w:val="ListParagraph"/>
        <w:numPr>
          <w:ilvl w:val="0"/>
          <w:numId w:val="4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Construction milestones: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Polaris Forge 1 building 2 energization (CY2026) and Polaris Forge 2 initial capacity delivery are the two most important near-term de-risking events.</w:t>
      </w:r>
    </w:p>
    <w:p>
      <w:pPr>
        <w:pStyle w:val="ListParagraph"/>
        <w:numPr>
          <w:ilvl w:val="0"/>
          <w:numId w:val="4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Additional leasing: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Conversion of the 800 MW ROFR at Polaris Forge 2, or new hyperscaler commitments at other sites, would step-change the contracted revenue base.</w:t>
      </w:r>
    </w:p>
    <w:p>
      <w:pPr>
        <w:pStyle w:val="ListParagraph"/>
        <w:numPr>
          <w:ilvl w:val="0"/>
          <w:numId w:val="4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Revenue ramp: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As lease revenue replaces one-time fit-out revenue, recurring cash flow visibility improves and the stock transitions from “developer” to “landlord” multiple.</w:t>
      </w:r>
    </w:p>
    <w:p>
      <w:pPr>
        <w:pStyle w:val="ListParagraph"/>
        <w:numPr>
          <w:ilvl w:val="0"/>
          <w:numId w:val="4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Power project execution: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Progress on the 1.2 GW generation project validates the behind-the-meter power moat and differentiates APLD from pure colocation competitors.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KEY RISKS</w:t>
      </w:r>
    </w:p>
    <w:p>
      <w:pPr>
        <w:pStyle w:val="ListParagraph"/>
        <w:numPr>
          <w:ilvl w:val="0"/>
          <w:numId w:val="5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Extreme capital intensity: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~$5B of debt on a $7.5B equity base. Debt service depends on construction timelines and lease commencement; any delay compresses equity value rapidly.</w:t>
      </w:r>
    </w:p>
    <w:p>
      <w:pPr>
        <w:pStyle w:val="ListParagraph"/>
        <w:numPr>
          <w:ilvl w:val="0"/>
          <w:numId w:val="5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Execution / construction risk: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Building multi-hundred-MW campuses on aggressive timelines in North Dakota carries weather, labor, and supply-chain risk.</w:t>
      </w:r>
    </w:p>
    <w:p>
      <w:pPr>
        <w:pStyle w:val="ListParagraph"/>
        <w:numPr>
          <w:ilvl w:val="0"/>
          <w:numId w:val="5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Customer concentration: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Two customers = all contracted revenue. CoreWeave itself carries credit risk as a recently public, high-growth company. Loss or renegotiation of either lease would be existential.</w:t>
      </w:r>
    </w:p>
    <w:p>
      <w:pPr>
        <w:pStyle w:val="ListParagraph"/>
        <w:numPr>
          <w:ilvl w:val="0"/>
          <w:numId w:val="5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Dilution risk: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Additional equity raises to fund growth beyond current financing are likely; the share count has already grown meaningfully.</w:t>
      </w:r>
    </w:p>
    <w:p>
      <w:pPr>
        <w:pStyle w:val="ListParagraph"/>
        <w:numPr>
          <w:ilvl w:val="0"/>
          <w:numId w:val="5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Demand conversion: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Announced pipeline ($12B+) and ROFR options are not firm commitments. If AI capex slows or hyperscalers consolidate with larger providers, APLD’s pipeline may not convert.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BOTTOM LINE</w:t>
      </w:r>
    </w:p>
    <w:p>
      <w:pPr>
        <w:shd w:fill="EBF0F7" w:val="clear"/>
        <w:spacing w:before="30" w:after="15"/>
      </w:pPr>
      <w:r>
        <w:rPr>
          <w:rFonts w:ascii="Arial" w:cs="Arial" w:eastAsia="Arial" w:hAnsi="Arial"/>
          <w:b/>
          <w:bCs/>
          <w:color w:val="1B2A4A"/>
          <w:sz w:val="15"/>
          <w:szCs w:val="15"/>
        </w:rPr>
        <w:t xml:space="preserve">APLD is an asymmetric bet on the physical buildout of U.S. AI data center infrastructure. 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The company is earlier-stage and riskier than scaled peers, but it owns what the market needs most: power-secured, shovel-ready AI campus capacity under long-term contract to creditworthy counterparties. At ~$21M/MW implied EV, the stock is pricing in execution risk but giving limited credit for expansion optionality (800 MW ROFR, 1.2 GW power project, $12B pipeline). The thesis is simple: if APLD delivers on construction and lease-up, the equity re-rates toward infrastructure-landlord multiples that imply $35–$55+; if it stumbles, the leverage works in reverse. Position sizing should reflect the binary nature of the setup, but for investors with conviction in U.S. AI infrastructure demand and tolerance for construction-phase volatility, APLD offers one of the most direct and highest-upside expressions of the theme available in public markets. We are long, sized appropriately.</w:t>
      </w:r>
    </w:p>
    <w:sectPr>
      <w:headerReference w:type="default" r:id="rId6"/>
      <w:footerReference w:type="default" r:id="rId7"/>
      <w:pgSz w:w="12240" w:h="15840" w:orient="portrait"/>
      <w:pgMar w:top="72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2" w:space="4"/>
      </w:pBdr>
      <w:spacing w:before="0"/>
    </w:pPr>
    <w:r>
      <w:rPr>
        <w:rFonts w:ascii="Arial" w:cs="Arial" w:eastAsia="Arial" w:hAnsi="Arial"/>
        <w:i/>
        <w:iCs/>
        <w:color w:val="4A4A4A"/>
        <w:sz w:val="12"/>
        <w:szCs w:val="12"/>
      </w:rPr>
      <w:t xml:space="preserve">For Institutional Use Only. Not investment advice. Data sourced from FactSet, company filings, and consensus estimates.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4"/>
      </w:pBdr>
      <w:tabs>
        <w:tab w:val="right" w:pos="10440"/>
      </w:tabs>
      <w:spacing w:after="0"/>
    </w:pPr>
    <w:r>
      <w:rPr>
        <w:rFonts w:ascii="Arial" w:cs="Arial" w:eastAsia="Arial" w:hAnsi="Arial"/>
        <w:b/>
        <w:bCs/>
        <w:color w:val="3D7ABF"/>
        <w:sz w:val="14"/>
        <w:szCs w:val="14"/>
      </w:rPr>
      <w:t xml:space="preserve">EQUITY RESEARCH  </w:t>
    </w:r>
    <w:r>
      <w:rPr>
        <w:rFonts w:ascii="Arial" w:cs="Arial" w:eastAsia="Arial" w:hAnsi="Arial"/>
        <w:color w:val="B0BEC5"/>
        <w:sz w:val="14"/>
        <w:szCs w:val="14"/>
      </w:rPr>
      <w:t xml:space="preserve">|  </w:t>
    </w:r>
    <w:r>
      <w:rPr>
        <w:rFonts w:ascii="Arial" w:cs="Arial" w:eastAsia="Arial" w:hAnsi="Arial"/>
        <w:color w:val="4A4A4A"/>
        <w:sz w:val="14"/>
        <w:szCs w:val="14"/>
      </w:rPr>
      <w:t xml:space="preserve">Investment Thesis Tear Sheet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4A4A4A"/>
        <w:sz w:val="14"/>
        <w:szCs w:val="14"/>
      </w:rPr>
      <w:t xml:space="preserve">March 27,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1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1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1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2026-03-28T00:09:48.971Z</dcterms:created>
  <dcterms:modified xsi:type="dcterms:W3CDTF">2026-03-28T00:09:48.972Z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