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Delta Air Lines, Inc.</w:t>
      </w:r>
    </w:p>
    <w:p>
      <w:pPr>
        <w:spacing w:before="20" w:after="60"/>
      </w:pPr>
      <w:r>
        <w:rPr>
          <w:rFonts w:ascii="Arial" w:cs="Arial" w:eastAsia="Arial" w:hAnsi="Arial"/>
          <w:color w:val="4A4A4A"/>
          <w:sz w:val="17"/>
          <w:szCs w:val="17"/>
        </w:rPr>
        <w:t xml:space="preserve">NYSE: DAL  |  </w:t>
      </w: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Price: $67.25  |  </w:t>
      </w:r>
      <w:r>
        <w:rPr>
          <w:rFonts w:ascii="Arial" w:cs="Arial" w:eastAsia="Arial" w:hAnsi="Arial"/>
          <w:color w:val="4A4A4A"/>
          <w:sz w:val="17"/>
          <w:szCs w:val="17"/>
        </w:rPr>
        <w:t xml:space="preserve">Mkt Cap: $46.3B  |  </w:t>
      </w:r>
      <w:r>
        <w:rPr>
          <w:rFonts w:ascii="Arial" w:cs="Arial" w:eastAsia="Arial" w:hAnsi="Arial"/>
          <w:color w:val="4A4A4A"/>
          <w:sz w:val="17"/>
          <w:szCs w:val="17"/>
        </w:rPr>
        <w:t xml:space="preserve">Rating: </w:t>
      </w:r>
      <w:r>
        <w:rPr>
          <w:rFonts w:ascii="Arial" w:cs="Arial" w:eastAsia="Arial" w:hAnsi="Arial"/>
          <w:b/>
          <w:bCs/>
          <w:color w:val="1B7A3D"/>
          <w:sz w:val="17"/>
          <w:szCs w:val="17"/>
        </w:rPr>
        <w:t xml:space="preserve">LONG</w:t>
      </w:r>
      <w:r>
        <w:rPr>
          <w:rFonts w:ascii="Arial" w:cs="Arial" w:eastAsia="Arial" w:hAnsi="Arial"/>
          <w:color w:val="4A4A4A"/>
          <w:sz w:val="17"/>
          <w:szCs w:val="17"/>
        </w:rPr>
        <w:t xml:space="preserve">  |  Consensus PT: $79</w:t>
      </w:r>
    </w:p>
    <w:p>
      <w:pPr>
        <w:pBdr>
          <w:bottom w:val="single" w:color="1B2A4A" w:sz="4" w:space="2"/>
        </w:pBdr>
        <w:spacing w:before="180" w:after="80"/>
      </w:pPr>
      <w:r>
        <w:rPr>
          <w:rFonts w:ascii="Arial" w:cs="Arial" w:eastAsia="Arial" w:hAnsi="Arial"/>
          <w:b/>
          <w:bCs/>
          <w:color w:val="1B2A4A"/>
          <w:sz w:val="17"/>
          <w:szCs w:val="17"/>
        </w:rPr>
        <w:t xml:space="preserve">INVESTMENT THESIS</w:t>
      </w:r>
    </w:p>
    <w:p>
      <w:pPr>
        <w:spacing w:before="40" w:after="40"/>
      </w:pPr>
      <w:r>
        <w:rPr>
          <w:rFonts w:ascii="Arial" w:cs="Arial" w:eastAsia="Arial" w:hAnsi="Arial"/>
          <w:color w:val="1A1A1A"/>
          <w:sz w:val="15"/>
          <w:szCs w:val="15"/>
        </w:rPr>
        <w:t xml:space="preserve">Delta is the highest-quality franchise in the U.S. airline sector, uniquely positioned to compound earnings as consumer discretionary spending and corporate travel normalize and expand. </w:t>
      </w:r>
      <w:r>
        <w:rPr>
          <w:rFonts w:ascii="Arial" w:cs="Arial" w:eastAsia="Arial" w:hAnsi="Arial"/>
          <w:b/>
          <w:bCs/>
          <w:color w:val="1A1A1A"/>
          <w:sz w:val="15"/>
          <w:szCs w:val="15"/>
        </w:rPr>
        <w:t xml:space="preserve">Unlike peers, Delta derives ~60% of revenue from diversified, higher-margin streams</w:t>
      </w:r>
      <w:r>
        <w:rPr>
          <w:rFonts w:ascii="Arial" w:cs="Arial" w:eastAsia="Arial" w:hAnsi="Arial"/>
          <w:color w:val="1A1A1A"/>
          <w:sz w:val="15"/>
          <w:szCs w:val="15"/>
        </w:rPr>
        <w:t xml:space="preserve"> — premium cabins, loyalty/co-brand economics, cargo, and MRO — insulating it from main-cabin pricing volatility. Its customer base skews affluent: roughly one-third of active SkyMiles members carry a co-branded American Express card, and premium cabin revenue has outpaced main cabin by ~6 percentage points. This revenue mix, combined with industry-leading operational reliability, a hub-network advantage anchored by ATL, and a loyalty flywheel generating $8.2B in annual AmEx remuneration, supports a structurally wider margin profile and more durable earnings than the stock’s ~9x forward P/E implies. The market continues to price Delta as a cyclical airline; we see it as a premium consumer-and-corporate franchise trading at a meaningful discount to intrinsic value.</w:t>
      </w:r>
    </w:p>
    <w:p>
      <w:pPr>
        <w:pBdr>
          <w:bottom w:val="single" w:color="1B2A4A" w:sz="4" w:space="2"/>
        </w:pBdr>
        <w:spacing w:before="180" w:after="80"/>
      </w:pPr>
      <w:r>
        <w:rPr>
          <w:rFonts w:ascii="Arial" w:cs="Arial" w:eastAsia="Arial" w:hAnsi="Arial"/>
          <w:b/>
          <w:bCs/>
          <w:color w:val="1B2A4A"/>
          <w:sz w:val="17"/>
          <w:szCs w:val="17"/>
        </w:rPr>
        <w:t xml:space="preserve">KEY DRIVERS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A1A1A"/>
          <w:sz w:val="15"/>
          <w:szCs w:val="15"/>
        </w:rPr>
        <w:t xml:space="preserve">Premium Revenue &amp; Mix Shift: </w:t>
      </w:r>
      <w:r>
        <w:rPr>
          <w:rFonts w:ascii="Arial" w:cs="Arial" w:eastAsia="Arial" w:hAnsi="Arial"/>
          <w:color w:val="1A1A1A"/>
          <w:sz w:val="15"/>
          <w:szCs w:val="15"/>
        </w:rPr>
        <w:t xml:space="preserve">Premium cabin, loyalty, cargo, and MRO grew 7% y/y in FY25 and now represent 60% of total revenue, driving structurally higher unit economics and margin resilience.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A1A1A"/>
          <w:sz w:val="15"/>
          <w:szCs w:val="15"/>
        </w:rPr>
        <w:t xml:space="preserve">Loyalty &amp; Co-Brand Economics: </w:t>
      </w:r>
      <w:r>
        <w:rPr>
          <w:rFonts w:ascii="Arial" w:cs="Arial" w:eastAsia="Arial" w:hAnsi="Arial"/>
          <w:color w:val="1A1A1A"/>
          <w:sz w:val="15"/>
          <w:szCs w:val="15"/>
        </w:rPr>
        <w:t xml:space="preserve">AmEx remuneration reached $8.2B in FY25 (+11% y/y), with high-single-digit growth expected in FY26 on a path toward a $10B target. This is near-100% margin revenue.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A1A1A"/>
          <w:sz w:val="15"/>
          <w:szCs w:val="15"/>
        </w:rPr>
        <w:t xml:space="preserve">Corporate Travel Recovery: </w:t>
      </w:r>
      <w:r>
        <w:rPr>
          <w:rFonts w:ascii="Arial" w:cs="Arial" w:eastAsia="Arial" w:hAnsi="Arial"/>
          <w:color w:val="1A1A1A"/>
          <w:sz w:val="15"/>
          <w:szCs w:val="15"/>
        </w:rPr>
        <w:t xml:space="preserve">Corporate sales up 10% y/y, with managed corporate bookings inflecting higher as enterprise travel budgets reset. Delta’s 15-year streak as the #1 corporate airline underpins share stability.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A1A1A"/>
          <w:sz w:val="15"/>
          <w:szCs w:val="15"/>
        </w:rPr>
        <w:t xml:space="preserve">International Demand: </w:t>
      </w:r>
      <w:r>
        <w:rPr>
          <w:rFonts w:ascii="Arial" w:cs="Arial" w:eastAsia="Arial" w:hAnsi="Arial"/>
          <w:color w:val="1A1A1A"/>
          <w:sz w:val="15"/>
          <w:szCs w:val="15"/>
        </w:rPr>
        <w:t xml:space="preserve">Transatlantic and LatAm joint ventures benefit from strong outbound U.S. leisure and inbound tourism. International revenue +6% y/y in FY25 with further capacity deployment planned.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A1A1A"/>
          <w:sz w:val="15"/>
          <w:szCs w:val="15"/>
        </w:rPr>
        <w:t xml:space="preserve">Operating Leverage: </w:t>
      </w:r>
      <w:r>
        <w:rPr>
          <w:rFonts w:ascii="Arial" w:cs="Arial" w:eastAsia="Arial" w:hAnsi="Arial"/>
          <w:color w:val="1A1A1A"/>
          <w:sz w:val="15"/>
          <w:szCs w:val="15"/>
        </w:rPr>
        <w:t xml:space="preserve">Capacity growth of ~3% in FY26 concentrated in premium seats, combined with non-fuel CASM discipline (low-single-digit growth), supports margin expansion toward the company’s long-term 11%+ EBIT margin target.</w:t>
      </w:r>
    </w:p>
    <w:p>
      <w:pPr>
        <w:pBdr>
          <w:bottom w:val="single" w:color="1B2A4A" w:sz="4" w:space="2"/>
        </w:pBdr>
        <w:spacing w:before="180" w:after="80"/>
      </w:pPr>
      <w:r>
        <w:rPr>
          <w:rFonts w:ascii="Arial" w:cs="Arial" w:eastAsia="Arial" w:hAnsi="Arial"/>
          <w:b/>
          <w:bCs/>
          <w:color w:val="1B2A4A"/>
          <w:sz w:val="17"/>
          <w:szCs w:val="17"/>
        </w:rPr>
        <w:t xml:space="preserve">FINANCIAL SNAPSHOT</w:t>
      </w:r>
    </w:p>
    <w:tbl>
      <w:tblPr>
        <w:tblW w:type="dxa" w:w="6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300"/>
      </w:tblGrid>
      <w:tr>
        <w:tc>
          <w:tcPr>
            <w:tcW w:type="dxa" w:w="3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0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/>
                <w:bCs/>
                <w:color w:val="1B2A4A"/>
                <w:sz w:val="14"/>
                <w:szCs w:val="14"/>
              </w:rPr>
              <w:t xml:space="preserve">FY2025 Revenue</w:t>
            </w:r>
          </w:p>
        </w:tc>
        <w:tc>
          <w:tcPr>
            <w:tcW w:type="dxa" w:w="3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10" w:after="10"/>
              <w:jc w:val="right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$58.3B (adj.)</w:t>
            </w:r>
          </w:p>
        </w:tc>
      </w:tr>
      <w:tr>
        <w:tc>
          <w:tcPr>
            <w:tcW w:type="dxa" w:w="3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0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/>
                <w:bCs/>
                <w:color w:val="1B2A4A"/>
                <w:sz w:val="14"/>
                <w:szCs w:val="14"/>
              </w:rPr>
              <w:t xml:space="preserve">FY2025 Adj. EPS</w:t>
            </w:r>
          </w:p>
        </w:tc>
        <w:tc>
          <w:tcPr>
            <w:tcW w:type="dxa" w:w="3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10" w:after="10"/>
              <w:jc w:val="right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$5.82</w:t>
            </w:r>
          </w:p>
        </w:tc>
      </w:tr>
      <w:tr>
        <w:tc>
          <w:tcPr>
            <w:tcW w:type="dxa" w:w="3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0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/>
                <w:bCs/>
                <w:color w:val="1B2A4A"/>
                <w:sz w:val="14"/>
                <w:szCs w:val="14"/>
              </w:rPr>
              <w:t xml:space="preserve">FY2026E EPS (Cons.)</w:t>
            </w:r>
          </w:p>
        </w:tc>
        <w:tc>
          <w:tcPr>
            <w:tcW w:type="dxa" w:w="3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10" w:after="10"/>
              <w:jc w:val="right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$7.20 (+24% y/y)</w:t>
            </w:r>
          </w:p>
        </w:tc>
      </w:tr>
      <w:tr>
        <w:tc>
          <w:tcPr>
            <w:tcW w:type="dxa" w:w="3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0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/>
                <w:bCs/>
                <w:color w:val="1B2A4A"/>
                <w:sz w:val="14"/>
                <w:szCs w:val="14"/>
              </w:rPr>
              <w:t xml:space="preserve">FY2025 FCF</w:t>
            </w:r>
          </w:p>
        </w:tc>
        <w:tc>
          <w:tcPr>
            <w:tcW w:type="dxa" w:w="3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10" w:after="10"/>
              <w:jc w:val="right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$4.6B (record)</w:t>
            </w:r>
          </w:p>
        </w:tc>
      </w:tr>
      <w:tr>
        <w:tc>
          <w:tcPr>
            <w:tcW w:type="dxa" w:w="3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0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/>
                <w:bCs/>
                <w:color w:val="1B2A4A"/>
                <w:sz w:val="14"/>
                <w:szCs w:val="14"/>
              </w:rPr>
              <w:t xml:space="preserve">Adj. EBIT Margin</w:t>
            </w:r>
          </w:p>
        </w:tc>
        <w:tc>
          <w:tcPr>
            <w:tcW w:type="dxa" w:w="3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10" w:after="10"/>
              <w:jc w:val="right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10.0%</w:t>
            </w:r>
          </w:p>
        </w:tc>
      </w:tr>
      <w:tr>
        <w:tc>
          <w:tcPr>
            <w:tcW w:type="dxa" w:w="3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0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/>
                <w:bCs/>
                <w:color w:val="1B2A4A"/>
                <w:sz w:val="14"/>
                <w:szCs w:val="14"/>
              </w:rPr>
              <w:t xml:space="preserve">ROIC</w:t>
            </w:r>
          </w:p>
        </w:tc>
        <w:tc>
          <w:tcPr>
            <w:tcW w:type="dxa" w:w="3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10" w:after="10"/>
              <w:jc w:val="right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12.0%</w:t>
            </w:r>
          </w:p>
        </w:tc>
      </w:tr>
      <w:tr>
        <w:tc>
          <w:tcPr>
            <w:tcW w:type="dxa" w:w="3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0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/>
                <w:bCs/>
                <w:color w:val="1B2A4A"/>
                <w:sz w:val="14"/>
                <w:szCs w:val="14"/>
              </w:rPr>
              <w:t xml:space="preserve">Adj. Net Debt</w:t>
            </w:r>
          </w:p>
        </w:tc>
        <w:tc>
          <w:tcPr>
            <w:tcW w:type="dxa" w:w="3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10" w:after="10"/>
              <w:jc w:val="right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$14.3B</w:t>
            </w:r>
          </w:p>
        </w:tc>
      </w:tr>
      <w:tr>
        <w:tc>
          <w:tcPr>
            <w:tcW w:type="dxa" w:w="3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0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/>
                <w:bCs/>
                <w:color w:val="1B2A4A"/>
                <w:sz w:val="14"/>
                <w:szCs w:val="14"/>
              </w:rPr>
              <w:t xml:space="preserve">Leverage (Debt/EBITDAR)</w:t>
            </w:r>
          </w:p>
        </w:tc>
        <w:tc>
          <w:tcPr>
            <w:tcW w:type="dxa" w:w="3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10" w:after="10"/>
              <w:jc w:val="right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2.4x</w:t>
            </w:r>
          </w:p>
        </w:tc>
      </w:tr>
    </w:tbl>
    <w:p>
      <w:pPr>
        <w:pBdr>
          <w:bottom w:val="single" w:color="1B2A4A" w:sz="4" w:space="2"/>
        </w:pBdr>
        <w:spacing w:before="180" w:after="80"/>
      </w:pPr>
      <w:r>
        <w:rPr>
          <w:rFonts w:ascii="Arial" w:cs="Arial" w:eastAsia="Arial" w:hAnsi="Arial"/>
          <w:b/>
          <w:bCs/>
          <w:color w:val="1B2A4A"/>
          <w:sz w:val="17"/>
          <w:szCs w:val="17"/>
        </w:rPr>
        <w:t xml:space="preserve">VALUATION &amp; PEER COMPARISON</w:t>
      </w:r>
    </w:p>
    <w:p>
      <w:pPr>
        <w:spacing w:before="40" w:after="60"/>
      </w:pPr>
      <w:r>
        <w:rPr>
          <w:rFonts w:ascii="Arial" w:cs="Arial" w:eastAsia="Arial" w:hAnsi="Arial"/>
          <w:color w:val="1A1A1A"/>
          <w:sz w:val="15"/>
          <w:szCs w:val="15"/>
        </w:rPr>
        <w:t xml:space="preserve">At ~9.3x FY26E EPS and ~8.7x TTM EV/EBITDA, Delta trades roughly in line with legacy peers but at a premium to its own 3-year average P/E of ~8x. We believe this premium is justified — and insufficient — given Delta’s superior margin profile, FCF generation, and earnings durability. A re-rating toward 10–11x forward earnings, consistent with the stock’s 5-year average, implies $72–$79 on consensus EPS, with upside to $85+ on management’s high-end guidance.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80"/>
        <w:gridCol w:w="1380"/>
        <w:gridCol w:w="1380"/>
        <w:gridCol w:w="1380"/>
        <w:gridCol w:w="1380"/>
      </w:tblGrid>
      <w:tr>
        <w:tc>
          <w:tcPr>
            <w:tcW w:type="dxa" w:w="1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2A4A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10" w:after="1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1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2A4A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10" w:after="1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DAL</w:t>
            </w:r>
          </w:p>
        </w:tc>
        <w:tc>
          <w:tcPr>
            <w:tcW w:type="dxa" w:w="1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2A4A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10" w:after="1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UAL</w:t>
            </w:r>
          </w:p>
        </w:tc>
        <w:tc>
          <w:tcPr>
            <w:tcW w:type="dxa" w:w="1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2A4A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10" w:after="1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AAL</w:t>
            </w:r>
          </w:p>
        </w:tc>
        <w:tc>
          <w:tcPr>
            <w:tcW w:type="dxa" w:w="1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2A4A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10" w:after="1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LUV</w:t>
            </w:r>
          </w:p>
        </w:tc>
        <w:tc>
          <w:tcPr>
            <w:tcW w:type="dxa" w:w="1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2A4A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10" w:after="1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ALK</w:t>
            </w:r>
          </w:p>
        </w:tc>
      </w:tr>
      <w:tr>
        <w:tc>
          <w:tcPr>
            <w:tcW w:type="dxa" w:w="1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10" w:after="1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Market Cap ($B)</w:t>
            </w:r>
          </w:p>
        </w:tc>
        <w:tc>
          <w:tcPr>
            <w:tcW w:type="dxa" w:w="1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10" w:after="1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$46.3</w:t>
            </w:r>
          </w:p>
        </w:tc>
        <w:tc>
          <w:tcPr>
            <w:tcW w:type="dxa" w:w="1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10" w:after="1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$36.9</w:t>
            </w:r>
          </w:p>
        </w:tc>
        <w:tc>
          <w:tcPr>
            <w:tcW w:type="dxa" w:w="1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10" w:after="1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$10.2</w:t>
            </w:r>
          </w:p>
        </w:tc>
        <w:tc>
          <w:tcPr>
            <w:tcW w:type="dxa" w:w="1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10" w:after="1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$21.7</w:t>
            </w:r>
          </w:p>
        </w:tc>
        <w:tc>
          <w:tcPr>
            <w:tcW w:type="dxa" w:w="1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10" w:after="1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$6.0</w:t>
            </w:r>
          </w:p>
        </w:tc>
      </w:tr>
      <w:tr>
        <w:tc>
          <w:tcPr>
            <w:tcW w:type="dxa" w:w="1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10" w:after="1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Fwd P/E</w:t>
            </w:r>
          </w:p>
        </w:tc>
        <w:tc>
          <w:tcPr>
            <w:tcW w:type="dxa" w:w="1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10" w:after="1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~9.3x</w:t>
            </w:r>
          </w:p>
        </w:tc>
        <w:tc>
          <w:tcPr>
            <w:tcW w:type="dxa" w:w="1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10" w:after="1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~8.5x</w:t>
            </w:r>
          </w:p>
        </w:tc>
        <w:tc>
          <w:tcPr>
            <w:tcW w:type="dxa" w:w="1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10" w:after="1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~7.1x</w:t>
            </w:r>
          </w:p>
        </w:tc>
        <w:tc>
          <w:tcPr>
            <w:tcW w:type="dxa" w:w="1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10" w:after="1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~13.1x</w:t>
            </w:r>
          </w:p>
        </w:tc>
        <w:tc>
          <w:tcPr>
            <w:tcW w:type="dxa" w:w="1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10" w:after="1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N/M</w:t>
            </w:r>
          </w:p>
        </w:tc>
      </w:tr>
      <w:tr>
        <w:tc>
          <w:tcPr>
            <w:tcW w:type="dxa" w:w="1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10" w:after="1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EV/EBITDA (TTM)</w:t>
            </w:r>
          </w:p>
        </w:tc>
        <w:tc>
          <w:tcPr>
            <w:tcW w:type="dxa" w:w="1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10" w:after="1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8.7x</w:t>
            </w:r>
          </w:p>
        </w:tc>
        <w:tc>
          <w:tcPr>
            <w:tcW w:type="dxa" w:w="1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10" w:after="1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10.0x</w:t>
            </w:r>
          </w:p>
        </w:tc>
        <w:tc>
          <w:tcPr>
            <w:tcW w:type="dxa" w:w="1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10" w:after="1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8.0x</w:t>
            </w:r>
          </w:p>
        </w:tc>
        <w:tc>
          <w:tcPr>
            <w:tcW w:type="dxa" w:w="1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10" w:after="1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~18x</w:t>
            </w:r>
          </w:p>
        </w:tc>
        <w:tc>
          <w:tcPr>
            <w:tcW w:type="dxa" w:w="1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10" w:after="1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~12x</w:t>
            </w:r>
          </w:p>
        </w:tc>
      </w:tr>
      <w:tr>
        <w:tc>
          <w:tcPr>
            <w:tcW w:type="dxa" w:w="1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10" w:after="1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EBIT Margin (FY25)</w:t>
            </w:r>
          </w:p>
        </w:tc>
        <w:tc>
          <w:tcPr>
            <w:tcW w:type="dxa" w:w="1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10" w:after="1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10.0%</w:t>
            </w:r>
          </w:p>
        </w:tc>
        <w:tc>
          <w:tcPr>
            <w:tcW w:type="dxa" w:w="1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10" w:after="1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~9.0%</w:t>
            </w:r>
          </w:p>
        </w:tc>
        <w:tc>
          <w:tcPr>
            <w:tcW w:type="dxa" w:w="1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10" w:after="1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~5.5%</w:t>
            </w:r>
          </w:p>
        </w:tc>
        <w:tc>
          <w:tcPr>
            <w:tcW w:type="dxa" w:w="1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10" w:after="1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~1.5%</w:t>
            </w:r>
          </w:p>
        </w:tc>
        <w:tc>
          <w:tcPr>
            <w:tcW w:type="dxa" w:w="1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10" w:after="1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~6.0%</w:t>
            </w:r>
          </w:p>
        </w:tc>
      </w:tr>
      <w:tr>
        <w:tc>
          <w:tcPr>
            <w:tcW w:type="dxa" w:w="1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10" w:after="1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FCF Yield (TTM)</w:t>
            </w:r>
          </w:p>
        </w:tc>
        <w:tc>
          <w:tcPr>
            <w:tcW w:type="dxa" w:w="1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10" w:after="1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~6.9%</w:t>
            </w:r>
          </w:p>
        </w:tc>
        <w:tc>
          <w:tcPr>
            <w:tcW w:type="dxa" w:w="1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10" w:after="1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~4.5%</w:t>
            </w:r>
          </w:p>
        </w:tc>
        <w:tc>
          <w:tcPr>
            <w:tcW w:type="dxa" w:w="1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10" w:after="1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~1.5%</w:t>
            </w:r>
          </w:p>
        </w:tc>
        <w:tc>
          <w:tcPr>
            <w:tcW w:type="dxa" w:w="1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10" w:after="1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Neg.</w:t>
            </w:r>
          </w:p>
        </w:tc>
        <w:tc>
          <w:tcPr>
            <w:tcW w:type="dxa" w:w="1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10" w:after="1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~2.0%</w:t>
            </w:r>
          </w:p>
        </w:tc>
      </w:tr>
      <w:tr>
        <w:tc>
          <w:tcPr>
            <w:tcW w:type="dxa" w:w="1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10" w:after="1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ROIC (FY25)</w:t>
            </w:r>
          </w:p>
        </w:tc>
        <w:tc>
          <w:tcPr>
            <w:tcW w:type="dxa" w:w="1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10" w:after="1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12.0%</w:t>
            </w:r>
          </w:p>
        </w:tc>
        <w:tc>
          <w:tcPr>
            <w:tcW w:type="dxa" w:w="1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10" w:after="1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~11%</w:t>
            </w:r>
          </w:p>
        </w:tc>
        <w:tc>
          <w:tcPr>
            <w:tcW w:type="dxa" w:w="1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10" w:after="1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~4%</w:t>
            </w:r>
          </w:p>
        </w:tc>
        <w:tc>
          <w:tcPr>
            <w:tcW w:type="dxa" w:w="1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10" w:after="1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~3.6%</w:t>
            </w:r>
          </w:p>
        </w:tc>
        <w:tc>
          <w:tcPr>
            <w:tcW w:type="dxa" w:w="1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10" w:after="1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~5%</w:t>
            </w:r>
          </w:p>
        </w:tc>
      </w:tr>
    </w:tbl>
    <w:p>
      <w:pPr>
        <w:pBdr>
          <w:bottom w:val="single" w:color="1B2A4A" w:sz="4" w:space="2"/>
        </w:pBdr>
        <w:spacing w:before="180" w:after="80"/>
      </w:pPr>
      <w:r>
        <w:rPr>
          <w:rFonts w:ascii="Arial" w:cs="Arial" w:eastAsia="Arial" w:hAnsi="Arial"/>
          <w:b/>
          <w:bCs/>
          <w:color w:val="1B2A4A"/>
          <w:sz w:val="17"/>
          <w:szCs w:val="17"/>
        </w:rPr>
        <w:t xml:space="preserve">CATALYSTS (6–12 MONTHS)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b/>
          <w:bCs/>
          <w:color w:val="1A1A1A"/>
          <w:sz w:val="15"/>
          <w:szCs w:val="15"/>
        </w:rPr>
        <w:t xml:space="preserve">Q1 2026 earnings (April 15): </w:t>
      </w:r>
      <w:r>
        <w:rPr>
          <w:rFonts w:ascii="Arial" w:cs="Arial" w:eastAsia="Arial" w:hAnsi="Arial"/>
          <w:color w:val="1A1A1A"/>
          <w:sz w:val="15"/>
          <w:szCs w:val="15"/>
        </w:rPr>
        <w:t xml:space="preserve">Revenue guided +5–7% y/y; Q1 EPS consensus ~$0.70, well above prior-year; a beat could accelerate re-rating.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b/>
          <w:bCs/>
          <w:color w:val="1A1A1A"/>
          <w:sz w:val="15"/>
          <w:szCs w:val="15"/>
        </w:rPr>
        <w:t xml:space="preserve">FY26 EPS trajectory: </w:t>
      </w:r>
      <w:r>
        <w:rPr>
          <w:rFonts w:ascii="Arial" w:cs="Arial" w:eastAsia="Arial" w:hAnsi="Arial"/>
          <w:color w:val="1A1A1A"/>
          <w:sz w:val="15"/>
          <w:szCs w:val="15"/>
        </w:rPr>
        <w:t xml:space="preserve">Management guides $6.50–$7.50 (~20% growth); consensus $7.20 leaves room for upward revisions if premium demand holds.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b/>
          <w:bCs/>
          <w:color w:val="1A1A1A"/>
          <w:sz w:val="15"/>
          <w:szCs w:val="15"/>
        </w:rPr>
        <w:t xml:space="preserve">Capital return pivot: </w:t>
      </w:r>
      <w:r>
        <w:rPr>
          <w:rFonts w:ascii="Arial" w:cs="Arial" w:eastAsia="Arial" w:hAnsi="Arial"/>
          <w:color w:val="1A1A1A"/>
          <w:sz w:val="15"/>
          <w:szCs w:val="15"/>
        </w:rPr>
        <w:t xml:space="preserve">With leverage approaching 2.0x target, a dividend increase or share buyback announcement is increasingly likely in 2H26.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b/>
          <w:bCs/>
          <w:color w:val="1A1A1A"/>
          <w:sz w:val="15"/>
          <w:szCs w:val="15"/>
        </w:rPr>
        <w:t xml:space="preserve">Fuel tailwind: </w:t>
      </w:r>
      <w:r>
        <w:rPr>
          <w:rFonts w:ascii="Arial" w:cs="Arial" w:eastAsia="Arial" w:hAnsi="Arial"/>
          <w:color w:val="1A1A1A"/>
          <w:sz w:val="15"/>
          <w:szCs w:val="15"/>
        </w:rPr>
        <w:t xml:space="preserve">Jet fuel normalization or price declines would flow directly to margins given Delta’s refinery hedge and operating leverage.</w:t>
      </w:r>
    </w:p>
    <w:p>
      <w:pPr>
        <w:pBdr>
          <w:bottom w:val="single" w:color="1B2A4A" w:sz="4" w:space="2"/>
        </w:pBdr>
        <w:spacing w:before="180" w:after="80"/>
      </w:pPr>
      <w:r>
        <w:rPr>
          <w:rFonts w:ascii="Arial" w:cs="Arial" w:eastAsia="Arial" w:hAnsi="Arial"/>
          <w:b/>
          <w:bCs/>
          <w:color w:val="1B2A4A"/>
          <w:sz w:val="17"/>
          <w:szCs w:val="17"/>
        </w:rPr>
        <w:t xml:space="preserve">KEY RISKS</w:t>
      </w:r>
    </w:p>
    <w:p>
      <w:pPr>
        <w:pStyle w:val="ListParagraph"/>
        <w:numPr>
          <w:ilvl w:val="0"/>
          <w:numId w:val="4"/>
        </w:numPr>
        <w:spacing w:before="20" w:after="20"/>
      </w:pPr>
      <w:r>
        <w:rPr>
          <w:rFonts w:ascii="Arial" w:cs="Arial" w:eastAsia="Arial" w:hAnsi="Arial"/>
          <w:b/>
          <w:bCs/>
          <w:color w:val="1A1A1A"/>
          <w:sz w:val="15"/>
          <w:szCs w:val="15"/>
        </w:rPr>
        <w:t xml:space="preserve">Macro/Consumer Slowdown: </w:t>
      </w:r>
      <w:r>
        <w:rPr>
          <w:rFonts w:ascii="Arial" w:cs="Arial" w:eastAsia="Arial" w:hAnsi="Arial"/>
          <w:color w:val="1A1A1A"/>
          <w:sz w:val="15"/>
          <w:szCs w:val="15"/>
        </w:rPr>
        <w:t xml:space="preserve">A recession or pullback in high-income discretionary spending would pressure premium cabin yields and corporate travel volumes.</w:t>
      </w:r>
    </w:p>
    <w:p>
      <w:pPr>
        <w:pStyle w:val="ListParagraph"/>
        <w:numPr>
          <w:ilvl w:val="0"/>
          <w:numId w:val="4"/>
        </w:numPr>
        <w:spacing w:before="20" w:after="20"/>
      </w:pPr>
      <w:r>
        <w:rPr>
          <w:rFonts w:ascii="Arial" w:cs="Arial" w:eastAsia="Arial" w:hAnsi="Arial"/>
          <w:b/>
          <w:bCs/>
          <w:color w:val="1A1A1A"/>
          <w:sz w:val="15"/>
          <w:szCs w:val="15"/>
        </w:rPr>
        <w:t xml:space="preserve">Fuel Spike: </w:t>
      </w:r>
      <w:r>
        <w:rPr>
          <w:rFonts w:ascii="Arial" w:cs="Arial" w:eastAsia="Arial" w:hAnsi="Arial"/>
          <w:color w:val="1A1A1A"/>
          <w:sz w:val="15"/>
          <w:szCs w:val="15"/>
        </w:rPr>
        <w:t xml:space="preserve">Sustained oil above $100/bbl would compress margins despite refinery offset; recent Middle East tensions have tested this scenario.</w:t>
      </w:r>
    </w:p>
    <w:p>
      <w:pPr>
        <w:pStyle w:val="ListParagraph"/>
        <w:numPr>
          <w:ilvl w:val="0"/>
          <w:numId w:val="4"/>
        </w:numPr>
        <w:spacing w:before="20" w:after="20"/>
      </w:pPr>
      <w:r>
        <w:rPr>
          <w:rFonts w:ascii="Arial" w:cs="Arial" w:eastAsia="Arial" w:hAnsi="Arial"/>
          <w:b/>
          <w:bCs/>
          <w:color w:val="1A1A1A"/>
          <w:sz w:val="15"/>
          <w:szCs w:val="15"/>
        </w:rPr>
        <w:t xml:space="preserve">Regulatory / Credit Card Legislation: </w:t>
      </w:r>
      <w:r>
        <w:rPr>
          <w:rFonts w:ascii="Arial" w:cs="Arial" w:eastAsia="Arial" w:hAnsi="Arial"/>
          <w:color w:val="1A1A1A"/>
          <w:sz w:val="15"/>
          <w:szCs w:val="15"/>
        </w:rPr>
        <w:t xml:space="preserve">Proposed interchange fee caps or loyalty program regulation could impair the high-margin co-brand economics central to the thesis.</w:t>
      </w:r>
    </w:p>
    <w:p>
      <w:pPr>
        <w:pStyle w:val="ListParagraph"/>
        <w:numPr>
          <w:ilvl w:val="0"/>
          <w:numId w:val="4"/>
        </w:numPr>
        <w:spacing w:before="20" w:after="20"/>
      </w:pPr>
      <w:r>
        <w:rPr>
          <w:rFonts w:ascii="Arial" w:cs="Arial" w:eastAsia="Arial" w:hAnsi="Arial"/>
          <w:b/>
          <w:bCs/>
          <w:color w:val="1A1A1A"/>
          <w:sz w:val="15"/>
          <w:szCs w:val="15"/>
        </w:rPr>
        <w:t xml:space="preserve">Capacity Discipline Breakdown: </w:t>
      </w:r>
      <w:r>
        <w:rPr>
          <w:rFonts w:ascii="Arial" w:cs="Arial" w:eastAsia="Arial" w:hAnsi="Arial"/>
          <w:color w:val="1A1A1A"/>
          <w:sz w:val="15"/>
          <w:szCs w:val="15"/>
        </w:rPr>
        <w:t xml:space="preserve">If low-cost carriers or peers add aggressive capacity, industry-wide RASM could deteriorate, particularly in the domestic main cabin.</w:t>
      </w:r>
    </w:p>
    <w:p>
      <w:pPr>
        <w:pBdr>
          <w:bottom w:val="single" w:color="1B2A4A" w:sz="4" w:space="2"/>
        </w:pBdr>
        <w:spacing w:before="180" w:after="80"/>
      </w:pPr>
      <w:r>
        <w:rPr>
          <w:rFonts w:ascii="Arial" w:cs="Arial" w:eastAsia="Arial" w:hAnsi="Arial"/>
          <w:b/>
          <w:bCs/>
          <w:color w:val="1B2A4A"/>
          <w:sz w:val="17"/>
          <w:szCs w:val="17"/>
        </w:rPr>
        <w:t xml:space="preserve">CONCLUSION</w:t>
      </w:r>
    </w:p>
    <w:p>
      <w:pPr>
        <w:shd w:fill="EBF0F7" w:val="clear"/>
        <w:spacing w:before="40" w:after="20"/>
      </w:pPr>
      <w:r>
        <w:rPr>
          <w:rFonts w:ascii="Arial" w:cs="Arial" w:eastAsia="Arial" w:hAnsi="Arial"/>
          <w:b/>
          <w:bCs/>
          <w:color w:val="1B2A4A"/>
          <w:sz w:val="15"/>
          <w:szCs w:val="15"/>
        </w:rPr>
        <w:t xml:space="preserve">We are long DAL with high conviction. </w:t>
      </w:r>
      <w:r>
        <w:rPr>
          <w:rFonts w:ascii="Arial" w:cs="Arial" w:eastAsia="Arial" w:hAnsi="Arial"/>
          <w:color w:val="1A1A1A"/>
          <w:sz w:val="15"/>
          <w:szCs w:val="15"/>
        </w:rPr>
        <w:t xml:space="preserve">Delta’s premium product mix, loyalty economics, and corporate travel exposure position it to deliver ~20% EPS growth in FY26 while generating $3–$4B of free cash flow. The stock trades at a significant discount to its earnings quality and to the broader market, offering asymmetric upside if the market re-rates the franchise from “airline” to “premium consumer platform.” Near-term catalysts — Q1 earnings, capital return announcements, and continued AmEx partnership momentum — provide multiple paths to re-rating within a 6–12 month horizon. The principal risk is a macro-driven demand shock that compresses the premium-to-main-cabin revenue gap on which the thesis depends.</w:t>
      </w:r>
    </w:p>
    <w:sectPr>
      <w:headerReference w:type="default" r:id="rId6"/>
      <w:footerReference w:type="default" r:id="rId7"/>
      <w:pgSz w:w="12240" w:h="15840" w:orient="portrait"/>
      <w:pgMar w:top="720" w:right="900" w:bottom="6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0BEC5" w:sz="2" w:space="4"/>
      </w:pBdr>
      <w:spacing w:before="0"/>
    </w:pPr>
    <w:r>
      <w:rPr>
        <w:rFonts w:ascii="Arial" w:cs="Arial" w:eastAsia="Arial" w:hAnsi="Arial"/>
        <w:i/>
        <w:iCs/>
        <w:color w:val="4A4A4A"/>
        <w:sz w:val="12"/>
        <w:szCs w:val="12"/>
      </w:rPr>
      <w:t xml:space="preserve">For Institutional Use Only. Not investment advice. Data sourced from FactSet, company filings, and consensus estimates.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2A4A" w:sz="6" w:space="4"/>
      </w:pBdr>
      <w:tabs>
        <w:tab w:val="right" w:pos="10440"/>
      </w:tabs>
      <w:spacing w:after="0"/>
    </w:pPr>
    <w:r>
      <w:rPr>
        <w:rFonts w:ascii="Arial" w:cs="Arial" w:eastAsia="Arial" w:hAnsi="Arial"/>
        <w:b/>
        <w:bCs/>
        <w:color w:val="3D7ABF"/>
        <w:sz w:val="14"/>
        <w:szCs w:val="14"/>
      </w:rPr>
      <w:t xml:space="preserve">EQUITY RESEARCH  </w:t>
    </w:r>
    <w:r>
      <w:rPr>
        <w:rFonts w:ascii="Arial" w:cs="Arial" w:eastAsia="Arial" w:hAnsi="Arial"/>
        <w:color w:val="B0BEC5"/>
        <w:sz w:val="14"/>
        <w:szCs w:val="14"/>
      </w:rPr>
      <w:t xml:space="preserve">|  </w:t>
    </w:r>
    <w:r>
      <w:rPr>
        <w:rFonts w:ascii="Arial" w:cs="Arial" w:eastAsia="Arial" w:hAnsi="Arial"/>
        <w:color w:val="4A4A4A"/>
        <w:sz w:val="14"/>
        <w:szCs w:val="14"/>
      </w:rPr>
      <w:t xml:space="preserve">Investment Thesis Tear Sheet</w:t>
    </w:r>
    <w:r>
      <w:rPr>
        <w:rFonts w:ascii="Arial" w:cs="Arial" w:eastAsia="Arial" w:hAnsi="Arial"/>
        <w:sz w:val="14"/>
        <w:szCs w:val="14"/>
      </w:rPr>
      <w:t xml:space="preserve">	</w:t>
    </w:r>
    <w:r>
      <w:rPr>
        <w:rFonts w:ascii="Arial" w:cs="Arial" w:eastAsia="Arial" w:hAnsi="Arial"/>
        <w:color w:val="4A4A4A"/>
        <w:sz w:val="14"/>
        <w:szCs w:val="14"/>
      </w:rPr>
      <w:t xml:space="preserve">March 27,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2026-03-27T23:45:58.029Z</dcterms:created>
  <dcterms:modified xsi:type="dcterms:W3CDTF">2026-03-27T23:45:58.030Z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