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40"/>
      </w:tblGrid>
      <w:tr w:rsidR="00213A55" w14:paraId="55B2CCFA" w14:textId="77777777">
        <w:tblPrEx>
          <w:tblCellMar>
            <w:top w:w="0" w:type="dxa"/>
            <w:bottom w:w="0" w:type="dxa"/>
          </w:tblCellMar>
        </w:tblPrEx>
        <w:tc>
          <w:tcPr>
            <w:tcW w:w="10440" w:type="dxa"/>
            <w:shd w:val="clear" w:color="auto" w:fill="1B2A4A"/>
            <w:tcMar>
              <w:top w:w="80" w:type="dxa"/>
              <w:left w:w="160" w:type="dxa"/>
              <w:bottom w:w="80" w:type="dxa"/>
              <w:right w:w="160" w:type="dxa"/>
            </w:tcMar>
          </w:tcPr>
          <w:p w14:paraId="55B2CCF9" w14:textId="2D833982" w:rsidR="00213A55" w:rsidRDefault="00B862F7" w:rsidP="007915B9">
            <w:pPr>
              <w:spacing w:after="10"/>
            </w:pPr>
            <w:r>
              <w:rPr>
                <w:b/>
                <w:bCs/>
                <w:color w:val="FFFFFF"/>
                <w:sz w:val="26"/>
                <w:szCs w:val="26"/>
              </w:rPr>
              <w:t>Ciena Corporation (NYSE: CIEN)</w:t>
            </w:r>
          </w:p>
        </w:tc>
      </w:tr>
    </w:tbl>
    <w:p w14:paraId="55B2CCFB" w14:textId="77777777" w:rsidR="00213A55" w:rsidRDefault="00B862F7">
      <w:pPr>
        <w:spacing w:before="80" w:after="10"/>
      </w:pPr>
      <w:r>
        <w:rPr>
          <w:b/>
          <w:bCs/>
          <w:color w:val="333333"/>
          <w:sz w:val="19"/>
          <w:szCs w:val="19"/>
        </w:rPr>
        <w:t xml:space="preserve">Rating: </w:t>
      </w:r>
      <w:proofErr w:type="gramStart"/>
      <w:r>
        <w:rPr>
          <w:b/>
          <w:bCs/>
          <w:color w:val="2D7D46"/>
          <w:sz w:val="19"/>
          <w:szCs w:val="19"/>
        </w:rPr>
        <w:t>BUY  —</w:t>
      </w:r>
      <w:proofErr w:type="gramEnd"/>
      <w:r>
        <w:rPr>
          <w:b/>
          <w:bCs/>
          <w:color w:val="2D7D46"/>
          <w:sz w:val="19"/>
          <w:szCs w:val="19"/>
        </w:rPr>
        <w:t xml:space="preserve">  Price Target: $470–$500</w:t>
      </w:r>
    </w:p>
    <w:p w14:paraId="55B2CCFC" w14:textId="77777777" w:rsidR="00213A55" w:rsidRDefault="00B862F7">
      <w:pPr>
        <w:spacing w:after="60" w:line="228" w:lineRule="auto"/>
      </w:pPr>
      <w:r>
        <w:rPr>
          <w:color w:val="333333"/>
          <w:sz w:val="16"/>
          <w:szCs w:val="16"/>
        </w:rPr>
        <w:t>Ciena makes the high-speed fiber optic equipment that connects data centers together. Think of it as the “plumbing” of the internet and AI. As companies like Google, Microsoft, and Amazon build massive AI data centers, they need Ciena’s gear to move data between them at record speeds. The company just posted its best quarter ever and has a $7 billion backlog of orders—meaning years of revenue are already locked in.</w:t>
      </w:r>
    </w:p>
    <w:p w14:paraId="55B2CCFD" w14:textId="77777777" w:rsidR="00213A55" w:rsidRDefault="00B862F7">
      <w:pPr>
        <w:pStyle w:val="Heading1"/>
        <w:spacing w:before="40" w:after="30"/>
      </w:pPr>
      <w:r>
        <w:rPr>
          <w:sz w:val="19"/>
          <w:szCs w:val="19"/>
        </w:rPr>
        <w:t>Quick Snapshot</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80"/>
        <w:gridCol w:w="3480"/>
        <w:gridCol w:w="3480"/>
      </w:tblGrid>
      <w:tr w:rsidR="00213A55" w14:paraId="55B2CD01" w14:textId="77777777">
        <w:tblPrEx>
          <w:tblCellMar>
            <w:top w:w="0" w:type="dxa"/>
            <w:bottom w:w="0" w:type="dxa"/>
          </w:tblCellMar>
        </w:tblPrEx>
        <w:tc>
          <w:tcPr>
            <w:tcW w:w="3480" w:type="dxa"/>
            <w:tcBorders>
              <w:top w:val="single" w:sz="1" w:space="0" w:color="CCCCCC"/>
              <w:left w:val="single" w:sz="1" w:space="0" w:color="CCCCCC"/>
              <w:bottom w:val="single" w:sz="1" w:space="0" w:color="CCCCCC"/>
              <w:right w:val="single" w:sz="1" w:space="0" w:color="CCCCCC"/>
            </w:tcBorders>
            <w:shd w:val="clear" w:color="auto" w:fill="1B2A4A"/>
            <w:tcMar>
              <w:top w:w="40" w:type="dxa"/>
              <w:left w:w="80" w:type="dxa"/>
              <w:bottom w:w="40" w:type="dxa"/>
              <w:right w:w="80" w:type="dxa"/>
            </w:tcMar>
            <w:vAlign w:val="center"/>
          </w:tcPr>
          <w:p w14:paraId="55B2CCFE" w14:textId="77777777" w:rsidR="00213A55" w:rsidRDefault="00B862F7">
            <w:r>
              <w:rPr>
                <w:b/>
                <w:bCs/>
                <w:color w:val="FFFFFF"/>
                <w:sz w:val="17"/>
                <w:szCs w:val="17"/>
              </w:rPr>
              <w:t>Metric</w:t>
            </w:r>
          </w:p>
        </w:tc>
        <w:tc>
          <w:tcPr>
            <w:tcW w:w="3480" w:type="dxa"/>
            <w:tcBorders>
              <w:top w:val="single" w:sz="1" w:space="0" w:color="CCCCCC"/>
              <w:left w:val="single" w:sz="1" w:space="0" w:color="CCCCCC"/>
              <w:bottom w:val="single" w:sz="1" w:space="0" w:color="CCCCCC"/>
              <w:right w:val="single" w:sz="1" w:space="0" w:color="CCCCCC"/>
            </w:tcBorders>
            <w:shd w:val="clear" w:color="auto" w:fill="1B2A4A"/>
            <w:tcMar>
              <w:top w:w="40" w:type="dxa"/>
              <w:left w:w="80" w:type="dxa"/>
              <w:bottom w:w="40" w:type="dxa"/>
              <w:right w:w="80" w:type="dxa"/>
            </w:tcMar>
            <w:vAlign w:val="center"/>
          </w:tcPr>
          <w:p w14:paraId="55B2CCFF" w14:textId="77777777" w:rsidR="00213A55" w:rsidRDefault="00B862F7">
            <w:r>
              <w:rPr>
                <w:b/>
                <w:bCs/>
                <w:color w:val="FFFFFF"/>
                <w:sz w:val="17"/>
                <w:szCs w:val="17"/>
              </w:rPr>
              <w:t>Value</w:t>
            </w:r>
          </w:p>
        </w:tc>
        <w:tc>
          <w:tcPr>
            <w:tcW w:w="3480" w:type="dxa"/>
            <w:tcBorders>
              <w:top w:val="single" w:sz="1" w:space="0" w:color="CCCCCC"/>
              <w:left w:val="single" w:sz="1" w:space="0" w:color="CCCCCC"/>
              <w:bottom w:val="single" w:sz="1" w:space="0" w:color="CCCCCC"/>
              <w:right w:val="single" w:sz="1" w:space="0" w:color="CCCCCC"/>
            </w:tcBorders>
            <w:shd w:val="clear" w:color="auto" w:fill="1B2A4A"/>
            <w:tcMar>
              <w:top w:w="40" w:type="dxa"/>
              <w:left w:w="80" w:type="dxa"/>
              <w:bottom w:w="40" w:type="dxa"/>
              <w:right w:w="80" w:type="dxa"/>
            </w:tcMar>
            <w:vAlign w:val="center"/>
          </w:tcPr>
          <w:p w14:paraId="55B2CD00" w14:textId="77777777" w:rsidR="00213A55" w:rsidRDefault="00B862F7">
            <w:r>
              <w:rPr>
                <w:b/>
                <w:bCs/>
                <w:color w:val="FFFFFF"/>
                <w:sz w:val="17"/>
                <w:szCs w:val="17"/>
              </w:rPr>
              <w:t>Context</w:t>
            </w:r>
          </w:p>
        </w:tc>
      </w:tr>
      <w:tr w:rsidR="00213A55" w14:paraId="55B2CD05" w14:textId="77777777">
        <w:tblPrEx>
          <w:tblCellMar>
            <w:top w:w="0" w:type="dxa"/>
            <w:bottom w:w="0" w:type="dxa"/>
          </w:tblCellMar>
        </w:tblPrEx>
        <w:tc>
          <w:tcPr>
            <w:tcW w:w="348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55B2CD02" w14:textId="77777777" w:rsidR="00213A55" w:rsidRDefault="00B862F7">
            <w:r>
              <w:rPr>
                <w:b/>
                <w:bCs/>
                <w:color w:val="333333"/>
                <w:sz w:val="17"/>
                <w:szCs w:val="17"/>
              </w:rPr>
              <w:t>Stock Price</w:t>
            </w:r>
          </w:p>
        </w:tc>
        <w:tc>
          <w:tcPr>
            <w:tcW w:w="348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55B2CD03" w14:textId="77777777" w:rsidR="00213A55" w:rsidRDefault="00B862F7">
            <w:r>
              <w:rPr>
                <w:color w:val="333333"/>
                <w:sz w:val="17"/>
                <w:szCs w:val="17"/>
              </w:rPr>
              <w:t>~$428</w:t>
            </w:r>
          </w:p>
        </w:tc>
        <w:tc>
          <w:tcPr>
            <w:tcW w:w="348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55B2CD04" w14:textId="77777777" w:rsidR="00213A55" w:rsidRDefault="00B862F7">
            <w:r>
              <w:rPr>
                <w:color w:val="333333"/>
                <w:sz w:val="17"/>
                <w:szCs w:val="17"/>
              </w:rPr>
              <w:t>Near 52-week high</w:t>
            </w:r>
          </w:p>
        </w:tc>
      </w:tr>
      <w:tr w:rsidR="00213A55" w14:paraId="55B2CD09" w14:textId="77777777">
        <w:tblPrEx>
          <w:tblCellMar>
            <w:top w:w="0" w:type="dxa"/>
            <w:bottom w:w="0" w:type="dxa"/>
          </w:tblCellMar>
        </w:tblPrEx>
        <w:tc>
          <w:tcPr>
            <w:tcW w:w="3480" w:type="dxa"/>
            <w:tcBorders>
              <w:top w:val="single" w:sz="1" w:space="0" w:color="CCCCCC"/>
              <w:left w:val="single" w:sz="1" w:space="0" w:color="CCCCCC"/>
              <w:bottom w:val="single" w:sz="1" w:space="0" w:color="CCCCCC"/>
              <w:right w:val="single" w:sz="1" w:space="0" w:color="CCCCCC"/>
            </w:tcBorders>
            <w:shd w:val="clear" w:color="auto" w:fill="F2F6FA"/>
            <w:tcMar>
              <w:top w:w="40" w:type="dxa"/>
              <w:left w:w="80" w:type="dxa"/>
              <w:bottom w:w="40" w:type="dxa"/>
              <w:right w:w="80" w:type="dxa"/>
            </w:tcMar>
            <w:vAlign w:val="center"/>
          </w:tcPr>
          <w:p w14:paraId="55B2CD06" w14:textId="77777777" w:rsidR="00213A55" w:rsidRDefault="00B862F7">
            <w:r>
              <w:rPr>
                <w:b/>
                <w:bCs/>
                <w:color w:val="333333"/>
                <w:sz w:val="17"/>
                <w:szCs w:val="17"/>
              </w:rPr>
              <w:t>Market Cap</w:t>
            </w:r>
          </w:p>
        </w:tc>
        <w:tc>
          <w:tcPr>
            <w:tcW w:w="3480" w:type="dxa"/>
            <w:tcBorders>
              <w:top w:val="single" w:sz="1" w:space="0" w:color="CCCCCC"/>
              <w:left w:val="single" w:sz="1" w:space="0" w:color="CCCCCC"/>
              <w:bottom w:val="single" w:sz="1" w:space="0" w:color="CCCCCC"/>
              <w:right w:val="single" w:sz="1" w:space="0" w:color="CCCCCC"/>
            </w:tcBorders>
            <w:shd w:val="clear" w:color="auto" w:fill="F2F6FA"/>
            <w:tcMar>
              <w:top w:w="40" w:type="dxa"/>
              <w:left w:w="80" w:type="dxa"/>
              <w:bottom w:w="40" w:type="dxa"/>
              <w:right w:w="80" w:type="dxa"/>
            </w:tcMar>
            <w:vAlign w:val="center"/>
          </w:tcPr>
          <w:p w14:paraId="55B2CD07" w14:textId="77777777" w:rsidR="00213A55" w:rsidRDefault="00B862F7">
            <w:r>
              <w:rPr>
                <w:color w:val="333333"/>
                <w:sz w:val="17"/>
                <w:szCs w:val="17"/>
              </w:rPr>
              <w:t xml:space="preserve">~$60.6 </w:t>
            </w:r>
            <w:proofErr w:type="gramStart"/>
            <w:r>
              <w:rPr>
                <w:color w:val="333333"/>
                <w:sz w:val="17"/>
                <w:szCs w:val="17"/>
              </w:rPr>
              <w:t>Billion</w:t>
            </w:r>
            <w:proofErr w:type="gramEnd"/>
          </w:p>
        </w:tc>
        <w:tc>
          <w:tcPr>
            <w:tcW w:w="3480" w:type="dxa"/>
            <w:tcBorders>
              <w:top w:val="single" w:sz="1" w:space="0" w:color="CCCCCC"/>
              <w:left w:val="single" w:sz="1" w:space="0" w:color="CCCCCC"/>
              <w:bottom w:val="single" w:sz="1" w:space="0" w:color="CCCCCC"/>
              <w:right w:val="single" w:sz="1" w:space="0" w:color="CCCCCC"/>
            </w:tcBorders>
            <w:shd w:val="clear" w:color="auto" w:fill="F2F6FA"/>
            <w:tcMar>
              <w:top w:w="40" w:type="dxa"/>
              <w:left w:w="80" w:type="dxa"/>
              <w:bottom w:w="40" w:type="dxa"/>
              <w:right w:w="80" w:type="dxa"/>
            </w:tcMar>
            <w:vAlign w:val="center"/>
          </w:tcPr>
          <w:p w14:paraId="55B2CD08" w14:textId="77777777" w:rsidR="00213A55" w:rsidRDefault="00B862F7">
            <w:r>
              <w:rPr>
                <w:color w:val="333333"/>
                <w:sz w:val="17"/>
                <w:szCs w:val="17"/>
              </w:rPr>
              <w:t>Large-cap stock</w:t>
            </w:r>
          </w:p>
        </w:tc>
      </w:tr>
      <w:tr w:rsidR="00213A55" w14:paraId="55B2CD0D" w14:textId="77777777">
        <w:tblPrEx>
          <w:tblCellMar>
            <w:top w:w="0" w:type="dxa"/>
            <w:bottom w:w="0" w:type="dxa"/>
          </w:tblCellMar>
        </w:tblPrEx>
        <w:tc>
          <w:tcPr>
            <w:tcW w:w="348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55B2CD0A" w14:textId="77777777" w:rsidR="00213A55" w:rsidRDefault="00B862F7">
            <w:r>
              <w:rPr>
                <w:b/>
                <w:bCs/>
                <w:color w:val="333333"/>
                <w:sz w:val="17"/>
                <w:szCs w:val="17"/>
              </w:rPr>
              <w:t>Revenue Growth</w:t>
            </w:r>
          </w:p>
        </w:tc>
        <w:tc>
          <w:tcPr>
            <w:tcW w:w="348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55B2CD0B" w14:textId="77777777" w:rsidR="00213A55" w:rsidRDefault="00B862F7">
            <w:r>
              <w:rPr>
                <w:color w:val="2D7D46"/>
                <w:sz w:val="17"/>
                <w:szCs w:val="17"/>
              </w:rPr>
              <w:t>+33% YoY (Q1 2026)</w:t>
            </w:r>
          </w:p>
        </w:tc>
        <w:tc>
          <w:tcPr>
            <w:tcW w:w="348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55B2CD0C" w14:textId="77777777" w:rsidR="00213A55" w:rsidRDefault="00B862F7">
            <w:r>
              <w:rPr>
                <w:color w:val="2D7D46"/>
                <w:sz w:val="17"/>
                <w:szCs w:val="17"/>
              </w:rPr>
              <w:t>Accelerating</w:t>
            </w:r>
          </w:p>
        </w:tc>
      </w:tr>
      <w:tr w:rsidR="00213A55" w14:paraId="55B2CD11" w14:textId="77777777">
        <w:tblPrEx>
          <w:tblCellMar>
            <w:top w:w="0" w:type="dxa"/>
            <w:bottom w:w="0" w:type="dxa"/>
          </w:tblCellMar>
        </w:tblPrEx>
        <w:tc>
          <w:tcPr>
            <w:tcW w:w="3480" w:type="dxa"/>
            <w:tcBorders>
              <w:top w:val="single" w:sz="1" w:space="0" w:color="CCCCCC"/>
              <w:left w:val="single" w:sz="1" w:space="0" w:color="CCCCCC"/>
              <w:bottom w:val="single" w:sz="1" w:space="0" w:color="CCCCCC"/>
              <w:right w:val="single" w:sz="1" w:space="0" w:color="CCCCCC"/>
            </w:tcBorders>
            <w:shd w:val="clear" w:color="auto" w:fill="F2F6FA"/>
            <w:tcMar>
              <w:top w:w="40" w:type="dxa"/>
              <w:left w:w="80" w:type="dxa"/>
              <w:bottom w:w="40" w:type="dxa"/>
              <w:right w:w="80" w:type="dxa"/>
            </w:tcMar>
            <w:vAlign w:val="center"/>
          </w:tcPr>
          <w:p w14:paraId="55B2CD0E" w14:textId="77777777" w:rsidR="00213A55" w:rsidRDefault="00B862F7">
            <w:r>
              <w:rPr>
                <w:b/>
                <w:bCs/>
                <w:color w:val="333333"/>
                <w:sz w:val="17"/>
                <w:szCs w:val="17"/>
              </w:rPr>
              <w:t>Forward P/E</w:t>
            </w:r>
          </w:p>
        </w:tc>
        <w:tc>
          <w:tcPr>
            <w:tcW w:w="3480" w:type="dxa"/>
            <w:tcBorders>
              <w:top w:val="single" w:sz="1" w:space="0" w:color="CCCCCC"/>
              <w:left w:val="single" w:sz="1" w:space="0" w:color="CCCCCC"/>
              <w:bottom w:val="single" w:sz="1" w:space="0" w:color="CCCCCC"/>
              <w:right w:val="single" w:sz="1" w:space="0" w:color="CCCCCC"/>
            </w:tcBorders>
            <w:shd w:val="clear" w:color="auto" w:fill="F2F6FA"/>
            <w:tcMar>
              <w:top w:w="40" w:type="dxa"/>
              <w:left w:w="80" w:type="dxa"/>
              <w:bottom w:w="40" w:type="dxa"/>
              <w:right w:w="80" w:type="dxa"/>
            </w:tcMar>
            <w:vAlign w:val="center"/>
          </w:tcPr>
          <w:p w14:paraId="55B2CD0F" w14:textId="77777777" w:rsidR="00213A55" w:rsidRDefault="00B862F7">
            <w:r>
              <w:rPr>
                <w:color w:val="333333"/>
                <w:sz w:val="17"/>
                <w:szCs w:val="17"/>
              </w:rPr>
              <w:t>~49x</w:t>
            </w:r>
          </w:p>
        </w:tc>
        <w:tc>
          <w:tcPr>
            <w:tcW w:w="3480" w:type="dxa"/>
            <w:tcBorders>
              <w:top w:val="single" w:sz="1" w:space="0" w:color="CCCCCC"/>
              <w:left w:val="single" w:sz="1" w:space="0" w:color="CCCCCC"/>
              <w:bottom w:val="single" w:sz="1" w:space="0" w:color="CCCCCC"/>
              <w:right w:val="single" w:sz="1" w:space="0" w:color="CCCCCC"/>
            </w:tcBorders>
            <w:shd w:val="clear" w:color="auto" w:fill="F2F6FA"/>
            <w:tcMar>
              <w:top w:w="40" w:type="dxa"/>
              <w:left w:w="80" w:type="dxa"/>
              <w:bottom w:w="40" w:type="dxa"/>
              <w:right w:w="80" w:type="dxa"/>
            </w:tcMar>
            <w:vAlign w:val="center"/>
          </w:tcPr>
          <w:p w14:paraId="55B2CD10" w14:textId="77777777" w:rsidR="00213A55" w:rsidRDefault="00B862F7">
            <w:r>
              <w:rPr>
                <w:color w:val="333333"/>
                <w:sz w:val="17"/>
                <w:szCs w:val="17"/>
              </w:rPr>
              <w:t>Premium, but justified</w:t>
            </w:r>
          </w:p>
        </w:tc>
      </w:tr>
      <w:tr w:rsidR="00213A55" w14:paraId="55B2CD15" w14:textId="77777777">
        <w:tblPrEx>
          <w:tblCellMar>
            <w:top w:w="0" w:type="dxa"/>
            <w:bottom w:w="0" w:type="dxa"/>
          </w:tblCellMar>
        </w:tblPrEx>
        <w:tc>
          <w:tcPr>
            <w:tcW w:w="348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55B2CD12" w14:textId="77777777" w:rsidR="00213A55" w:rsidRDefault="00B862F7">
            <w:r>
              <w:rPr>
                <w:b/>
                <w:bCs/>
                <w:color w:val="333333"/>
                <w:sz w:val="17"/>
                <w:szCs w:val="17"/>
              </w:rPr>
              <w:t>Backlog</w:t>
            </w:r>
          </w:p>
        </w:tc>
        <w:tc>
          <w:tcPr>
            <w:tcW w:w="348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55B2CD13" w14:textId="77777777" w:rsidR="00213A55" w:rsidRDefault="00B862F7">
            <w:r>
              <w:rPr>
                <w:color w:val="2D7D46"/>
                <w:sz w:val="17"/>
                <w:szCs w:val="17"/>
              </w:rPr>
              <w:t>$7+ Billion</w:t>
            </w:r>
          </w:p>
        </w:tc>
        <w:tc>
          <w:tcPr>
            <w:tcW w:w="348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55B2CD14" w14:textId="77777777" w:rsidR="00213A55" w:rsidRDefault="00B862F7">
            <w:proofErr w:type="gramStart"/>
            <w:r>
              <w:rPr>
                <w:color w:val="2D7D46"/>
                <w:sz w:val="17"/>
                <w:szCs w:val="17"/>
              </w:rPr>
              <w:t>All-time record</w:t>
            </w:r>
            <w:proofErr w:type="gramEnd"/>
          </w:p>
        </w:tc>
      </w:tr>
      <w:tr w:rsidR="00213A55" w14:paraId="55B2CD19" w14:textId="77777777">
        <w:tblPrEx>
          <w:tblCellMar>
            <w:top w:w="0" w:type="dxa"/>
            <w:bottom w:w="0" w:type="dxa"/>
          </w:tblCellMar>
        </w:tblPrEx>
        <w:tc>
          <w:tcPr>
            <w:tcW w:w="3480" w:type="dxa"/>
            <w:tcBorders>
              <w:top w:val="single" w:sz="1" w:space="0" w:color="CCCCCC"/>
              <w:left w:val="single" w:sz="1" w:space="0" w:color="CCCCCC"/>
              <w:bottom w:val="single" w:sz="1" w:space="0" w:color="CCCCCC"/>
              <w:right w:val="single" w:sz="1" w:space="0" w:color="CCCCCC"/>
            </w:tcBorders>
            <w:shd w:val="clear" w:color="auto" w:fill="F2F6FA"/>
            <w:tcMar>
              <w:top w:w="40" w:type="dxa"/>
              <w:left w:w="80" w:type="dxa"/>
              <w:bottom w:w="40" w:type="dxa"/>
              <w:right w:w="80" w:type="dxa"/>
            </w:tcMar>
            <w:vAlign w:val="center"/>
          </w:tcPr>
          <w:p w14:paraId="55B2CD16" w14:textId="77777777" w:rsidR="00213A55" w:rsidRDefault="00B862F7">
            <w:r>
              <w:rPr>
                <w:b/>
                <w:bCs/>
                <w:color w:val="333333"/>
                <w:sz w:val="17"/>
                <w:szCs w:val="17"/>
              </w:rPr>
              <w:t>Analyst Rating</w:t>
            </w:r>
          </w:p>
        </w:tc>
        <w:tc>
          <w:tcPr>
            <w:tcW w:w="3480" w:type="dxa"/>
            <w:tcBorders>
              <w:top w:val="single" w:sz="1" w:space="0" w:color="CCCCCC"/>
              <w:left w:val="single" w:sz="1" w:space="0" w:color="CCCCCC"/>
              <w:bottom w:val="single" w:sz="1" w:space="0" w:color="CCCCCC"/>
              <w:right w:val="single" w:sz="1" w:space="0" w:color="CCCCCC"/>
            </w:tcBorders>
            <w:shd w:val="clear" w:color="auto" w:fill="F2F6FA"/>
            <w:tcMar>
              <w:top w:w="40" w:type="dxa"/>
              <w:left w:w="80" w:type="dxa"/>
              <w:bottom w:w="40" w:type="dxa"/>
              <w:right w:w="80" w:type="dxa"/>
            </w:tcMar>
            <w:vAlign w:val="center"/>
          </w:tcPr>
          <w:p w14:paraId="55B2CD17" w14:textId="77777777" w:rsidR="00213A55" w:rsidRDefault="00B862F7">
            <w:r>
              <w:rPr>
                <w:color w:val="2D7D46"/>
                <w:sz w:val="17"/>
                <w:szCs w:val="17"/>
              </w:rPr>
              <w:t>Strong Buy</w:t>
            </w:r>
          </w:p>
        </w:tc>
        <w:tc>
          <w:tcPr>
            <w:tcW w:w="3480" w:type="dxa"/>
            <w:tcBorders>
              <w:top w:val="single" w:sz="1" w:space="0" w:color="CCCCCC"/>
              <w:left w:val="single" w:sz="1" w:space="0" w:color="CCCCCC"/>
              <w:bottom w:val="single" w:sz="1" w:space="0" w:color="CCCCCC"/>
              <w:right w:val="single" w:sz="1" w:space="0" w:color="CCCCCC"/>
            </w:tcBorders>
            <w:shd w:val="clear" w:color="auto" w:fill="F2F6FA"/>
            <w:tcMar>
              <w:top w:w="40" w:type="dxa"/>
              <w:left w:w="80" w:type="dxa"/>
              <w:bottom w:w="40" w:type="dxa"/>
              <w:right w:w="80" w:type="dxa"/>
            </w:tcMar>
            <w:vAlign w:val="center"/>
          </w:tcPr>
          <w:p w14:paraId="55B2CD18" w14:textId="77777777" w:rsidR="00213A55" w:rsidRDefault="00B862F7">
            <w:r>
              <w:rPr>
                <w:color w:val="333333"/>
                <w:sz w:val="17"/>
                <w:szCs w:val="17"/>
              </w:rPr>
              <w:t>15 analysts</w:t>
            </w:r>
          </w:p>
        </w:tc>
      </w:tr>
    </w:tbl>
    <w:p w14:paraId="55B2CD1A" w14:textId="77777777" w:rsidR="00213A55" w:rsidRDefault="00B862F7">
      <w:pPr>
        <w:pStyle w:val="Heading1"/>
        <w:spacing w:before="60" w:after="30"/>
      </w:pPr>
      <w:r>
        <w:rPr>
          <w:sz w:val="19"/>
          <w:szCs w:val="19"/>
        </w:rPr>
        <w:t>Why We Like It</w:t>
      </w:r>
    </w:p>
    <w:p w14:paraId="55B2CD1B" w14:textId="77777777" w:rsidR="00213A55" w:rsidRDefault="00B862F7">
      <w:pPr>
        <w:pStyle w:val="ListParagraph"/>
        <w:numPr>
          <w:ilvl w:val="0"/>
          <w:numId w:val="2"/>
        </w:numPr>
        <w:spacing w:after="16" w:line="220" w:lineRule="auto"/>
      </w:pPr>
      <w:r>
        <w:rPr>
          <w:b/>
          <w:bCs/>
          <w:color w:val="333333"/>
          <w:sz w:val="16"/>
          <w:szCs w:val="16"/>
        </w:rPr>
        <w:t xml:space="preserve">AI Is Driving Explosive Demand: </w:t>
      </w:r>
      <w:r>
        <w:rPr>
          <w:color w:val="333333"/>
          <w:sz w:val="16"/>
          <w:szCs w:val="16"/>
        </w:rPr>
        <w:t>Cloud companies now make up 42% of Ciena’s revenue, up 76% in one year. AI models need to be spread across multiple data centers, and Ciena’s optical links are how those centers communicate.</w:t>
      </w:r>
    </w:p>
    <w:p w14:paraId="55B2CD1C" w14:textId="77777777" w:rsidR="00213A55" w:rsidRDefault="00B862F7">
      <w:pPr>
        <w:pStyle w:val="ListParagraph"/>
        <w:numPr>
          <w:ilvl w:val="0"/>
          <w:numId w:val="2"/>
        </w:numPr>
        <w:spacing w:after="16" w:line="220" w:lineRule="auto"/>
      </w:pPr>
      <w:r>
        <w:rPr>
          <w:b/>
          <w:bCs/>
          <w:color w:val="333333"/>
          <w:sz w:val="16"/>
          <w:szCs w:val="16"/>
        </w:rPr>
        <w:t xml:space="preserve">Technology Lead: </w:t>
      </w:r>
      <w:r>
        <w:rPr>
          <w:color w:val="333333"/>
          <w:sz w:val="16"/>
          <w:szCs w:val="16"/>
        </w:rPr>
        <w:t xml:space="preserve">Ciena’s </w:t>
      </w:r>
      <w:proofErr w:type="spellStart"/>
      <w:r>
        <w:rPr>
          <w:color w:val="333333"/>
          <w:sz w:val="16"/>
          <w:szCs w:val="16"/>
        </w:rPr>
        <w:t>WaveLogic</w:t>
      </w:r>
      <w:proofErr w:type="spellEnd"/>
      <w:r>
        <w:rPr>
          <w:color w:val="333333"/>
          <w:sz w:val="16"/>
          <w:szCs w:val="16"/>
        </w:rPr>
        <w:t xml:space="preserve"> 6 chip pushes 1.6 Terabits per second over a single fiber—the fastest in the industry. Competitors are 18–24 months behind. That’s a massive head start.</w:t>
      </w:r>
    </w:p>
    <w:p w14:paraId="55B2CD1D" w14:textId="77777777" w:rsidR="00213A55" w:rsidRDefault="00B862F7">
      <w:pPr>
        <w:pStyle w:val="ListParagraph"/>
        <w:numPr>
          <w:ilvl w:val="0"/>
          <w:numId w:val="2"/>
        </w:numPr>
        <w:spacing w:after="16" w:line="220" w:lineRule="auto"/>
      </w:pPr>
      <w:r>
        <w:rPr>
          <w:b/>
          <w:bCs/>
          <w:color w:val="333333"/>
          <w:sz w:val="16"/>
          <w:szCs w:val="16"/>
        </w:rPr>
        <w:t xml:space="preserve">Massive Locked-In Revenue: </w:t>
      </w:r>
      <w:r>
        <w:rPr>
          <w:color w:val="333333"/>
          <w:sz w:val="16"/>
          <w:szCs w:val="16"/>
        </w:rPr>
        <w:t>A $7 billion backlog means customers have already placed orders that will take years to fulfill. This gives Ciena rare visibility into future revenue for a hardware company.</w:t>
      </w:r>
    </w:p>
    <w:p w14:paraId="55B2CD1E" w14:textId="77777777" w:rsidR="00213A55" w:rsidRDefault="00B862F7">
      <w:pPr>
        <w:pStyle w:val="ListParagraph"/>
        <w:numPr>
          <w:ilvl w:val="0"/>
          <w:numId w:val="2"/>
        </w:numPr>
        <w:spacing w:after="16" w:line="220" w:lineRule="auto"/>
      </w:pPr>
      <w:r>
        <w:rPr>
          <w:b/>
          <w:bCs/>
          <w:color w:val="333333"/>
          <w:sz w:val="16"/>
          <w:szCs w:val="16"/>
        </w:rPr>
        <w:t xml:space="preserve">Margins Are Expanding Fast: </w:t>
      </w:r>
      <w:r>
        <w:rPr>
          <w:color w:val="333333"/>
          <w:sz w:val="16"/>
          <w:szCs w:val="16"/>
        </w:rPr>
        <w:t>Operating margins jumped from 12.3% to 17.9% in just one quarter, with guidance for 17.5–19.5% for the full year. As Ciena ships more of its latest tech, profitability keeps climbing.</w:t>
      </w:r>
    </w:p>
    <w:p w14:paraId="55B2CD1F" w14:textId="77777777" w:rsidR="00213A55" w:rsidRDefault="00B862F7">
      <w:pPr>
        <w:pStyle w:val="Heading1"/>
        <w:spacing w:before="60" w:after="30"/>
      </w:pPr>
      <w:r>
        <w:rPr>
          <w:sz w:val="19"/>
          <w:szCs w:val="19"/>
        </w:rPr>
        <w:t>Key Financials</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80"/>
        <w:gridCol w:w="3480"/>
        <w:gridCol w:w="3480"/>
      </w:tblGrid>
      <w:tr w:rsidR="00213A55" w14:paraId="55B2CD23" w14:textId="77777777">
        <w:tblPrEx>
          <w:tblCellMar>
            <w:top w:w="0" w:type="dxa"/>
            <w:bottom w:w="0" w:type="dxa"/>
          </w:tblCellMar>
        </w:tblPrEx>
        <w:tc>
          <w:tcPr>
            <w:tcW w:w="3480" w:type="dxa"/>
            <w:tcBorders>
              <w:top w:val="single" w:sz="1" w:space="0" w:color="CCCCCC"/>
              <w:left w:val="single" w:sz="1" w:space="0" w:color="CCCCCC"/>
              <w:bottom w:val="single" w:sz="1" w:space="0" w:color="CCCCCC"/>
              <w:right w:val="single" w:sz="1" w:space="0" w:color="CCCCCC"/>
            </w:tcBorders>
            <w:shd w:val="clear" w:color="auto" w:fill="1B2A4A"/>
            <w:tcMar>
              <w:top w:w="40" w:type="dxa"/>
              <w:left w:w="80" w:type="dxa"/>
              <w:bottom w:w="40" w:type="dxa"/>
              <w:right w:w="80" w:type="dxa"/>
            </w:tcMar>
            <w:vAlign w:val="center"/>
          </w:tcPr>
          <w:p w14:paraId="55B2CD20" w14:textId="77777777" w:rsidR="00213A55" w:rsidRDefault="00B862F7">
            <w:r>
              <w:rPr>
                <w:b/>
                <w:bCs/>
                <w:color w:val="FFFFFF"/>
                <w:sz w:val="17"/>
                <w:szCs w:val="17"/>
              </w:rPr>
              <w:t>Metric</w:t>
            </w:r>
          </w:p>
        </w:tc>
        <w:tc>
          <w:tcPr>
            <w:tcW w:w="3480" w:type="dxa"/>
            <w:tcBorders>
              <w:top w:val="single" w:sz="1" w:space="0" w:color="CCCCCC"/>
              <w:left w:val="single" w:sz="1" w:space="0" w:color="CCCCCC"/>
              <w:bottom w:val="single" w:sz="1" w:space="0" w:color="CCCCCC"/>
              <w:right w:val="single" w:sz="1" w:space="0" w:color="CCCCCC"/>
            </w:tcBorders>
            <w:shd w:val="clear" w:color="auto" w:fill="1B2A4A"/>
            <w:tcMar>
              <w:top w:w="40" w:type="dxa"/>
              <w:left w:w="80" w:type="dxa"/>
              <w:bottom w:w="40" w:type="dxa"/>
              <w:right w:w="80" w:type="dxa"/>
            </w:tcMar>
            <w:vAlign w:val="center"/>
          </w:tcPr>
          <w:p w14:paraId="55B2CD21" w14:textId="77777777" w:rsidR="00213A55" w:rsidRDefault="00B862F7">
            <w:r>
              <w:rPr>
                <w:b/>
                <w:bCs/>
                <w:color w:val="FFFFFF"/>
                <w:sz w:val="17"/>
                <w:szCs w:val="17"/>
              </w:rPr>
              <w:t>Q1 FY2026</w:t>
            </w:r>
          </w:p>
        </w:tc>
        <w:tc>
          <w:tcPr>
            <w:tcW w:w="3480" w:type="dxa"/>
            <w:tcBorders>
              <w:top w:val="single" w:sz="1" w:space="0" w:color="CCCCCC"/>
              <w:left w:val="single" w:sz="1" w:space="0" w:color="CCCCCC"/>
              <w:bottom w:val="single" w:sz="1" w:space="0" w:color="CCCCCC"/>
              <w:right w:val="single" w:sz="1" w:space="0" w:color="CCCCCC"/>
            </w:tcBorders>
            <w:shd w:val="clear" w:color="auto" w:fill="1B2A4A"/>
            <w:tcMar>
              <w:top w:w="40" w:type="dxa"/>
              <w:left w:w="80" w:type="dxa"/>
              <w:bottom w:w="40" w:type="dxa"/>
              <w:right w:w="80" w:type="dxa"/>
            </w:tcMar>
            <w:vAlign w:val="center"/>
          </w:tcPr>
          <w:p w14:paraId="55B2CD22" w14:textId="77777777" w:rsidR="00213A55" w:rsidRDefault="00B862F7">
            <w:r>
              <w:rPr>
                <w:b/>
                <w:bCs/>
                <w:color w:val="FFFFFF"/>
                <w:sz w:val="17"/>
                <w:szCs w:val="17"/>
              </w:rPr>
              <w:t>YoY Change</w:t>
            </w:r>
          </w:p>
        </w:tc>
      </w:tr>
      <w:tr w:rsidR="00213A55" w14:paraId="55B2CD27" w14:textId="77777777">
        <w:tblPrEx>
          <w:tblCellMar>
            <w:top w:w="0" w:type="dxa"/>
            <w:bottom w:w="0" w:type="dxa"/>
          </w:tblCellMar>
        </w:tblPrEx>
        <w:tc>
          <w:tcPr>
            <w:tcW w:w="348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55B2CD24" w14:textId="77777777" w:rsidR="00213A55" w:rsidRDefault="00B862F7">
            <w:r>
              <w:rPr>
                <w:b/>
                <w:bCs/>
                <w:color w:val="333333"/>
                <w:sz w:val="17"/>
                <w:szCs w:val="17"/>
              </w:rPr>
              <w:t>Revenue</w:t>
            </w:r>
          </w:p>
        </w:tc>
        <w:tc>
          <w:tcPr>
            <w:tcW w:w="348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55B2CD25" w14:textId="77777777" w:rsidR="00213A55" w:rsidRDefault="00B862F7">
            <w:r>
              <w:rPr>
                <w:color w:val="333333"/>
                <w:sz w:val="17"/>
                <w:szCs w:val="17"/>
              </w:rPr>
              <w:t>$1.43 Billion</w:t>
            </w:r>
          </w:p>
        </w:tc>
        <w:tc>
          <w:tcPr>
            <w:tcW w:w="348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55B2CD26" w14:textId="77777777" w:rsidR="00213A55" w:rsidRDefault="00B862F7">
            <w:r>
              <w:rPr>
                <w:color w:val="2D7D46"/>
                <w:sz w:val="17"/>
                <w:szCs w:val="17"/>
              </w:rPr>
              <w:t>+33%</w:t>
            </w:r>
          </w:p>
        </w:tc>
      </w:tr>
      <w:tr w:rsidR="00213A55" w14:paraId="55B2CD2B" w14:textId="77777777">
        <w:tblPrEx>
          <w:tblCellMar>
            <w:top w:w="0" w:type="dxa"/>
            <w:bottom w:w="0" w:type="dxa"/>
          </w:tblCellMar>
        </w:tblPrEx>
        <w:tc>
          <w:tcPr>
            <w:tcW w:w="3480" w:type="dxa"/>
            <w:tcBorders>
              <w:top w:val="single" w:sz="1" w:space="0" w:color="CCCCCC"/>
              <w:left w:val="single" w:sz="1" w:space="0" w:color="CCCCCC"/>
              <w:bottom w:val="single" w:sz="1" w:space="0" w:color="CCCCCC"/>
              <w:right w:val="single" w:sz="1" w:space="0" w:color="CCCCCC"/>
            </w:tcBorders>
            <w:shd w:val="clear" w:color="auto" w:fill="F2F6FA"/>
            <w:tcMar>
              <w:top w:w="40" w:type="dxa"/>
              <w:left w:w="80" w:type="dxa"/>
              <w:bottom w:w="40" w:type="dxa"/>
              <w:right w:w="80" w:type="dxa"/>
            </w:tcMar>
            <w:vAlign w:val="center"/>
          </w:tcPr>
          <w:p w14:paraId="55B2CD28" w14:textId="77777777" w:rsidR="00213A55" w:rsidRDefault="00B862F7">
            <w:r>
              <w:rPr>
                <w:b/>
                <w:bCs/>
                <w:color w:val="333333"/>
                <w:sz w:val="17"/>
                <w:szCs w:val="17"/>
              </w:rPr>
              <w:t>Earnings Per Share</w:t>
            </w:r>
          </w:p>
        </w:tc>
        <w:tc>
          <w:tcPr>
            <w:tcW w:w="3480" w:type="dxa"/>
            <w:tcBorders>
              <w:top w:val="single" w:sz="1" w:space="0" w:color="CCCCCC"/>
              <w:left w:val="single" w:sz="1" w:space="0" w:color="CCCCCC"/>
              <w:bottom w:val="single" w:sz="1" w:space="0" w:color="CCCCCC"/>
              <w:right w:val="single" w:sz="1" w:space="0" w:color="CCCCCC"/>
            </w:tcBorders>
            <w:shd w:val="clear" w:color="auto" w:fill="F2F6FA"/>
            <w:tcMar>
              <w:top w:w="40" w:type="dxa"/>
              <w:left w:w="80" w:type="dxa"/>
              <w:bottom w:w="40" w:type="dxa"/>
              <w:right w:w="80" w:type="dxa"/>
            </w:tcMar>
            <w:vAlign w:val="center"/>
          </w:tcPr>
          <w:p w14:paraId="55B2CD29" w14:textId="77777777" w:rsidR="00213A55" w:rsidRDefault="00B862F7">
            <w:r>
              <w:rPr>
                <w:color w:val="333333"/>
                <w:sz w:val="17"/>
                <w:szCs w:val="17"/>
              </w:rPr>
              <w:t>$1.35 (adjusted)</w:t>
            </w:r>
          </w:p>
        </w:tc>
        <w:tc>
          <w:tcPr>
            <w:tcW w:w="3480" w:type="dxa"/>
            <w:tcBorders>
              <w:top w:val="single" w:sz="1" w:space="0" w:color="CCCCCC"/>
              <w:left w:val="single" w:sz="1" w:space="0" w:color="CCCCCC"/>
              <w:bottom w:val="single" w:sz="1" w:space="0" w:color="CCCCCC"/>
              <w:right w:val="single" w:sz="1" w:space="0" w:color="CCCCCC"/>
            </w:tcBorders>
            <w:shd w:val="clear" w:color="auto" w:fill="F2F6FA"/>
            <w:tcMar>
              <w:top w:w="40" w:type="dxa"/>
              <w:left w:w="80" w:type="dxa"/>
              <w:bottom w:w="40" w:type="dxa"/>
              <w:right w:w="80" w:type="dxa"/>
            </w:tcMar>
            <w:vAlign w:val="center"/>
          </w:tcPr>
          <w:p w14:paraId="55B2CD2A" w14:textId="77777777" w:rsidR="00213A55" w:rsidRDefault="00B862F7">
            <w:r>
              <w:rPr>
                <w:color w:val="2D7D46"/>
                <w:sz w:val="17"/>
                <w:szCs w:val="17"/>
              </w:rPr>
              <w:t>+111%</w:t>
            </w:r>
          </w:p>
        </w:tc>
      </w:tr>
      <w:tr w:rsidR="00213A55" w14:paraId="55B2CD2F" w14:textId="77777777">
        <w:tblPrEx>
          <w:tblCellMar>
            <w:top w:w="0" w:type="dxa"/>
            <w:bottom w:w="0" w:type="dxa"/>
          </w:tblCellMar>
        </w:tblPrEx>
        <w:tc>
          <w:tcPr>
            <w:tcW w:w="348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55B2CD2C" w14:textId="77777777" w:rsidR="00213A55" w:rsidRDefault="00B862F7">
            <w:r>
              <w:rPr>
                <w:b/>
                <w:bCs/>
                <w:color w:val="333333"/>
                <w:sz w:val="17"/>
                <w:szCs w:val="17"/>
              </w:rPr>
              <w:t>Gross Margin</w:t>
            </w:r>
          </w:p>
        </w:tc>
        <w:tc>
          <w:tcPr>
            <w:tcW w:w="348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55B2CD2D" w14:textId="77777777" w:rsidR="00213A55" w:rsidRDefault="00B862F7">
            <w:r>
              <w:rPr>
                <w:color w:val="333333"/>
                <w:sz w:val="17"/>
                <w:szCs w:val="17"/>
              </w:rPr>
              <w:t>44.7%</w:t>
            </w:r>
          </w:p>
        </w:tc>
        <w:tc>
          <w:tcPr>
            <w:tcW w:w="348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55B2CD2E" w14:textId="77777777" w:rsidR="00213A55" w:rsidRDefault="00B862F7">
            <w:r>
              <w:rPr>
                <w:color w:val="333333"/>
                <w:sz w:val="17"/>
                <w:szCs w:val="17"/>
              </w:rPr>
              <w:t>Stable &amp; healthy</w:t>
            </w:r>
          </w:p>
        </w:tc>
      </w:tr>
      <w:tr w:rsidR="00213A55" w14:paraId="55B2CD33" w14:textId="77777777">
        <w:tblPrEx>
          <w:tblCellMar>
            <w:top w:w="0" w:type="dxa"/>
            <w:bottom w:w="0" w:type="dxa"/>
          </w:tblCellMar>
        </w:tblPrEx>
        <w:tc>
          <w:tcPr>
            <w:tcW w:w="3480" w:type="dxa"/>
            <w:tcBorders>
              <w:top w:val="single" w:sz="1" w:space="0" w:color="CCCCCC"/>
              <w:left w:val="single" w:sz="1" w:space="0" w:color="CCCCCC"/>
              <w:bottom w:val="single" w:sz="1" w:space="0" w:color="CCCCCC"/>
              <w:right w:val="single" w:sz="1" w:space="0" w:color="CCCCCC"/>
            </w:tcBorders>
            <w:shd w:val="clear" w:color="auto" w:fill="F2F6FA"/>
            <w:tcMar>
              <w:top w:w="40" w:type="dxa"/>
              <w:left w:w="80" w:type="dxa"/>
              <w:bottom w:w="40" w:type="dxa"/>
              <w:right w:w="80" w:type="dxa"/>
            </w:tcMar>
            <w:vAlign w:val="center"/>
          </w:tcPr>
          <w:p w14:paraId="55B2CD30" w14:textId="77777777" w:rsidR="00213A55" w:rsidRDefault="00B862F7">
            <w:r>
              <w:rPr>
                <w:b/>
                <w:bCs/>
                <w:color w:val="333333"/>
                <w:sz w:val="17"/>
                <w:szCs w:val="17"/>
              </w:rPr>
              <w:t>Free Cash Flow (TTM)</w:t>
            </w:r>
          </w:p>
        </w:tc>
        <w:tc>
          <w:tcPr>
            <w:tcW w:w="3480" w:type="dxa"/>
            <w:tcBorders>
              <w:top w:val="single" w:sz="1" w:space="0" w:color="CCCCCC"/>
              <w:left w:val="single" w:sz="1" w:space="0" w:color="CCCCCC"/>
              <w:bottom w:val="single" w:sz="1" w:space="0" w:color="CCCCCC"/>
              <w:right w:val="single" w:sz="1" w:space="0" w:color="CCCCCC"/>
            </w:tcBorders>
            <w:shd w:val="clear" w:color="auto" w:fill="F2F6FA"/>
            <w:tcMar>
              <w:top w:w="40" w:type="dxa"/>
              <w:left w:w="80" w:type="dxa"/>
              <w:bottom w:w="40" w:type="dxa"/>
              <w:right w:w="80" w:type="dxa"/>
            </w:tcMar>
            <w:vAlign w:val="center"/>
          </w:tcPr>
          <w:p w14:paraId="55B2CD31" w14:textId="77777777" w:rsidR="00213A55" w:rsidRDefault="00B862F7">
            <w:r>
              <w:rPr>
                <w:color w:val="333333"/>
                <w:sz w:val="17"/>
                <w:szCs w:val="17"/>
              </w:rPr>
              <w:t>$742 Million</w:t>
            </w:r>
          </w:p>
        </w:tc>
        <w:tc>
          <w:tcPr>
            <w:tcW w:w="3480" w:type="dxa"/>
            <w:tcBorders>
              <w:top w:val="single" w:sz="1" w:space="0" w:color="CCCCCC"/>
              <w:left w:val="single" w:sz="1" w:space="0" w:color="CCCCCC"/>
              <w:bottom w:val="single" w:sz="1" w:space="0" w:color="CCCCCC"/>
              <w:right w:val="single" w:sz="1" w:space="0" w:color="CCCCCC"/>
            </w:tcBorders>
            <w:shd w:val="clear" w:color="auto" w:fill="F2F6FA"/>
            <w:tcMar>
              <w:top w:w="40" w:type="dxa"/>
              <w:left w:w="80" w:type="dxa"/>
              <w:bottom w:w="40" w:type="dxa"/>
              <w:right w:w="80" w:type="dxa"/>
            </w:tcMar>
            <w:vAlign w:val="center"/>
          </w:tcPr>
          <w:p w14:paraId="55B2CD32" w14:textId="77777777" w:rsidR="00213A55" w:rsidRDefault="00B862F7">
            <w:r>
              <w:rPr>
                <w:color w:val="333333"/>
                <w:sz w:val="17"/>
                <w:szCs w:val="17"/>
              </w:rPr>
              <w:t>Strong cash generation</w:t>
            </w:r>
          </w:p>
        </w:tc>
      </w:tr>
      <w:tr w:rsidR="00213A55" w14:paraId="55B2CD37" w14:textId="77777777">
        <w:tblPrEx>
          <w:tblCellMar>
            <w:top w:w="0" w:type="dxa"/>
            <w:bottom w:w="0" w:type="dxa"/>
          </w:tblCellMar>
        </w:tblPrEx>
        <w:tc>
          <w:tcPr>
            <w:tcW w:w="348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55B2CD34" w14:textId="77777777" w:rsidR="00213A55" w:rsidRDefault="00B862F7">
            <w:r>
              <w:rPr>
                <w:b/>
                <w:bCs/>
                <w:color w:val="333333"/>
                <w:sz w:val="17"/>
                <w:szCs w:val="17"/>
              </w:rPr>
              <w:t>FY2026 Guidance</w:t>
            </w:r>
          </w:p>
        </w:tc>
        <w:tc>
          <w:tcPr>
            <w:tcW w:w="348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55B2CD35" w14:textId="77777777" w:rsidR="00213A55" w:rsidRDefault="00B862F7">
            <w:r>
              <w:rPr>
                <w:color w:val="333333"/>
                <w:sz w:val="17"/>
                <w:szCs w:val="17"/>
              </w:rPr>
              <w:t>$5.9B–$6.3B</w:t>
            </w:r>
          </w:p>
        </w:tc>
        <w:tc>
          <w:tcPr>
            <w:tcW w:w="348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55B2CD36" w14:textId="77777777" w:rsidR="00213A55" w:rsidRDefault="00B862F7">
            <w:r>
              <w:rPr>
                <w:color w:val="2D7D46"/>
                <w:sz w:val="17"/>
                <w:szCs w:val="17"/>
              </w:rPr>
              <w:t>Raised from initial</w:t>
            </w:r>
          </w:p>
        </w:tc>
      </w:tr>
    </w:tbl>
    <w:p w14:paraId="55B2CD38" w14:textId="77777777" w:rsidR="00213A55" w:rsidRDefault="00B862F7">
      <w:pPr>
        <w:pStyle w:val="Heading1"/>
        <w:spacing w:before="60" w:after="30"/>
      </w:pPr>
      <w:r>
        <w:rPr>
          <w:sz w:val="19"/>
          <w:szCs w:val="19"/>
        </w:rPr>
        <w:t>Key Risks</w:t>
      </w:r>
    </w:p>
    <w:p w14:paraId="55B2CD39" w14:textId="77777777" w:rsidR="00213A55" w:rsidRDefault="00B862F7">
      <w:pPr>
        <w:pStyle w:val="ListParagraph"/>
        <w:numPr>
          <w:ilvl w:val="0"/>
          <w:numId w:val="2"/>
        </w:numPr>
        <w:spacing w:after="16" w:line="220" w:lineRule="auto"/>
      </w:pPr>
      <w:r>
        <w:rPr>
          <w:b/>
          <w:bCs/>
          <w:color w:val="333333"/>
          <w:sz w:val="16"/>
          <w:szCs w:val="16"/>
        </w:rPr>
        <w:t xml:space="preserve">Customer Concentration: </w:t>
      </w:r>
      <w:r>
        <w:rPr>
          <w:color w:val="333333"/>
          <w:sz w:val="16"/>
          <w:szCs w:val="16"/>
        </w:rPr>
        <w:t>42% of revenue comes from a handful of big cloud companies. If they cut AI spending, Ciena takes a hit.</w:t>
      </w:r>
    </w:p>
    <w:p w14:paraId="55B2CD3A" w14:textId="77777777" w:rsidR="00213A55" w:rsidRDefault="00B862F7">
      <w:pPr>
        <w:pStyle w:val="ListParagraph"/>
        <w:numPr>
          <w:ilvl w:val="0"/>
          <w:numId w:val="2"/>
        </w:numPr>
        <w:spacing w:after="16" w:line="220" w:lineRule="auto"/>
      </w:pPr>
      <w:r>
        <w:rPr>
          <w:b/>
          <w:bCs/>
          <w:color w:val="333333"/>
          <w:sz w:val="16"/>
          <w:szCs w:val="16"/>
        </w:rPr>
        <w:t xml:space="preserve">Expensive Stock: </w:t>
      </w:r>
      <w:r>
        <w:rPr>
          <w:color w:val="333333"/>
          <w:sz w:val="16"/>
          <w:szCs w:val="16"/>
        </w:rPr>
        <w:t>At ~49x forward earnings, a lot of growth is already priced in. If Ciena misses expectations, the stock could drop fast.</w:t>
      </w:r>
    </w:p>
    <w:p w14:paraId="55B2CD3B" w14:textId="77777777" w:rsidR="00213A55" w:rsidRDefault="00B862F7">
      <w:pPr>
        <w:pStyle w:val="ListParagraph"/>
        <w:numPr>
          <w:ilvl w:val="0"/>
          <w:numId w:val="2"/>
        </w:numPr>
        <w:spacing w:after="16" w:line="220" w:lineRule="auto"/>
      </w:pPr>
      <w:r>
        <w:rPr>
          <w:b/>
          <w:bCs/>
          <w:color w:val="333333"/>
          <w:sz w:val="16"/>
          <w:szCs w:val="16"/>
        </w:rPr>
        <w:t xml:space="preserve">Competition Catching Up: </w:t>
      </w:r>
      <w:r>
        <w:rPr>
          <w:color w:val="333333"/>
          <w:sz w:val="16"/>
          <w:szCs w:val="16"/>
        </w:rPr>
        <w:t>Nokia bought Infinera in 2025, and Broadcom/Marvell are pushing into Ciena’s market. The tech lead won’t last forever.</w:t>
      </w:r>
    </w:p>
    <w:p w14:paraId="55B2CD3C" w14:textId="77777777" w:rsidR="00213A55" w:rsidRDefault="00B862F7">
      <w:pPr>
        <w:pStyle w:val="ListParagraph"/>
        <w:numPr>
          <w:ilvl w:val="0"/>
          <w:numId w:val="2"/>
        </w:numPr>
        <w:spacing w:after="16" w:line="220" w:lineRule="auto"/>
      </w:pPr>
      <w:r>
        <w:rPr>
          <w:b/>
          <w:bCs/>
          <w:color w:val="333333"/>
          <w:sz w:val="16"/>
          <w:szCs w:val="16"/>
        </w:rPr>
        <w:t xml:space="preserve">Tariff &amp; Supply Chain Risk: </w:t>
      </w:r>
      <w:r>
        <w:rPr>
          <w:color w:val="333333"/>
          <w:sz w:val="16"/>
          <w:szCs w:val="16"/>
        </w:rPr>
        <w:t>Semiconductor supply constraints and potential tariff escalation on imported components could squeeze margins if costs rise.</w:t>
      </w:r>
    </w:p>
    <w:p w14:paraId="55B2CD3D" w14:textId="77777777" w:rsidR="00213A55" w:rsidRDefault="00213A55">
      <w:pPr>
        <w:spacing w:before="4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40"/>
      </w:tblGrid>
      <w:tr w:rsidR="00213A55" w14:paraId="55B2CD3F" w14:textId="77777777">
        <w:tblPrEx>
          <w:tblCellMar>
            <w:top w:w="0" w:type="dxa"/>
            <w:bottom w:w="0" w:type="dxa"/>
          </w:tblCellMar>
        </w:tblPrEx>
        <w:tc>
          <w:tcPr>
            <w:tcW w:w="10440" w:type="dxa"/>
            <w:tcBorders>
              <w:top w:val="single" w:sz="1" w:space="0" w:color="2E75B6"/>
              <w:left w:val="single" w:sz="8" w:space="0" w:color="2E75B6"/>
              <w:bottom w:val="single" w:sz="1" w:space="0" w:color="2E75B6"/>
              <w:right w:val="single" w:sz="1" w:space="0" w:color="2E75B6"/>
            </w:tcBorders>
            <w:shd w:val="clear" w:color="auto" w:fill="F2F6FA"/>
            <w:tcMar>
              <w:top w:w="50" w:type="dxa"/>
              <w:left w:w="120" w:type="dxa"/>
              <w:bottom w:w="50" w:type="dxa"/>
              <w:right w:w="120" w:type="dxa"/>
            </w:tcMar>
          </w:tcPr>
          <w:p w14:paraId="55B2CD3E" w14:textId="77777777" w:rsidR="00213A55" w:rsidRDefault="00B862F7">
            <w:pPr>
              <w:spacing w:line="220" w:lineRule="auto"/>
            </w:pPr>
            <w:r>
              <w:rPr>
                <w:b/>
                <w:bCs/>
                <w:color w:val="1B2A4A"/>
                <w:sz w:val="16"/>
                <w:szCs w:val="16"/>
              </w:rPr>
              <w:t xml:space="preserve">Bottom Line: </w:t>
            </w:r>
            <w:r>
              <w:rPr>
                <w:color w:val="1B2A4A"/>
                <w:sz w:val="16"/>
                <w:szCs w:val="16"/>
              </w:rPr>
              <w:t>Ciena is riding the biggest infrastructure buildout since the original internet boom, but this time it’s AI driving the demand. The $7B backlog and 33% revenue growth are hard to argue with. The stock isn’t cheap, but the growth justifies the price if AI spending holds up.</w:t>
            </w:r>
          </w:p>
        </w:tc>
      </w:tr>
    </w:tbl>
    <w:p w14:paraId="55B2CD40" w14:textId="77777777" w:rsidR="00B862F7" w:rsidRDefault="00B862F7"/>
    <w:sectPr w:rsidR="00B862F7">
      <w:pgSz w:w="12240" w:h="15840"/>
      <w:pgMar w:top="620" w:right="900" w:bottom="44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B03069"/>
    <w:multiLevelType w:val="hybridMultilevel"/>
    <w:tmpl w:val="E3888740"/>
    <w:lvl w:ilvl="0" w:tplc="41D023BA">
      <w:start w:val="1"/>
      <w:numFmt w:val="bullet"/>
      <w:lvlText w:val="•"/>
      <w:lvlJc w:val="left"/>
      <w:pPr>
        <w:ind w:left="450" w:hanging="225"/>
      </w:pPr>
    </w:lvl>
    <w:lvl w:ilvl="1" w:tplc="F844D5E6">
      <w:numFmt w:val="decimal"/>
      <w:lvlText w:val=""/>
      <w:lvlJc w:val="left"/>
    </w:lvl>
    <w:lvl w:ilvl="2" w:tplc="7632F324">
      <w:numFmt w:val="decimal"/>
      <w:lvlText w:val=""/>
      <w:lvlJc w:val="left"/>
    </w:lvl>
    <w:lvl w:ilvl="3" w:tplc="474817B6">
      <w:numFmt w:val="decimal"/>
      <w:lvlText w:val=""/>
      <w:lvlJc w:val="left"/>
    </w:lvl>
    <w:lvl w:ilvl="4" w:tplc="F6E8E338">
      <w:numFmt w:val="decimal"/>
      <w:lvlText w:val=""/>
      <w:lvlJc w:val="left"/>
    </w:lvl>
    <w:lvl w:ilvl="5" w:tplc="5C72DEE2">
      <w:numFmt w:val="decimal"/>
      <w:lvlText w:val=""/>
      <w:lvlJc w:val="left"/>
    </w:lvl>
    <w:lvl w:ilvl="6" w:tplc="00F8AB6A">
      <w:numFmt w:val="decimal"/>
      <w:lvlText w:val=""/>
      <w:lvlJc w:val="left"/>
    </w:lvl>
    <w:lvl w:ilvl="7" w:tplc="6FA0A744">
      <w:numFmt w:val="decimal"/>
      <w:lvlText w:val=""/>
      <w:lvlJc w:val="left"/>
    </w:lvl>
    <w:lvl w:ilvl="8" w:tplc="65120114">
      <w:numFmt w:val="decimal"/>
      <w:lvlText w:val=""/>
      <w:lvlJc w:val="left"/>
    </w:lvl>
  </w:abstractNum>
  <w:abstractNum w:abstractNumId="1" w15:restartNumberingAfterBreak="0">
    <w:nsid w:val="476D6A46"/>
    <w:multiLevelType w:val="hybridMultilevel"/>
    <w:tmpl w:val="4874DA12"/>
    <w:lvl w:ilvl="0" w:tplc="6BA2AA9C">
      <w:start w:val="1"/>
      <w:numFmt w:val="bullet"/>
      <w:lvlText w:val="●"/>
      <w:lvlJc w:val="left"/>
      <w:pPr>
        <w:ind w:left="720" w:hanging="360"/>
      </w:pPr>
    </w:lvl>
    <w:lvl w:ilvl="1" w:tplc="A1ACAB9C">
      <w:start w:val="1"/>
      <w:numFmt w:val="bullet"/>
      <w:lvlText w:val="○"/>
      <w:lvlJc w:val="left"/>
      <w:pPr>
        <w:ind w:left="1440" w:hanging="360"/>
      </w:pPr>
    </w:lvl>
    <w:lvl w:ilvl="2" w:tplc="F6FE0BC4">
      <w:start w:val="1"/>
      <w:numFmt w:val="bullet"/>
      <w:lvlText w:val="■"/>
      <w:lvlJc w:val="left"/>
      <w:pPr>
        <w:ind w:left="2160" w:hanging="360"/>
      </w:pPr>
    </w:lvl>
    <w:lvl w:ilvl="3" w:tplc="98602D00">
      <w:start w:val="1"/>
      <w:numFmt w:val="bullet"/>
      <w:lvlText w:val="●"/>
      <w:lvlJc w:val="left"/>
      <w:pPr>
        <w:ind w:left="2880" w:hanging="360"/>
      </w:pPr>
    </w:lvl>
    <w:lvl w:ilvl="4" w:tplc="A60CAE44">
      <w:start w:val="1"/>
      <w:numFmt w:val="bullet"/>
      <w:lvlText w:val="○"/>
      <w:lvlJc w:val="left"/>
      <w:pPr>
        <w:ind w:left="3600" w:hanging="360"/>
      </w:pPr>
    </w:lvl>
    <w:lvl w:ilvl="5" w:tplc="E9DAE490">
      <w:start w:val="1"/>
      <w:numFmt w:val="bullet"/>
      <w:lvlText w:val="■"/>
      <w:lvlJc w:val="left"/>
      <w:pPr>
        <w:ind w:left="4320" w:hanging="360"/>
      </w:pPr>
    </w:lvl>
    <w:lvl w:ilvl="6" w:tplc="FC7E2B16">
      <w:start w:val="1"/>
      <w:numFmt w:val="bullet"/>
      <w:lvlText w:val="●"/>
      <w:lvlJc w:val="left"/>
      <w:pPr>
        <w:ind w:left="5040" w:hanging="360"/>
      </w:pPr>
    </w:lvl>
    <w:lvl w:ilvl="7" w:tplc="783AE6E4">
      <w:start w:val="1"/>
      <w:numFmt w:val="bullet"/>
      <w:lvlText w:val="●"/>
      <w:lvlJc w:val="left"/>
      <w:pPr>
        <w:ind w:left="5760" w:hanging="360"/>
      </w:pPr>
    </w:lvl>
    <w:lvl w:ilvl="8" w:tplc="4F1EA250">
      <w:start w:val="1"/>
      <w:numFmt w:val="bullet"/>
      <w:lvlText w:val="●"/>
      <w:lvlJc w:val="left"/>
      <w:pPr>
        <w:ind w:left="6480" w:hanging="360"/>
      </w:pPr>
    </w:lvl>
  </w:abstractNum>
  <w:num w:numId="1" w16cid:durableId="1049108595">
    <w:abstractNumId w:val="1"/>
    <w:lvlOverride w:ilvl="0">
      <w:startOverride w:val="1"/>
    </w:lvlOverride>
  </w:num>
  <w:num w:numId="2" w16cid:durableId="195882827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3A55"/>
    <w:rsid w:val="00213A55"/>
    <w:rsid w:val="006C336B"/>
    <w:rsid w:val="007915B9"/>
    <w:rsid w:val="00B862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B2CCF8"/>
  <w15:docId w15:val="{6110B64A-6F0C-4869-9FA4-389AD1A6D9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8"/>
        <w:szCs w:val="1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80" w:after="40"/>
      <w:outlineLvl w:val="0"/>
    </w:pPr>
    <w:rPr>
      <w:b/>
      <w:bCs/>
      <w:color w:val="2E75B6"/>
      <w:sz w:val="20"/>
      <w:szCs w:val="20"/>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408</Words>
  <Characters>2326</Characters>
  <Application>Microsoft Office Word</Application>
  <DocSecurity>0</DocSecurity>
  <Lines>19</Lines>
  <Paragraphs>5</Paragraphs>
  <ScaleCrop>false</ScaleCrop>
  <Company/>
  <LinksUpToDate>false</LinksUpToDate>
  <CharactersWithSpaces>2729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Bryson Frazee-Duffin</cp:lastModifiedBy>
  <cp:revision>2</cp:revision>
  <dcterms:created xsi:type="dcterms:W3CDTF">2026-03-28T15:38:00Z</dcterms:created>
  <dcterms:modified xsi:type="dcterms:W3CDTF">2026-03-28T16:15:00Z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22e17b77-2935-47e4-ba0b-8b6d374ffbe4</vt:lpwstr>
  </property>
</Properties>
</file>