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4A020" w:sz="8"/>
        </w:pBdr>
        <w:shd w:fill="1B3A6B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QUANTITATIVE TRADING CLUB  |  INVESTMENT THESIS</w:t>
      </w:r>
      <w:r>
        <w:rPr>
          <w:rFonts w:ascii="Arial" w:cs="Arial" w:eastAsia="Arial" w:hAnsi="Arial"/>
          <w:color w:val="CCDDFF"/>
          <w:sz w:val="20"/>
          <w:szCs w:val="20"/>
        </w:rPr>
        <w:t xml:space="preserve">     AI &amp; Technology Portfolio  —  As of March 31, 2026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THESIS OVERVIEW 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We are initiating a concentrated long position in five AI-driven technology leaders across compute, cloud, software, and social. Our core conviction is that AI capital expenditure — projected to exceed $300B+ annually by 2027 — will create durable, compounding revenue streams for companies with entrenched infrastructure, distribution, and data moats. The recent market selloff (driven by capex concerns and macro headwinds) has created a rare opportunity to enter these names at attractive risk/reward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100"/>
        <w:gridCol w:w="1100"/>
        <w:gridCol w:w="9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Mkt Cap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 Growth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Fwd P/E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Investment Thesis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NVDA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$164.75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~$4.01T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+114% YoY (FY2026)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~26x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NVIDIA dominates the AI compute layer with ~80% data center GPU market share. FY2026 revenue reached $215.9B — an all-time high. The upcoming Rubin architecture (late 2026) and Jensen Huang's projected $1T in GPU orders by end of 2027 signal sustained demand. Near-term pullback (~7% YTD) offers an attractive entry into the defining infrastructure play of the AI era.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MSFT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$356.90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~$2.65T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+~15% YoY (FY2025)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~28x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Microsoft's Copilot integration across Azure, Office 365, and GitHub positions it as the enterprise AI monetization leader. Azure is growing &gt;30% YoY with AI workloads as a primary driver. The stock is down ~21% YTD on capex concerns ($37.5B in Q2 FY2026), creating a compelling entry point — Wall Street consensus targets imply &gt;60% upside from current levels.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$573.50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~$1.44T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+24% YoY (Q4 2025)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~22x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Meta's advertising engine remains unrivaled: Q4 2025 revenue hit $59.9B (+24% YoY) as daily active user growth and AI-driven ad pricing converged. Llama models and AI content personalization are compounding engagement and ARPU. Despite a ~10% YTD dip, Meta trades at one of the cheapest forward multiples in mega-cap tech relative to its growth trajectory.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AMZN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$200.36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~$2.12T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+~11% YoY (FY2025)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~30x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AWS — Amazon's highest-margin segment — is reaccelerating as enterprise AI workloads migrate to the cloud. Amazon is also aggressively deploying AI in retail (search, logistics, Alexa+) and advertising (now a $50B+ business). With operating income expanding and AWS growing at 20%+, AMZN has a credible path to the $3T market cap club as margins normalize.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PLTR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$137.15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~$296B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+~28% YoY (FY2025)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~120x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Palantir is the pure-play AI software compounder with a unique dual moat: classified government contracts and AIP (Artificial Intelligence Platform) driving rapid U.S. commercial adoption. U.S. commercial revenue growth has consistently exceeded 40% YoY. While the valuation is premium, Palantir's operating leverage, expanding Rule of 40 score, and irreplaceable government relationships justify the multiple for long-duration holders.</w:t>
            </w:r>
          </w:p>
        </w:tc>
      </w:tr>
    </w:tbl>
    <w:p>
      <w:pPr>
        <w:pBdr>
          <w:top w:val="single" w:color="CCCCCC" w:sz="4"/>
        </w:pBdr>
        <w:spacing w:before="100" w:after="0"/>
      </w:pPr>
      <w:r>
        <w:rPr>
          <w:rFonts w:ascii="Arial" w:cs="Arial" w:eastAsia="Arial" w:hAnsi="Arial"/>
          <w:i/>
          <w:iCs/>
          <w:color w:val="888888"/>
          <w:sz w:val="14"/>
          <w:szCs w:val="14"/>
        </w:rPr>
        <w:t xml:space="preserve">⚠  For educational and club purposes only. Not financial advice. All data sourced from public filings and market data as of March 31, 2026. Past performance does not guarantee future results.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2026-03-31T20:09:07.046Z</dcterms:created>
  <dcterms:modified xsi:type="dcterms:W3CDTF">2026-03-31T20:09:07.046Z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