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Constellation Energy Corporation</w:t>
      </w:r>
    </w:p>
    <w:p>
      <w:pPr>
        <w:spacing w:before="20" w:after="50"/>
      </w:pPr>
      <w:r>
        <w:rPr>
          <w:rFonts w:ascii="Arial" w:cs="Arial" w:eastAsia="Arial" w:hAnsi="Arial"/>
          <w:color w:val="4A4A4A"/>
          <w:sz w:val="16"/>
          <w:szCs w:val="16"/>
        </w:rPr>
        <w:t xml:space="preserve">NASDAQ: CEG  |  </w:t>
      </w: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Price: $282  |  </w:t>
      </w:r>
      <w:r>
        <w:rPr>
          <w:rFonts w:ascii="Arial" w:cs="Arial" w:eastAsia="Arial" w:hAnsi="Arial"/>
          <w:color w:val="4A4A4A"/>
          <w:sz w:val="16"/>
          <w:szCs w:val="16"/>
        </w:rPr>
        <w:t xml:space="preserve">Mkt Cap: $105B  |  </w:t>
      </w:r>
      <w:r>
        <w:rPr>
          <w:rFonts w:ascii="Arial" w:cs="Arial" w:eastAsia="Arial" w:hAnsi="Arial"/>
          <w:color w:val="4A4A4A"/>
          <w:sz w:val="16"/>
          <w:szCs w:val="16"/>
        </w:rPr>
        <w:t xml:space="preserve">Rating: </w:t>
      </w:r>
      <w:r>
        <w:rPr>
          <w:rFonts w:ascii="Arial" w:cs="Arial" w:eastAsia="Arial" w:hAnsi="Arial"/>
          <w:b/>
          <w:bCs/>
          <w:color w:val="1B7A3D"/>
          <w:sz w:val="16"/>
          <w:szCs w:val="16"/>
        </w:rPr>
        <w:t xml:space="preserve">LONG</w:t>
      </w:r>
      <w:r>
        <w:rPr>
          <w:rFonts w:ascii="Arial" w:cs="Arial" w:eastAsia="Arial" w:hAnsi="Arial"/>
          <w:color w:val="4A4A4A"/>
          <w:sz w:val="16"/>
          <w:szCs w:val="16"/>
        </w:rPr>
        <w:t xml:space="preserve">  |  Consensus PT: $398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INVESTMENT THESIS</w:t>
      </w:r>
    </w:p>
    <w:p>
      <w:pPr>
        <w:spacing w:before="30" w:after="3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Constellation is not a defensive utility. It is the largest clean-energy and merchant-power platform in the U.S., and </w:t>
      </w:r>
      <w:r>
        <w:rPr>
          <w:rFonts w:ascii="Arial" w:cs="Arial" w:eastAsia="Arial" w:hAnsi="Arial"/>
          <w:b/>
          <w:bCs/>
          <w:color w:val="1A1A1A"/>
          <w:sz w:val="15"/>
          <w:szCs w:val="15"/>
        </w:rPr>
        <w:t xml:space="preserve">one of the clearest public-market beneficiaries of the structural rise in electricity demand driven by AI and data center load growth.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 Its nuclear fleet — the nation’s largest at ~32 GW (post-Calpine) — provides scarce, dispatchable, zero-carbon baseload generation at a time when hyperscalers require 24/7 power and are willing to pay premium prices for it. The January 2026 close of the Calpine acquisition ($26.6B EV) adds ~27 GW of flexible gas and geothermal generation, immediately boosting EPS by ~20%, expanding the customer platform, and positioning CEG to bundle nuclear + gas into the kind of large-load power solutions that Microsoft, Meta, and CyrusOne are already contracting. FY25 adj. operating EPS rose to $9.39 from $8.67 in FY24, and consensus projects $11.37 in FY26 — a trajectory that reflects not just power-price tailwinds but a durable structural shift in how the market values reliable generation.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WHY NOW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AI-driven demand inflection: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U.S. power demand is accelerating for the first time in two decades, driven by data center buildout. Hyperscalers need large, reliable, around-the-clock supply — exactly what nuclear and gas provide. CEG’s generation mix is purpose-built for this moment.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Calpine integration (closed Jan 2026):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Adds 27 GW of gas/geothermal, ~$2/share of immediate EPS accretion, $2B+ incremental FCF, and existing data center relationships — including 1.1+ GW tied to CyrusOne in ERCOT. The combined platform can offer nuclear + gas solutions no peer can match.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Merchant power upside: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Forward power prices remain elevated; CEG’s merchant exposure means higher prices translate directly into earnings. Nuclear’s zero fuel-cost profile creates operating leverage as power prices rise.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Behind-the-meter / large-load contracting: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The Microsoft Crane Clean Energy Center PPA and growing hyperscaler pipeline demonstrate CEG’s ability to monetize generation capacity through long-duration, premium-priced contracts.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BUSINESS MODEL &amp; ASSET ADVANTAGE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Nuclear fleet (scarcity value):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Largest U.S. nuclear operator. Nuclear is the only scalable, dispatchable, zero-carbon baseload source. No new U.S. nuclear capacity is coming for years; existing fleet has quasi-monopoly pricing power with load-seeking hyperscalers.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Gas &amp; geothermal (via Calpine):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Flexible peaking and baseload gas generation complements nuclear for bundled 24/7 solutions. Geothermal adds a differentiated clean-energy asset in California.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Retail/commercial platform: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One of the largest retail energy providers, with C&amp;I customer relationships that provide hedged, margin-stable revenue and a channel for large-load origination.</w:t>
      </w:r>
    </w:p>
    <w:p>
      <w:pPr>
        <w:pStyle w:val="ListParagraph"/>
        <w:numPr>
          <w:ilvl w:val="0"/>
          <w:numId w:val="3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Data center infrastructure relevance: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The combination of scarce generation, transmission access, and the ability to co-locate or dedicate capacity positions CEG as critical infrastructure for the AI buildout — not just a commodity seller.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FINANCIAL SNAPSHOT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</w:tblGrid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FY2025 Adj. Operating EPS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$9.39 (+8.3% y/y)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FY2026E Consensus EPS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~$11.37 (+21% y/y)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FY2025 Revenue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$25.5B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FY2026E Revenue (incl. Calpine)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~$36.6B (+43%)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FY2026E EBITDA (cons.)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~$7.8B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Generation Capacity (combined)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~59 GW (nuclear, gas, renewables)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Calpine EPS Accretion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$2.00+/share annually</w:t>
            </w:r>
          </w:p>
        </w:tc>
      </w:tr>
      <w:tr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Dividend Yield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8" w:after="8"/>
              <w:jc w:val="right"/>
            </w:pPr>
            <w:r>
              <w:rPr>
                <w:rFonts w:ascii="Arial" w:cs="Arial" w:eastAsia="Arial" w:hAnsi="Arial"/>
                <w:color w:val="1A1A1A"/>
                <w:sz w:val="13"/>
                <w:szCs w:val="13"/>
              </w:rPr>
              <w:t xml:space="preserve">~1.1% (raised 10% in 2026)</w:t>
            </w:r>
          </w:p>
        </w:tc>
      </w:tr>
    </w:tbl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VALUATION &amp; PEER COMPARISON</w:t>
      </w:r>
    </w:p>
    <w:p>
      <w:pPr>
        <w:spacing w:before="30" w:after="30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At ~25x FY26E EPS and ~22x TTM EV/EBITDA, CEG trades at a premium to IPP peers (Vistra ~19x fwd P/E, NRG ~18x) but at a discount to regulated utility multiples and to its own recent highs (~38x three months ago). The premium is justified by nuclear scarcity, data center demand optionality, and the Calpine earnings step-up. We believe the market is still under-crediting the combined platform’s ability to sign incremental large-load contracts.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80"/>
        <w:gridCol w:w="1380"/>
        <w:gridCol w:w="1380"/>
        <w:gridCol w:w="1380"/>
        <w:gridCol w:w="1380"/>
      </w:tblGrid>
      <w:tr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CEG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VST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NRG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NEE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TLN</w:t>
            </w:r>
          </w:p>
        </w:tc>
      </w:tr>
      <w:tr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Fwd P/E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~25x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~19x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~18x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~24x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~21x</w:t>
            </w:r>
          </w:p>
        </w:tc>
      </w:tr>
      <w:tr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EV/EBITDA (TTM)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22.2x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14.2x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11.9x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16.5x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~10x</w:t>
            </w:r>
          </w:p>
        </w:tc>
      </w:tr>
      <w:tr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Generation Mix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Nuclear+Gas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Gas+Nuclear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Gas+Retail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Renewables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Nuclear+Gas</w:t>
            </w:r>
          </w:p>
        </w:tc>
      </w:tr>
      <w:tr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Data Center Exposure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3"/>
                <w:szCs w:val="13"/>
              </w:rPr>
              <w:t xml:space="preserve">High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Moderate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Low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Low</w:t>
            </w:r>
          </w:p>
        </w:tc>
        <w:tc>
          <w:tcPr>
            <w:tcW w:type="dxa" w:w="1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before="6" w:after="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High</w:t>
            </w:r>
          </w:p>
        </w:tc>
      </w:tr>
    </w:tbl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CATALYSTS (6–12 MONTHS)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Additional hyperscaler contracts: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Each incremental GW-scale deal validates the platform thesis and drives earnings upgrades.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March 31 guidance call: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First formal FY26 outlook with full Calpine integration; synergy and accretion visibility should tighten.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Higher forward power curves: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Sustained demand growth + limited new baseload supply = structurally higher power prices benefiting merchant exposure.</w:t>
      </w:r>
    </w:p>
    <w:p>
      <w:pPr>
        <w:pStyle w:val="ListParagraph"/>
        <w:numPr>
          <w:ilvl w:val="0"/>
          <w:numId w:val="4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Crane Clean Energy Center progress: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Accelerated reconnection of Three Mile Island Unit 1 (targeting Microsoft PPA) would remove a key overhang.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KEY RISKS</w:t>
      </w:r>
    </w:p>
    <w:p>
      <w:pPr>
        <w:pStyle w:val="ListParagraph"/>
        <w:numPr>
          <w:ilvl w:val="0"/>
          <w:numId w:val="5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Regulatory intervention: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State or federal action on power market design, capacity markets, or nuclear subsidies could compress margins.</w:t>
      </w:r>
    </w:p>
    <w:p>
      <w:pPr>
        <w:pStyle w:val="ListParagraph"/>
        <w:numPr>
          <w:ilvl w:val="0"/>
          <w:numId w:val="5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Calpine integration: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60+ plant integration across 2,300 employees carries execution risk; gas fleet margins are more volatile than nuclear.</w:t>
      </w:r>
    </w:p>
    <w:p>
      <w:pPr>
        <w:pStyle w:val="ListParagraph"/>
        <w:numPr>
          <w:ilvl w:val="0"/>
          <w:numId w:val="5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Crane reconnection delay: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Transmission upgrades may push reconnection to 2031, deferring ~1 GW of contracted revenue.</w:t>
      </w:r>
    </w:p>
    <w:p>
      <w:pPr>
        <w:pStyle w:val="ListParagraph"/>
        <w:numPr>
          <w:ilvl w:val="0"/>
          <w:numId w:val="5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Commodity/hedging risk: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Gas price spikes benefit CEG’s gas fleet but could compress nuclear spark spreads if hedges are poorly positioned.</w:t>
      </w:r>
    </w:p>
    <w:p>
      <w:pPr>
        <w:pStyle w:val="ListParagraph"/>
        <w:numPr>
          <w:ilvl w:val="0"/>
          <w:numId w:val="5"/>
        </w:numPr>
        <w:spacing w:before="15" w:after="15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Valuation compression: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If AI demand growth disappoints or power prices mean-revert, the premium multiple unwinds quickly.</w:t>
      </w:r>
    </w:p>
    <w:p>
      <w:pPr>
        <w:pBdr>
          <w:bottom w:val="single" w:color="1B2A4A" w:sz="4" w:space="2"/>
        </w:pBdr>
        <w:spacing w:before="160" w:after="70"/>
      </w:pPr>
      <w:r>
        <w:rPr>
          <w:rFonts w:ascii="Arial" w:cs="Arial" w:eastAsia="Arial" w:hAnsi="Arial"/>
          <w:b/>
          <w:bCs/>
          <w:color w:val="1B2A4A"/>
          <w:sz w:val="16"/>
          <w:szCs w:val="16"/>
        </w:rPr>
        <w:t xml:space="preserve">BOTTOM LINE</w:t>
      </w:r>
    </w:p>
    <w:p>
      <w:pPr>
        <w:shd w:fill="EBF0F7" w:val="clear"/>
        <w:spacing w:before="30" w:after="15"/>
      </w:pPr>
      <w:r>
        <w:rPr>
          <w:rFonts w:ascii="Arial" w:cs="Arial" w:eastAsia="Arial" w:hAnsi="Arial"/>
          <w:b/>
          <w:bCs/>
          <w:color w:val="1B2A4A"/>
          <w:sz w:val="15"/>
          <w:szCs w:val="15"/>
        </w:rPr>
        <w:t xml:space="preserve">CEG is the best public-market vehicle for investing in rising U.S. electricity demand from AI and data center infrastructure. </w:t>
      </w:r>
      <w:r>
        <w:rPr>
          <w:rFonts w:ascii="Arial" w:cs="Arial" w:eastAsia="Arial" w:hAnsi="Arial"/>
          <w:color w:val="1A1A1A"/>
          <w:sz w:val="15"/>
          <w:szCs w:val="15"/>
        </w:rPr>
        <w:t xml:space="preserve">No other listed company combines nuclear scarcity, merchant power upside, a scaled retail platform, flexible gas generation, and active hyperscaler contracting into a single equity. The Calpine acquisition transforms CEG from the nation’s largest nuclear operator into a full-spectrum power platform with ~59 GW of capacity and a growing data center infrastructure moat. At ~25x FY26E earnings — a multiple that has compressed from recent highs despite a materially stronger forward profile — we see asymmetric upside as the market re-rates CEG from “utility” to “critical AI infrastructure.” We are long.</w:t>
      </w:r>
    </w:p>
    <w:sectPr>
      <w:headerReference w:type="default" r:id="rId6"/>
      <w:footerReference w:type="default" r:id="rId7"/>
      <w:pgSz w:w="12240" w:h="15840" w:orient="portrait"/>
      <w:pgMar w:top="72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2" w:space="4"/>
      </w:pBdr>
      <w:spacing w:before="0"/>
    </w:pPr>
    <w:r>
      <w:rPr>
        <w:rFonts w:ascii="Arial" w:cs="Arial" w:eastAsia="Arial" w:hAnsi="Arial"/>
        <w:i/>
        <w:iCs/>
        <w:color w:val="4A4A4A"/>
        <w:sz w:val="12"/>
        <w:szCs w:val="12"/>
      </w:rPr>
      <w:t xml:space="preserve">For Institutional Use Only. Not investment advice. Data sourced from FactSet, company filings, and consensus estimates.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tabs>
        <w:tab w:val="right" w:pos="10440"/>
      </w:tabs>
      <w:spacing w:after="0"/>
    </w:pPr>
    <w:r>
      <w:rPr>
        <w:rFonts w:ascii="Arial" w:cs="Arial" w:eastAsia="Arial" w:hAnsi="Arial"/>
        <w:b/>
        <w:bCs/>
        <w:color w:val="3D7ABF"/>
        <w:sz w:val="14"/>
        <w:szCs w:val="14"/>
      </w:rPr>
      <w:t xml:space="preserve">EQUITY RESEARCH  </w:t>
    </w:r>
    <w:r>
      <w:rPr>
        <w:rFonts w:ascii="Arial" w:cs="Arial" w:eastAsia="Arial" w:hAnsi="Arial"/>
        <w:color w:val="B0BEC5"/>
        <w:sz w:val="14"/>
        <w:szCs w:val="14"/>
      </w:rPr>
      <w:t xml:space="preserve">|  </w:t>
    </w:r>
    <w:r>
      <w:rPr>
        <w:rFonts w:ascii="Arial" w:cs="Arial" w:eastAsia="Arial" w:hAnsi="Arial"/>
        <w:color w:val="4A4A4A"/>
        <w:sz w:val="14"/>
        <w:szCs w:val="14"/>
      </w:rPr>
      <w:t xml:space="preserve">Investment Thesis Tear Sheet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4A4A4A"/>
        <w:sz w:val="14"/>
        <w:szCs w:val="14"/>
      </w:rPr>
      <w:t xml:space="preserve">March 27,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2026-03-28T00:09:46.938Z</dcterms:created>
  <dcterms:modified xsi:type="dcterms:W3CDTF">2026-03-28T00:09:46.938Z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