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General Dynamics Corporation</w:t>
      </w:r>
    </w:p>
    <w:p>
      <w:pPr>
        <w:spacing w:before="20" w:after="50"/>
      </w:pPr>
      <w:r>
        <w:rPr>
          <w:rFonts w:ascii="Arial" w:cs="Arial" w:eastAsia="Arial" w:hAnsi="Arial"/>
          <w:color w:val="4A4A4A"/>
          <w:sz w:val="16"/>
          <w:szCs w:val="16"/>
        </w:rPr>
        <w:t xml:space="preserve">NYSE: GD  |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Price: $349  |  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Mkt Cap: $95B  |  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Rating: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LONG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  |  Consensus PT: $395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INVESTMENT THESIS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General Dynamics is the most diversified U.S. defense prime, and we believe this breadth is structurally underappreciated by a market that tends to reward single-theme defense narratives. </w:t>
      </w: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GD operates across four segments — Aerospace (Gulfstream), Marine Systems (submarines/shipbuilding), Combat Systems (armored vehicles, weapons, munitions), and Technologies (IT/C4ISR/mission systems) — giving it exposure to virtually every corridor of the rearmament cycle simultaneously.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 Where peers are primarily levered to one domain (LMT to tactical aviation, HII to naval, NOC to space/bombers), GD captures defense spending across land, sea, cyber, and space, while Gulfstream provides a premium business-aviation earnings stream uncorrelated with procurement cycles. The company reported FY25 revenue of $52.6B (+10%), EPS of $15.45 (+13%), and ended the year with $118B of backlog (+30%), representing 2.2+ years of revenue visibility. At ~21.5x forward earnings — a discount to NOC, RTX, LHX, and the defense group average — GD offers a more balanced risk/reward than narrower peers for investors seeking exposure to a multi-year global rearmament cycle.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WHY NOW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The geopolitical backdrop is the strongest in a generation for defense primes. Escalating China-Taiwan tensions, including renewed PLA deployments and Taiwan’s push to accelerate defense preparedness, are driving urgency around U.S. and allied military readiness. The U.S. has proposed a ~$200B supplemental defense package linked to the Iran conflict, European NATO members are ramping procurement, and the Pentagon is quadrupling precision-strike missile production. </w:t>
      </w: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GD is uniquely leveraged to this broad rearmament: its Marine segment builds Virginia- and Columbia-class submarines central to Indo-Pacific deterrence; Combat Systems supplies Abrams tanks, Strykers, and munitions for land-force reconstitution; Technologies provides C4ISR and IT for joint all-domain command; and Gulfstream benefits from the parallel tailwind of strong business-aviation demand among the same defense-adjacent customer cohort.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 Investors may be underweighting GD’s leverage to a rearmament cycle that is not one weapons category but all of them.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BUSINESS MIX ADVANTAGE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Marine Systems (~$14B rev, ~27% of total):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Virginia-class and Columbia-class submarine programs provide decade-long demand visibility; $118B backlog is anchored here. Direct exposure to Indo-Pacific naval strategy.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Combat Systems (~$12B rev, ~23%):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Abrams, Stryker, munitions, and international armored vehicle programs. Book-to-bill of 2.1x in FY25 reflects European and allied restocking demand, particularly munitions.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Technologies (~$13.5B rev, ~26%):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IT services, mission systems, C4ISR, and cybersecurity. Backlog of $16.7B with strong IDIQ pipeline. Provides recurring, higher-margin revenue insulated from platform cycle risk.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Aerospace (~$13.1B rev, ~25%):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Gulfstream G700/G800 deliveries and strong order flow. FY25 earnings of $1.75B (+19% y/y). Adds a high-margin, non-defense earnings stream — a differentiator no other defense prime offers.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FINANCIAL SNAPSHOT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</w:tblGrid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Revenue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$52.6B (+10.1%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Net Earnings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$4.2B (+11.3%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Diluted EPS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$15.45 (+13.4%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Operating Cash Flow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$5.1B (122% of net earnings)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Free Cash Flow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~$3.9B (94% conversion)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Backlog (YE 2025)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$118B (+30%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Total Est. Contract Value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$179B (+24%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FY2026 Guidance: Rev / EPS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$54.3–$54.8B / $16.10–$16.20</w:t>
            </w:r>
          </w:p>
        </w:tc>
      </w:tr>
    </w:tbl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VALUATION &amp; PEER COMPARISON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GD trades at ~21.5x FY26E EPS and ~16.3x TTM EV/EBITDA, a meaningful discount to NOC (~27x fwd P/E), RTX (~29x), and LHX (~31x), and roughly in line with LMT (~21x). We believe the discount is unwarranted given GD’s superior diversification, 30% backlog growth, and the stabilizing contribution of Gulfstream. A re-rating toward 23–24x forward earnings — still below the group average — implies $370–$390, with upside toward $420+ if defense spending inflects higher and Gulfstream margins expand.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LMT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NOC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RTX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HII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LHX</w:t>
            </w:r>
          </w:p>
        </w:tc>
      </w:tr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Market Cap ($B)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$95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$145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$105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$249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$17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$69</w:t>
            </w:r>
          </w:p>
        </w:tc>
      </w:tr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Fwd P/E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~21.5x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~21.3x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~26.7x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~29.0x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~24.7x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~31.2x</w:t>
            </w:r>
          </w:p>
        </w:tc>
      </w:tr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EV/EBITDA (TTM)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16.3x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20.0x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17.5x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19.6x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16.9x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19.6x</w:t>
            </w:r>
          </w:p>
        </w:tc>
      </w:tr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Dividend Yield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1.8%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2.2%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1.3%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1.5%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1.4%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1.4%</w:t>
            </w:r>
          </w:p>
        </w:tc>
      </w:tr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FCF Yield (TTM)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~3.8%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~4.2%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~2.8%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~1.8%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~4.2%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~3.4%</w:t>
            </w:r>
          </w:p>
        </w:tc>
      </w:tr>
      <w:tr>
        <w:tc>
          <w:tcPr>
            <w:tcW w:type="dxa" w:w="16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52-Wk Performance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+43%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+34%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+61%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+61%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+122%</w:t>
            </w:r>
          </w:p>
        </w:tc>
        <w:tc>
          <w:tcPr>
            <w:tcW w:type="dxa" w:w="105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+74%</w:t>
            </w:r>
          </w:p>
        </w:tc>
      </w:tr>
    </w:tbl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CATALYSTS (6–12 MONTHS)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Geopolitical escalation: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Continued deterioration in China-Taiwan security conditions or Middle East conflict expansion would drive supplemental defense appropriations across GD’s portfolio.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Naval program strength: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Virginia- and Columbia-class execution milestones and potential acceleration of submarine production rates.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Combat Systems restocking: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European and allied munitions orders (2.1x book-to-bill suggests backlog conversion is accelerating).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Margin expansion: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FY26 guided operating margin of 10.4% (vs. 10.2% in FY25); Gulfstream G700/G800 mix shift should drive Aerospace margins higher.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Multiple expansion: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If investors begin pricing GD as a diversified quality compounder rather than a slower-growth defense incumbent, the stock’s discount to the group narrows.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KEY RISKS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Budget delays &amp; continuing resolutions: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Defense spending increases require appropriations; CRs or political gridlock could delay contract awards and revenue recognition.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Shipbuilding execution: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Submarine programs are complex, capital-intensive, and margin-sensitive; schedule slippage or cost overruns at Electric Boat would weigh on earnings.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Gulfstream cyclicality: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Business jet demand is discretionary; a sharp economic downturn could impair Aerospace order flow, removing the portfolio’s non-defense buffer.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Geopolitical de-escalation: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If China-Taiwan tensions ease or a diplomatic resolution in the Middle East materializes, the defense spending urgency narrative weakens.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Program concentration: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Despite diversification, Marine Systems backlog is heavily weighted to two programs (Virginia/Columbia); adverse developments on either would be material.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BOTTOM LINE</w:t>
      </w:r>
    </w:p>
    <w:p>
      <w:pPr>
        <w:shd w:fill="EBF0F7" w:val="clear"/>
        <w:spacing w:before="30" w:after="15"/>
      </w:pP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GD is the preferred way to gain broad exposure to rising geopolitical tension and defense spending without the concentration risk of a narrower peer.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The company’s four-segment structure captures naval, land, cyber, and aviation demand simultaneously, while Gulfstream provides earnings diversification unavailable elsewhere in the defense sector. FY25 results confirmed the trajectory: double-digit revenue and earnings growth, 30% backlog expansion, and $5.1B of operating cash flow. At ~21.5x forward earnings — a discount to five of its six closest peers — GD trades as though the market is crediting it for none of its structural advantages. The principal risk is that geopolitical tension does not translate into incremental orders quickly enough; the principal upside is that it already has, and the $118B backlog is the proof. We are long.</w:t>
      </w:r>
    </w:p>
    <w:sectPr>
      <w:headerReference w:type="default" r:id="rId6"/>
      <w:footerReference w:type="default" r:id="rId7"/>
      <w:pgSz w:w="12240" w:h="15840" w:orient="portrait"/>
      <w:pgMar w:top="72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4"/>
      </w:pBdr>
      <w:spacing w:before="0"/>
    </w:pPr>
    <w:r>
      <w:rPr>
        <w:rFonts w:ascii="Arial" w:cs="Arial" w:eastAsia="Arial" w:hAnsi="Arial"/>
        <w:i/>
        <w:iCs/>
        <w:color w:val="4A4A4A"/>
        <w:sz w:val="12"/>
        <w:szCs w:val="12"/>
      </w:rPr>
      <w:t xml:space="preserve">For Institutional Use Only. Not investment advice. Data sourced from FactSet, company filings, and consensus estimates.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10440"/>
      </w:tabs>
      <w:spacing w:after="0"/>
    </w:pPr>
    <w:r>
      <w:rPr>
        <w:rFonts w:ascii="Arial" w:cs="Arial" w:eastAsia="Arial" w:hAnsi="Arial"/>
        <w:b/>
        <w:bCs/>
        <w:color w:val="3D7ABF"/>
        <w:sz w:val="14"/>
        <w:szCs w:val="14"/>
      </w:rPr>
      <w:t xml:space="preserve">EQUITY RESEARCH  </w:t>
    </w:r>
    <w:r>
      <w:rPr>
        <w:rFonts w:ascii="Arial" w:cs="Arial" w:eastAsia="Arial" w:hAnsi="Arial"/>
        <w:color w:val="B0BEC5"/>
        <w:sz w:val="14"/>
        <w:szCs w:val="14"/>
      </w:rPr>
      <w:t xml:space="preserve">|  </w:t>
    </w:r>
    <w:r>
      <w:rPr>
        <w:rFonts w:ascii="Arial" w:cs="Arial" w:eastAsia="Arial" w:hAnsi="Arial"/>
        <w:color w:val="4A4A4A"/>
        <w:sz w:val="14"/>
        <w:szCs w:val="14"/>
      </w:rPr>
      <w:t xml:space="preserve">Investment Thesis Tear Sheet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4A4A4A"/>
        <w:sz w:val="14"/>
        <w:szCs w:val="14"/>
      </w:rPr>
      <w:t xml:space="preserve">March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2026-03-27T23:58:21.469Z</dcterms:created>
  <dcterms:modified xsi:type="dcterms:W3CDTF">2026-03-27T23:58:21.470Z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