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9"/>
              <w:spacing w:before="0" w:after="0" w:line="360" w:lineRule="auto"/>
              <w:ind w:left="144" w:leftChars="0" w:right="144" w:right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</w:t>
            </w:r>
            <w:bookmarkStart w:id="26" w:name="_GoBack"/>
            <w:bookmarkEnd w:id="26"/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64A37BE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66605D"/>
    <w:rsid w:val="53C56101"/>
    <w:rsid w:val="54B02803"/>
    <w:rsid w:val="54C03616"/>
    <w:rsid w:val="562309AE"/>
    <w:rsid w:val="56566EC3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5162F4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6F43CE6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2022-02-07T02:02:45Z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788C4CFE8A774FDFAC6C3334356EBB4F</vt:lpwstr>
  </property>
</Properties>
</file>