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60A26" w14:textId="77777777" w:rsidR="00B868B7" w:rsidRPr="00847D58" w:rsidRDefault="00B868B7" w:rsidP="00B868B7">
      <w:pPr>
        <w:pBdr>
          <w:top w:val="nil"/>
          <w:left w:val="nil"/>
          <w:bottom w:val="nil"/>
          <w:right w:val="nil"/>
          <w:between w:val="nil"/>
        </w:pBdr>
        <w:tabs>
          <w:tab w:val="center" w:pos="4153"/>
          <w:tab w:val="right" w:pos="8306"/>
        </w:tabs>
        <w:spacing w:after="0" w:line="240" w:lineRule="auto"/>
        <w:jc w:val="center"/>
        <w:rPr>
          <w:rFonts w:asciiTheme="majorHAnsi" w:eastAsia="Tahoma" w:hAnsiTheme="majorHAnsi" w:cstheme="majorHAnsi"/>
          <w:color w:val="000000"/>
          <w:sz w:val="40"/>
          <w:szCs w:val="40"/>
        </w:rPr>
      </w:pPr>
      <w:r w:rsidRPr="00847D58">
        <w:rPr>
          <w:rFonts w:asciiTheme="majorHAnsi" w:eastAsia="Tahoma" w:hAnsiTheme="majorHAnsi" w:cstheme="majorHAnsi"/>
          <w:b/>
          <w:color w:val="000000"/>
          <w:sz w:val="40"/>
          <w:szCs w:val="40"/>
        </w:rPr>
        <w:t>RMIT International University Vietnam</w:t>
      </w:r>
    </w:p>
    <w:p w14:paraId="7FCFF7EB" w14:textId="77777777" w:rsidR="00B868B7" w:rsidRPr="00847D58" w:rsidRDefault="00B868B7" w:rsidP="00B868B7">
      <w:pPr>
        <w:pBdr>
          <w:top w:val="nil"/>
          <w:left w:val="nil"/>
          <w:bottom w:val="nil"/>
          <w:right w:val="nil"/>
          <w:between w:val="nil"/>
        </w:pBdr>
        <w:tabs>
          <w:tab w:val="center" w:pos="4153"/>
          <w:tab w:val="right" w:pos="8306"/>
        </w:tabs>
        <w:spacing w:after="0" w:line="240" w:lineRule="auto"/>
        <w:jc w:val="center"/>
        <w:rPr>
          <w:rFonts w:asciiTheme="majorHAnsi" w:eastAsia="Tahoma" w:hAnsiTheme="majorHAnsi" w:cstheme="majorHAnsi"/>
          <w:color w:val="000000"/>
          <w:sz w:val="40"/>
          <w:szCs w:val="40"/>
        </w:rPr>
      </w:pPr>
      <w:bookmarkStart w:id="0" w:name="_heading=h.gjdgxs" w:colFirst="0" w:colLast="0"/>
      <w:bookmarkEnd w:id="0"/>
    </w:p>
    <w:p w14:paraId="6866E157" w14:textId="77777777" w:rsidR="00B868B7" w:rsidRPr="00847D58" w:rsidRDefault="00B868B7" w:rsidP="00B868B7">
      <w:pPr>
        <w:pBdr>
          <w:top w:val="nil"/>
          <w:left w:val="nil"/>
          <w:bottom w:val="nil"/>
          <w:right w:val="nil"/>
          <w:between w:val="nil"/>
        </w:pBdr>
        <w:tabs>
          <w:tab w:val="center" w:pos="4153"/>
          <w:tab w:val="right" w:pos="8306"/>
        </w:tabs>
        <w:spacing w:after="0" w:line="240" w:lineRule="auto"/>
        <w:jc w:val="center"/>
        <w:rPr>
          <w:rFonts w:asciiTheme="majorHAnsi" w:eastAsia="Times New Roman" w:hAnsiTheme="majorHAnsi" w:cstheme="majorHAnsi"/>
          <w:color w:val="000000"/>
          <w:sz w:val="28"/>
          <w:szCs w:val="28"/>
        </w:rPr>
      </w:pPr>
    </w:p>
    <w:p w14:paraId="4DDFAF48" w14:textId="77777777" w:rsidR="00B868B7" w:rsidRPr="00847D58" w:rsidRDefault="00B868B7" w:rsidP="00B868B7">
      <w:pPr>
        <w:pBdr>
          <w:top w:val="nil"/>
          <w:left w:val="nil"/>
          <w:bottom w:val="nil"/>
          <w:right w:val="nil"/>
          <w:between w:val="nil"/>
        </w:pBdr>
        <w:tabs>
          <w:tab w:val="center" w:pos="4153"/>
          <w:tab w:val="right" w:pos="8306"/>
        </w:tabs>
        <w:spacing w:after="0" w:line="240" w:lineRule="auto"/>
        <w:jc w:val="center"/>
        <w:rPr>
          <w:rFonts w:asciiTheme="majorHAnsi" w:eastAsia="Times New Roman" w:hAnsiTheme="majorHAnsi" w:cstheme="majorHAnsi"/>
          <w:color w:val="000000"/>
          <w:sz w:val="32"/>
          <w:szCs w:val="32"/>
        </w:rPr>
      </w:pPr>
      <w:r w:rsidRPr="00847D58">
        <w:rPr>
          <w:rFonts w:asciiTheme="majorHAnsi" w:eastAsia="Times New Roman" w:hAnsiTheme="majorHAnsi" w:cstheme="majorHAnsi"/>
          <w:b/>
          <w:color w:val="000000"/>
          <w:sz w:val="32"/>
          <w:szCs w:val="32"/>
        </w:rPr>
        <w:t xml:space="preserve">Assignment Cover Page </w:t>
      </w:r>
    </w:p>
    <w:tbl>
      <w:tblPr>
        <w:tblW w:w="89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10"/>
        <w:gridCol w:w="4518"/>
      </w:tblGrid>
      <w:tr w:rsidR="00B868B7" w:rsidRPr="00847D58" w14:paraId="2DCAF605" w14:textId="77777777" w:rsidTr="001B6AB1">
        <w:trPr>
          <w:trHeight w:val="320"/>
        </w:trPr>
        <w:tc>
          <w:tcPr>
            <w:tcW w:w="4410" w:type="dxa"/>
          </w:tcPr>
          <w:p w14:paraId="19542D7B"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r w:rsidRPr="00847D58">
              <w:rPr>
                <w:rFonts w:asciiTheme="majorHAnsi" w:eastAsia="Tahoma" w:hAnsiTheme="majorHAnsi" w:cstheme="majorHAnsi"/>
                <w:b/>
                <w:color w:val="000000"/>
                <w:sz w:val="20"/>
                <w:szCs w:val="20"/>
              </w:rPr>
              <w:tab/>
              <w:t>Subject Code:</w:t>
            </w:r>
          </w:p>
          <w:p w14:paraId="4D6196BC"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p w14:paraId="33E075FA"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tc>
        <w:tc>
          <w:tcPr>
            <w:tcW w:w="4518" w:type="dxa"/>
          </w:tcPr>
          <w:p w14:paraId="451ABCD4" w14:textId="4F20A2AA" w:rsidR="00B868B7" w:rsidRPr="00847D58" w:rsidRDefault="00B868B7" w:rsidP="001B6AB1">
            <w:pPr>
              <w:pBdr>
                <w:top w:val="nil"/>
                <w:left w:val="nil"/>
                <w:bottom w:val="nil"/>
                <w:right w:val="nil"/>
                <w:between w:val="nil"/>
              </w:pBdr>
              <w:rPr>
                <w:rFonts w:asciiTheme="majorHAnsi" w:eastAsia="Tahoma" w:hAnsiTheme="majorHAnsi" w:cstheme="majorHAnsi"/>
                <w:color w:val="000000"/>
                <w:sz w:val="20"/>
                <w:szCs w:val="20"/>
              </w:rPr>
            </w:pPr>
            <w:r w:rsidRPr="00847D58">
              <w:rPr>
                <w:rFonts w:asciiTheme="majorHAnsi" w:eastAsia="Tahoma" w:hAnsiTheme="majorHAnsi" w:cstheme="majorHAnsi"/>
                <w:color w:val="000000"/>
                <w:sz w:val="20"/>
                <w:szCs w:val="20"/>
                <w:lang w:val="vi-VN"/>
              </w:rPr>
              <w:t>COSC</w:t>
            </w:r>
            <w:r w:rsidRPr="00847D58">
              <w:rPr>
                <w:rFonts w:asciiTheme="majorHAnsi" w:eastAsia="Tahoma" w:hAnsiTheme="majorHAnsi" w:cstheme="majorHAnsi"/>
                <w:color w:val="000000"/>
                <w:sz w:val="20"/>
                <w:szCs w:val="20"/>
              </w:rPr>
              <w:t>3</w:t>
            </w:r>
            <w:r w:rsidR="00B557D7">
              <w:rPr>
                <w:rFonts w:asciiTheme="majorHAnsi" w:eastAsia="Tahoma" w:hAnsiTheme="majorHAnsi" w:cstheme="majorHAnsi"/>
                <w:color w:val="000000"/>
                <w:sz w:val="20"/>
                <w:szCs w:val="20"/>
              </w:rPr>
              <w:t>118</w:t>
            </w:r>
          </w:p>
        </w:tc>
      </w:tr>
      <w:tr w:rsidR="00B868B7" w:rsidRPr="00847D58" w14:paraId="260F26D0" w14:textId="77777777" w:rsidTr="001B6AB1">
        <w:tc>
          <w:tcPr>
            <w:tcW w:w="4410" w:type="dxa"/>
          </w:tcPr>
          <w:p w14:paraId="5E4CF1F6" w14:textId="77777777" w:rsidR="00B868B7" w:rsidRPr="00847D58" w:rsidRDefault="00B868B7" w:rsidP="001B6AB1">
            <w:pPr>
              <w:pBdr>
                <w:top w:val="nil"/>
                <w:left w:val="nil"/>
                <w:bottom w:val="nil"/>
                <w:right w:val="nil"/>
                <w:between w:val="nil"/>
              </w:pBdr>
              <w:spacing w:after="0" w:line="240" w:lineRule="auto"/>
              <w:jc w:val="right"/>
              <w:rPr>
                <w:rFonts w:asciiTheme="majorHAnsi" w:eastAsia="Arial" w:hAnsiTheme="majorHAnsi" w:cstheme="majorHAnsi"/>
                <w:color w:val="000000"/>
                <w:sz w:val="20"/>
                <w:szCs w:val="20"/>
              </w:rPr>
            </w:pPr>
            <w:r w:rsidRPr="00847D58">
              <w:rPr>
                <w:rFonts w:asciiTheme="majorHAnsi" w:eastAsia="Arial" w:hAnsiTheme="majorHAnsi" w:cstheme="majorHAnsi"/>
                <w:b/>
                <w:color w:val="000000"/>
                <w:sz w:val="20"/>
                <w:szCs w:val="20"/>
              </w:rPr>
              <w:t>Subject Name:</w:t>
            </w:r>
          </w:p>
          <w:p w14:paraId="48EB4388" w14:textId="77777777" w:rsidR="00B868B7" w:rsidRPr="00847D58" w:rsidRDefault="00B868B7" w:rsidP="001B6AB1">
            <w:pPr>
              <w:pBdr>
                <w:top w:val="nil"/>
                <w:left w:val="nil"/>
                <w:bottom w:val="nil"/>
                <w:right w:val="nil"/>
                <w:between w:val="nil"/>
              </w:pBdr>
              <w:spacing w:after="0" w:line="240" w:lineRule="auto"/>
              <w:jc w:val="right"/>
              <w:rPr>
                <w:rFonts w:asciiTheme="majorHAnsi" w:eastAsia="Arial" w:hAnsiTheme="majorHAnsi" w:cstheme="majorHAnsi"/>
                <w:color w:val="000000"/>
                <w:sz w:val="20"/>
                <w:szCs w:val="20"/>
              </w:rPr>
            </w:pPr>
          </w:p>
          <w:p w14:paraId="048A9818"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tc>
        <w:tc>
          <w:tcPr>
            <w:tcW w:w="4518" w:type="dxa"/>
          </w:tcPr>
          <w:p w14:paraId="53F98278" w14:textId="3142D326" w:rsidR="00B868B7" w:rsidRPr="00847D58" w:rsidRDefault="00B557D7" w:rsidP="001B6AB1">
            <w:pPr>
              <w:pBdr>
                <w:top w:val="nil"/>
                <w:left w:val="nil"/>
                <w:bottom w:val="nil"/>
                <w:right w:val="nil"/>
                <w:between w:val="nil"/>
              </w:pBdr>
              <w:rPr>
                <w:rFonts w:asciiTheme="majorHAnsi" w:eastAsia="Tahoma" w:hAnsiTheme="majorHAnsi" w:cstheme="majorHAnsi"/>
                <w:color w:val="000000"/>
                <w:sz w:val="20"/>
                <w:szCs w:val="20"/>
              </w:rPr>
            </w:pPr>
            <w:bookmarkStart w:id="1" w:name="_heading=h.30j0zll" w:colFirst="0" w:colLast="0"/>
            <w:bookmarkEnd w:id="1"/>
            <w:r>
              <w:rPr>
                <w:rFonts w:asciiTheme="majorHAnsi" w:eastAsia="Tahoma" w:hAnsiTheme="majorHAnsi" w:cstheme="majorHAnsi"/>
                <w:color w:val="000000"/>
                <w:sz w:val="20"/>
                <w:szCs w:val="20"/>
              </w:rPr>
              <w:t>Artificial Intelligence</w:t>
            </w:r>
          </w:p>
        </w:tc>
      </w:tr>
      <w:tr w:rsidR="00B868B7" w:rsidRPr="00847D58" w14:paraId="633C0C72" w14:textId="77777777" w:rsidTr="001B6AB1">
        <w:tc>
          <w:tcPr>
            <w:tcW w:w="4410" w:type="dxa"/>
          </w:tcPr>
          <w:p w14:paraId="2E50BEA6"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r w:rsidRPr="00847D58">
              <w:rPr>
                <w:rFonts w:asciiTheme="majorHAnsi" w:eastAsia="Tahoma" w:hAnsiTheme="majorHAnsi" w:cstheme="majorHAnsi"/>
                <w:b/>
                <w:color w:val="000000"/>
                <w:sz w:val="20"/>
                <w:szCs w:val="20"/>
              </w:rPr>
              <w:t>Location &amp; Campus (SGS or HN) where you study:</w:t>
            </w:r>
          </w:p>
          <w:p w14:paraId="6AAEABE9"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tc>
        <w:tc>
          <w:tcPr>
            <w:tcW w:w="4518" w:type="dxa"/>
          </w:tcPr>
          <w:p w14:paraId="4A060008" w14:textId="77777777" w:rsidR="00B868B7" w:rsidRPr="00847D58" w:rsidRDefault="00B868B7" w:rsidP="001B6AB1">
            <w:pPr>
              <w:pBdr>
                <w:top w:val="nil"/>
                <w:left w:val="nil"/>
                <w:bottom w:val="nil"/>
                <w:right w:val="nil"/>
                <w:between w:val="nil"/>
              </w:pBdr>
              <w:rPr>
                <w:rFonts w:asciiTheme="majorHAnsi" w:eastAsia="Tahoma" w:hAnsiTheme="majorHAnsi" w:cstheme="majorHAnsi"/>
                <w:color w:val="000000"/>
                <w:sz w:val="20"/>
                <w:szCs w:val="20"/>
              </w:rPr>
            </w:pPr>
            <w:r w:rsidRPr="00847D58">
              <w:rPr>
                <w:rFonts w:asciiTheme="majorHAnsi" w:eastAsia="Tahoma" w:hAnsiTheme="majorHAnsi" w:cstheme="majorHAnsi"/>
                <w:color w:val="000000"/>
                <w:sz w:val="20"/>
                <w:szCs w:val="20"/>
              </w:rPr>
              <w:t>SGS</w:t>
            </w:r>
          </w:p>
        </w:tc>
      </w:tr>
      <w:tr w:rsidR="00B868B7" w:rsidRPr="00847D58" w14:paraId="5C88FA34" w14:textId="77777777" w:rsidTr="001B6AB1">
        <w:tc>
          <w:tcPr>
            <w:tcW w:w="4410" w:type="dxa"/>
          </w:tcPr>
          <w:p w14:paraId="11B64D94"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r w:rsidRPr="00847D58">
              <w:rPr>
                <w:rFonts w:asciiTheme="majorHAnsi" w:eastAsia="Tahoma" w:hAnsiTheme="majorHAnsi" w:cstheme="majorHAnsi"/>
                <w:b/>
                <w:color w:val="000000"/>
                <w:sz w:val="20"/>
                <w:szCs w:val="20"/>
              </w:rPr>
              <w:t>Title of Assignment:</w:t>
            </w:r>
          </w:p>
          <w:p w14:paraId="19CAEA47"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p w14:paraId="188A7286"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tc>
        <w:tc>
          <w:tcPr>
            <w:tcW w:w="4518" w:type="dxa"/>
          </w:tcPr>
          <w:p w14:paraId="12583229" w14:textId="1E28AB6C" w:rsidR="00B868B7" w:rsidRPr="00847D58" w:rsidRDefault="00B868B7" w:rsidP="001B6AB1">
            <w:pPr>
              <w:pStyle w:val="Heading1"/>
              <w:keepNext w:val="0"/>
              <w:keepLines w:val="0"/>
              <w:shd w:val="clear" w:color="auto" w:fill="FFFFFF"/>
              <w:spacing w:before="0" w:line="312" w:lineRule="auto"/>
              <w:rPr>
                <w:rFonts w:eastAsia="Tahoma" w:cstheme="majorHAnsi"/>
                <w:b/>
                <w:bCs/>
                <w:sz w:val="20"/>
                <w:szCs w:val="20"/>
                <w:lang w:val="en-US"/>
              </w:rPr>
            </w:pPr>
            <w:r w:rsidRPr="00847D58">
              <w:rPr>
                <w:rFonts w:eastAsia="Tahoma" w:cstheme="majorHAnsi"/>
                <w:bCs/>
                <w:sz w:val="20"/>
                <w:szCs w:val="20"/>
                <w:lang w:val="en-US"/>
              </w:rPr>
              <w:t>Assignment 1</w:t>
            </w:r>
            <w:r w:rsidR="00125524">
              <w:rPr>
                <w:rFonts w:eastAsia="Tahoma" w:cstheme="majorHAnsi"/>
                <w:bCs/>
                <w:sz w:val="20"/>
                <w:szCs w:val="20"/>
                <w:lang w:val="en-US"/>
              </w:rPr>
              <w:t xml:space="preserve"> Part 2: Multi-agent</w:t>
            </w:r>
          </w:p>
        </w:tc>
      </w:tr>
      <w:tr w:rsidR="00B868B7" w:rsidRPr="00847D58" w14:paraId="5D07C409" w14:textId="77777777" w:rsidTr="001B6AB1">
        <w:trPr>
          <w:trHeight w:val="780"/>
        </w:trPr>
        <w:tc>
          <w:tcPr>
            <w:tcW w:w="4410" w:type="dxa"/>
          </w:tcPr>
          <w:p w14:paraId="0DF37649"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r w:rsidRPr="00847D58">
              <w:rPr>
                <w:rFonts w:asciiTheme="majorHAnsi" w:eastAsia="Arial" w:hAnsiTheme="majorHAnsi" w:cstheme="majorHAnsi"/>
                <w:b/>
                <w:color w:val="000000"/>
                <w:sz w:val="20"/>
                <w:szCs w:val="20"/>
              </w:rPr>
              <w:t>Student name:</w:t>
            </w:r>
          </w:p>
        </w:tc>
        <w:tc>
          <w:tcPr>
            <w:tcW w:w="4518" w:type="dxa"/>
          </w:tcPr>
          <w:p w14:paraId="2F83595B" w14:textId="748B9237" w:rsidR="00B868B7" w:rsidRPr="00847D58" w:rsidRDefault="00B868B7" w:rsidP="001B6AB1">
            <w:pPr>
              <w:pBdr>
                <w:top w:val="nil"/>
                <w:left w:val="nil"/>
                <w:bottom w:val="nil"/>
                <w:right w:val="nil"/>
                <w:between w:val="nil"/>
              </w:pBdr>
              <w:rPr>
                <w:rFonts w:asciiTheme="majorHAnsi" w:eastAsia="Tahoma" w:hAnsiTheme="majorHAnsi" w:cstheme="majorHAnsi"/>
                <w:sz w:val="20"/>
                <w:szCs w:val="20"/>
              </w:rPr>
            </w:pPr>
            <w:r w:rsidRPr="00847D58">
              <w:rPr>
                <w:rFonts w:asciiTheme="majorHAnsi" w:eastAsia="Tahoma" w:hAnsiTheme="majorHAnsi" w:cstheme="majorHAnsi"/>
                <w:sz w:val="20"/>
                <w:szCs w:val="20"/>
              </w:rPr>
              <w:t xml:space="preserve">Nguyen Quoc Trong Nghia </w:t>
            </w:r>
          </w:p>
        </w:tc>
      </w:tr>
      <w:tr w:rsidR="00B868B7" w:rsidRPr="00847D58" w14:paraId="7EA08B21" w14:textId="77777777" w:rsidTr="001B6AB1">
        <w:tc>
          <w:tcPr>
            <w:tcW w:w="4410" w:type="dxa"/>
          </w:tcPr>
          <w:p w14:paraId="0DF86E28" w14:textId="77777777" w:rsidR="00B868B7" w:rsidRPr="00847D58" w:rsidRDefault="00B868B7" w:rsidP="001B6AB1">
            <w:pPr>
              <w:pBdr>
                <w:top w:val="nil"/>
                <w:left w:val="nil"/>
                <w:bottom w:val="nil"/>
                <w:right w:val="nil"/>
                <w:between w:val="nil"/>
              </w:pBdr>
              <w:spacing w:after="0" w:line="240" w:lineRule="auto"/>
              <w:jc w:val="right"/>
              <w:rPr>
                <w:rFonts w:asciiTheme="majorHAnsi" w:eastAsia="Arial" w:hAnsiTheme="majorHAnsi" w:cstheme="majorHAnsi"/>
                <w:color w:val="000000"/>
                <w:sz w:val="20"/>
                <w:szCs w:val="20"/>
              </w:rPr>
            </w:pPr>
            <w:r w:rsidRPr="00847D58">
              <w:rPr>
                <w:rFonts w:asciiTheme="majorHAnsi" w:eastAsia="Arial" w:hAnsiTheme="majorHAnsi" w:cstheme="majorHAnsi"/>
                <w:b/>
                <w:color w:val="000000"/>
                <w:sz w:val="20"/>
                <w:szCs w:val="20"/>
              </w:rPr>
              <w:t>Student Number:</w:t>
            </w:r>
          </w:p>
          <w:p w14:paraId="0EA6A2B1" w14:textId="77777777" w:rsidR="00B868B7" w:rsidRPr="00847D58" w:rsidRDefault="00B868B7" w:rsidP="001B6AB1">
            <w:pPr>
              <w:pBdr>
                <w:top w:val="nil"/>
                <w:left w:val="nil"/>
                <w:bottom w:val="nil"/>
                <w:right w:val="nil"/>
                <w:between w:val="nil"/>
              </w:pBdr>
              <w:spacing w:after="0" w:line="240" w:lineRule="auto"/>
              <w:jc w:val="right"/>
              <w:rPr>
                <w:rFonts w:asciiTheme="majorHAnsi" w:eastAsia="Arial" w:hAnsiTheme="majorHAnsi" w:cstheme="majorHAnsi"/>
                <w:color w:val="000000"/>
                <w:sz w:val="20"/>
                <w:szCs w:val="20"/>
              </w:rPr>
            </w:pPr>
          </w:p>
          <w:p w14:paraId="29BC0F95"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tc>
        <w:tc>
          <w:tcPr>
            <w:tcW w:w="4518" w:type="dxa"/>
          </w:tcPr>
          <w:p w14:paraId="7A2BD53D" w14:textId="1184BA3D" w:rsidR="00B868B7" w:rsidRPr="00847D58" w:rsidRDefault="00B868B7" w:rsidP="001B6AB1">
            <w:pPr>
              <w:pBdr>
                <w:top w:val="nil"/>
                <w:left w:val="nil"/>
                <w:bottom w:val="nil"/>
                <w:right w:val="nil"/>
                <w:between w:val="nil"/>
              </w:pBdr>
              <w:rPr>
                <w:rFonts w:asciiTheme="majorHAnsi" w:eastAsia="Tahoma" w:hAnsiTheme="majorHAnsi" w:cstheme="majorHAnsi"/>
                <w:sz w:val="20"/>
                <w:szCs w:val="20"/>
              </w:rPr>
            </w:pPr>
            <w:r w:rsidRPr="00847D58">
              <w:rPr>
                <w:rFonts w:asciiTheme="majorHAnsi" w:eastAsia="Tahoma" w:hAnsiTheme="majorHAnsi" w:cstheme="majorHAnsi"/>
                <w:sz w:val="20"/>
                <w:szCs w:val="20"/>
              </w:rPr>
              <w:t>s3343711</w:t>
            </w:r>
          </w:p>
        </w:tc>
      </w:tr>
      <w:tr w:rsidR="00B868B7" w:rsidRPr="00847D58" w14:paraId="74729223" w14:textId="77777777" w:rsidTr="001B6AB1">
        <w:tc>
          <w:tcPr>
            <w:tcW w:w="4410" w:type="dxa"/>
          </w:tcPr>
          <w:p w14:paraId="7006687F" w14:textId="77777777" w:rsidR="00B868B7" w:rsidRPr="00847D58" w:rsidRDefault="00B868B7" w:rsidP="001B6AB1">
            <w:pPr>
              <w:pBdr>
                <w:top w:val="nil"/>
                <w:left w:val="nil"/>
                <w:bottom w:val="nil"/>
                <w:right w:val="nil"/>
                <w:between w:val="nil"/>
              </w:pBdr>
              <w:spacing w:after="0" w:line="240" w:lineRule="auto"/>
              <w:jc w:val="right"/>
              <w:rPr>
                <w:rFonts w:asciiTheme="majorHAnsi" w:eastAsia="Arial" w:hAnsiTheme="majorHAnsi" w:cstheme="majorHAnsi"/>
                <w:color w:val="000000"/>
                <w:sz w:val="20"/>
                <w:szCs w:val="20"/>
              </w:rPr>
            </w:pPr>
            <w:r w:rsidRPr="00847D58">
              <w:rPr>
                <w:rFonts w:asciiTheme="majorHAnsi" w:eastAsia="Arial" w:hAnsiTheme="majorHAnsi" w:cstheme="majorHAnsi"/>
                <w:b/>
                <w:color w:val="000000"/>
                <w:sz w:val="20"/>
                <w:szCs w:val="20"/>
              </w:rPr>
              <w:t>Teachers Name:</w:t>
            </w:r>
          </w:p>
          <w:p w14:paraId="40E3C58D"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p w14:paraId="7D1E7DF9"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tc>
        <w:tc>
          <w:tcPr>
            <w:tcW w:w="4518" w:type="dxa"/>
          </w:tcPr>
          <w:p w14:paraId="15D3ABCD" w14:textId="30A7D007" w:rsidR="00B868B7" w:rsidRPr="00847D58" w:rsidRDefault="00A10639" w:rsidP="001B6AB1">
            <w:pPr>
              <w:pBdr>
                <w:top w:val="nil"/>
                <w:left w:val="nil"/>
                <w:bottom w:val="nil"/>
                <w:right w:val="nil"/>
                <w:between w:val="nil"/>
              </w:pBdr>
              <w:rPr>
                <w:rFonts w:asciiTheme="majorHAnsi" w:eastAsia="Tahoma" w:hAnsiTheme="majorHAnsi" w:cstheme="majorHAnsi"/>
                <w:color w:val="000000"/>
                <w:sz w:val="20"/>
                <w:szCs w:val="20"/>
              </w:rPr>
            </w:pPr>
            <w:r>
              <w:rPr>
                <w:rFonts w:asciiTheme="majorHAnsi" w:eastAsia="Tahoma" w:hAnsiTheme="majorHAnsi" w:cstheme="majorHAnsi"/>
                <w:color w:val="000000"/>
                <w:sz w:val="20"/>
                <w:szCs w:val="20"/>
              </w:rPr>
              <w:t>Thuy Nguyen</w:t>
            </w:r>
          </w:p>
        </w:tc>
      </w:tr>
      <w:tr w:rsidR="00B868B7" w:rsidRPr="00847D58" w14:paraId="1A8CC365" w14:textId="77777777" w:rsidTr="001B6AB1">
        <w:tc>
          <w:tcPr>
            <w:tcW w:w="4410" w:type="dxa"/>
          </w:tcPr>
          <w:p w14:paraId="6A5D5188" w14:textId="77777777" w:rsidR="00B868B7" w:rsidRPr="00847D58" w:rsidRDefault="00B868B7" w:rsidP="001B6AB1">
            <w:pPr>
              <w:pBdr>
                <w:top w:val="nil"/>
                <w:left w:val="nil"/>
                <w:bottom w:val="nil"/>
                <w:right w:val="nil"/>
                <w:between w:val="nil"/>
              </w:pBdr>
              <w:spacing w:after="0" w:line="240" w:lineRule="auto"/>
              <w:jc w:val="right"/>
              <w:rPr>
                <w:rFonts w:asciiTheme="majorHAnsi" w:eastAsia="Arial" w:hAnsiTheme="majorHAnsi" w:cstheme="majorHAnsi"/>
                <w:color w:val="000000"/>
                <w:sz w:val="20"/>
                <w:szCs w:val="20"/>
              </w:rPr>
            </w:pPr>
            <w:r w:rsidRPr="00847D58">
              <w:rPr>
                <w:rFonts w:asciiTheme="majorHAnsi" w:eastAsia="Arial" w:hAnsiTheme="majorHAnsi" w:cstheme="majorHAnsi"/>
                <w:b/>
                <w:color w:val="000000"/>
                <w:sz w:val="20"/>
                <w:szCs w:val="20"/>
              </w:rPr>
              <w:t>Group Number:</w:t>
            </w:r>
          </w:p>
          <w:p w14:paraId="190DC253" w14:textId="77777777" w:rsidR="00B868B7" w:rsidRPr="00847D58" w:rsidRDefault="00B868B7" w:rsidP="001B6AB1">
            <w:pPr>
              <w:pBdr>
                <w:top w:val="nil"/>
                <w:left w:val="nil"/>
                <w:bottom w:val="nil"/>
                <w:right w:val="nil"/>
                <w:between w:val="nil"/>
              </w:pBdr>
              <w:spacing w:after="0" w:line="240" w:lineRule="auto"/>
              <w:jc w:val="right"/>
              <w:rPr>
                <w:rFonts w:asciiTheme="majorHAnsi" w:eastAsia="Arial" w:hAnsiTheme="majorHAnsi" w:cstheme="majorHAnsi"/>
                <w:color w:val="000000"/>
                <w:sz w:val="20"/>
                <w:szCs w:val="20"/>
              </w:rPr>
            </w:pPr>
          </w:p>
          <w:p w14:paraId="3FE49D8E" w14:textId="77777777" w:rsidR="00B868B7" w:rsidRPr="00847D58" w:rsidRDefault="00B868B7" w:rsidP="001B6AB1">
            <w:pPr>
              <w:pBdr>
                <w:top w:val="nil"/>
                <w:left w:val="nil"/>
                <w:bottom w:val="nil"/>
                <w:right w:val="nil"/>
                <w:between w:val="nil"/>
              </w:pBdr>
              <w:spacing w:after="0" w:line="240" w:lineRule="auto"/>
              <w:jc w:val="right"/>
              <w:rPr>
                <w:rFonts w:asciiTheme="majorHAnsi" w:eastAsia="Arial" w:hAnsiTheme="majorHAnsi" w:cstheme="majorHAnsi"/>
                <w:color w:val="000000"/>
                <w:sz w:val="20"/>
                <w:szCs w:val="20"/>
              </w:rPr>
            </w:pPr>
          </w:p>
        </w:tc>
        <w:tc>
          <w:tcPr>
            <w:tcW w:w="4518" w:type="dxa"/>
          </w:tcPr>
          <w:p w14:paraId="407D1B4A" w14:textId="2BE96C8F" w:rsidR="00B868B7" w:rsidRPr="00847D58" w:rsidRDefault="00B868B7" w:rsidP="001B6AB1">
            <w:pPr>
              <w:rPr>
                <w:rFonts w:asciiTheme="majorHAnsi" w:eastAsia="Tahoma" w:hAnsiTheme="majorHAnsi" w:cstheme="majorHAnsi"/>
                <w:sz w:val="20"/>
                <w:szCs w:val="20"/>
              </w:rPr>
            </w:pPr>
          </w:p>
        </w:tc>
      </w:tr>
      <w:tr w:rsidR="00B868B7" w:rsidRPr="00847D58" w14:paraId="72C61DB0" w14:textId="77777777" w:rsidTr="001B6AB1">
        <w:tc>
          <w:tcPr>
            <w:tcW w:w="4410" w:type="dxa"/>
          </w:tcPr>
          <w:p w14:paraId="2530C78B" w14:textId="77777777" w:rsidR="00B868B7" w:rsidRPr="00847D58" w:rsidRDefault="00B868B7" w:rsidP="001B6AB1">
            <w:pPr>
              <w:pBdr>
                <w:top w:val="nil"/>
                <w:left w:val="nil"/>
                <w:bottom w:val="nil"/>
                <w:right w:val="nil"/>
                <w:between w:val="nil"/>
              </w:pBdr>
              <w:spacing w:after="0" w:line="240" w:lineRule="auto"/>
              <w:jc w:val="right"/>
              <w:rPr>
                <w:rFonts w:asciiTheme="majorHAnsi" w:eastAsia="Arial" w:hAnsiTheme="majorHAnsi" w:cstheme="majorHAnsi"/>
                <w:color w:val="000000"/>
                <w:sz w:val="20"/>
                <w:szCs w:val="20"/>
              </w:rPr>
            </w:pPr>
            <w:r w:rsidRPr="00847D58">
              <w:rPr>
                <w:rFonts w:asciiTheme="majorHAnsi" w:eastAsia="Arial" w:hAnsiTheme="majorHAnsi" w:cstheme="majorHAnsi"/>
                <w:b/>
                <w:color w:val="000000"/>
                <w:sz w:val="20"/>
                <w:szCs w:val="20"/>
              </w:rPr>
              <w:t>Assignment due date:</w:t>
            </w:r>
          </w:p>
          <w:p w14:paraId="5B63EEC5" w14:textId="77777777" w:rsidR="00B868B7" w:rsidRPr="00847D58" w:rsidRDefault="00B868B7" w:rsidP="001B6AB1">
            <w:pPr>
              <w:pBdr>
                <w:top w:val="nil"/>
                <w:left w:val="nil"/>
                <w:bottom w:val="nil"/>
                <w:right w:val="nil"/>
                <w:between w:val="nil"/>
              </w:pBdr>
              <w:spacing w:after="0" w:line="240" w:lineRule="auto"/>
              <w:jc w:val="right"/>
              <w:rPr>
                <w:rFonts w:asciiTheme="majorHAnsi" w:eastAsia="Arial" w:hAnsiTheme="majorHAnsi" w:cstheme="majorHAnsi"/>
                <w:color w:val="000000"/>
                <w:sz w:val="20"/>
                <w:szCs w:val="20"/>
              </w:rPr>
            </w:pPr>
          </w:p>
          <w:p w14:paraId="23CBDC27"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tc>
        <w:tc>
          <w:tcPr>
            <w:tcW w:w="4518" w:type="dxa"/>
          </w:tcPr>
          <w:p w14:paraId="5EC97CD0" w14:textId="6EA4E485" w:rsidR="00B868B7" w:rsidRPr="00847D58" w:rsidRDefault="00A10639" w:rsidP="001B6AB1">
            <w:pPr>
              <w:pBdr>
                <w:top w:val="nil"/>
                <w:left w:val="nil"/>
                <w:bottom w:val="nil"/>
                <w:right w:val="nil"/>
                <w:between w:val="nil"/>
              </w:pBdr>
              <w:rPr>
                <w:rFonts w:asciiTheme="majorHAnsi" w:eastAsia="Tahoma" w:hAnsiTheme="majorHAnsi" w:cstheme="majorHAnsi"/>
                <w:color w:val="000000"/>
                <w:sz w:val="20"/>
                <w:szCs w:val="20"/>
              </w:rPr>
            </w:pPr>
            <w:r>
              <w:rPr>
                <w:rFonts w:asciiTheme="majorHAnsi" w:eastAsia="Tahoma" w:hAnsiTheme="majorHAnsi" w:cstheme="majorHAnsi"/>
                <w:color w:val="000000"/>
                <w:sz w:val="20"/>
                <w:szCs w:val="20"/>
              </w:rPr>
              <w:t xml:space="preserve">Thursday </w:t>
            </w:r>
            <w:r w:rsidR="00B868B7" w:rsidRPr="00847D58">
              <w:rPr>
                <w:rFonts w:asciiTheme="majorHAnsi" w:eastAsia="Tahoma" w:hAnsiTheme="majorHAnsi" w:cstheme="majorHAnsi"/>
                <w:color w:val="000000"/>
                <w:sz w:val="20"/>
                <w:szCs w:val="20"/>
              </w:rPr>
              <w:t>7</w:t>
            </w:r>
            <w:r w:rsidR="00B868B7" w:rsidRPr="00847D58">
              <w:rPr>
                <w:rFonts w:asciiTheme="majorHAnsi" w:eastAsia="Tahoma" w:hAnsiTheme="majorHAnsi" w:cstheme="majorHAnsi"/>
                <w:color w:val="000000"/>
                <w:sz w:val="20"/>
                <w:szCs w:val="20"/>
                <w:vertAlign w:val="superscript"/>
              </w:rPr>
              <w:t>th</w:t>
            </w:r>
            <w:r w:rsidR="00B868B7" w:rsidRPr="00847D58">
              <w:rPr>
                <w:rFonts w:asciiTheme="majorHAnsi" w:eastAsia="Tahoma" w:hAnsiTheme="majorHAnsi" w:cstheme="majorHAnsi"/>
                <w:color w:val="000000"/>
                <w:sz w:val="20"/>
                <w:szCs w:val="20"/>
              </w:rPr>
              <w:t xml:space="preserve"> </w:t>
            </w:r>
            <w:r>
              <w:rPr>
                <w:rFonts w:asciiTheme="majorHAnsi" w:eastAsia="Tahoma" w:hAnsiTheme="majorHAnsi" w:cstheme="majorHAnsi"/>
                <w:color w:val="000000"/>
                <w:sz w:val="20"/>
                <w:szCs w:val="20"/>
              </w:rPr>
              <w:t>Aug</w:t>
            </w:r>
            <w:r w:rsidR="00B868B7" w:rsidRPr="00847D58">
              <w:rPr>
                <w:rFonts w:asciiTheme="majorHAnsi" w:eastAsia="Tahoma" w:hAnsiTheme="majorHAnsi" w:cstheme="majorHAnsi"/>
                <w:color w:val="000000"/>
                <w:sz w:val="20"/>
                <w:szCs w:val="20"/>
              </w:rPr>
              <w:t>, 2025</w:t>
            </w:r>
          </w:p>
        </w:tc>
      </w:tr>
      <w:tr w:rsidR="00B868B7" w:rsidRPr="00847D58" w14:paraId="769F326B" w14:textId="77777777" w:rsidTr="001B6AB1">
        <w:tc>
          <w:tcPr>
            <w:tcW w:w="4410" w:type="dxa"/>
          </w:tcPr>
          <w:p w14:paraId="356DD8E2"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r w:rsidRPr="00847D58">
              <w:rPr>
                <w:rFonts w:asciiTheme="majorHAnsi" w:eastAsia="Tahoma" w:hAnsiTheme="majorHAnsi" w:cstheme="majorHAnsi"/>
                <w:b/>
                <w:color w:val="000000"/>
                <w:sz w:val="20"/>
                <w:szCs w:val="20"/>
              </w:rPr>
              <w:t>Date of Submission:</w:t>
            </w:r>
          </w:p>
          <w:p w14:paraId="522617F6"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p w14:paraId="1A722B9C"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r w:rsidRPr="00847D58">
              <w:rPr>
                <w:rFonts w:asciiTheme="majorHAnsi" w:eastAsia="Tahoma" w:hAnsiTheme="majorHAnsi" w:cstheme="majorHAnsi"/>
                <w:b/>
                <w:color w:val="000000"/>
                <w:sz w:val="20"/>
                <w:szCs w:val="20"/>
              </w:rPr>
              <w:t xml:space="preserve"> </w:t>
            </w:r>
          </w:p>
        </w:tc>
        <w:tc>
          <w:tcPr>
            <w:tcW w:w="4518" w:type="dxa"/>
          </w:tcPr>
          <w:p w14:paraId="28FFC116" w14:textId="2DA6195D" w:rsidR="00B868B7" w:rsidRPr="00847D58" w:rsidRDefault="00A10639" w:rsidP="001B6AB1">
            <w:pPr>
              <w:pBdr>
                <w:top w:val="nil"/>
                <w:left w:val="nil"/>
                <w:bottom w:val="nil"/>
                <w:right w:val="nil"/>
                <w:between w:val="nil"/>
              </w:pBdr>
              <w:rPr>
                <w:rFonts w:asciiTheme="majorHAnsi" w:eastAsia="Tahoma" w:hAnsiTheme="majorHAnsi" w:cstheme="majorHAnsi"/>
                <w:color w:val="000000"/>
                <w:sz w:val="20"/>
                <w:szCs w:val="20"/>
              </w:rPr>
            </w:pPr>
            <w:r>
              <w:rPr>
                <w:rFonts w:asciiTheme="majorHAnsi" w:eastAsia="Tahoma" w:hAnsiTheme="majorHAnsi" w:cstheme="majorHAnsi"/>
                <w:color w:val="000000"/>
                <w:sz w:val="20"/>
                <w:szCs w:val="20"/>
              </w:rPr>
              <w:t xml:space="preserve">Thursday </w:t>
            </w:r>
            <w:r w:rsidRPr="00847D58">
              <w:rPr>
                <w:rFonts w:asciiTheme="majorHAnsi" w:eastAsia="Tahoma" w:hAnsiTheme="majorHAnsi" w:cstheme="majorHAnsi"/>
                <w:color w:val="000000"/>
                <w:sz w:val="20"/>
                <w:szCs w:val="20"/>
              </w:rPr>
              <w:t>7</w:t>
            </w:r>
            <w:r w:rsidRPr="00847D58">
              <w:rPr>
                <w:rFonts w:asciiTheme="majorHAnsi" w:eastAsia="Tahoma" w:hAnsiTheme="majorHAnsi" w:cstheme="majorHAnsi"/>
                <w:color w:val="000000"/>
                <w:sz w:val="20"/>
                <w:szCs w:val="20"/>
                <w:vertAlign w:val="superscript"/>
              </w:rPr>
              <w:t>th</w:t>
            </w:r>
            <w:r w:rsidRPr="00847D58">
              <w:rPr>
                <w:rFonts w:asciiTheme="majorHAnsi" w:eastAsia="Tahoma" w:hAnsiTheme="majorHAnsi" w:cstheme="majorHAnsi"/>
                <w:color w:val="000000"/>
                <w:sz w:val="20"/>
                <w:szCs w:val="20"/>
              </w:rPr>
              <w:t xml:space="preserve"> </w:t>
            </w:r>
            <w:r>
              <w:rPr>
                <w:rFonts w:asciiTheme="majorHAnsi" w:eastAsia="Tahoma" w:hAnsiTheme="majorHAnsi" w:cstheme="majorHAnsi"/>
                <w:color w:val="000000"/>
                <w:sz w:val="20"/>
                <w:szCs w:val="20"/>
              </w:rPr>
              <w:t>Aug</w:t>
            </w:r>
            <w:r w:rsidRPr="00847D58">
              <w:rPr>
                <w:rFonts w:asciiTheme="majorHAnsi" w:eastAsia="Tahoma" w:hAnsiTheme="majorHAnsi" w:cstheme="majorHAnsi"/>
                <w:color w:val="000000"/>
                <w:sz w:val="20"/>
                <w:szCs w:val="20"/>
              </w:rPr>
              <w:t>, 2025</w:t>
            </w:r>
          </w:p>
        </w:tc>
      </w:tr>
      <w:tr w:rsidR="00B868B7" w:rsidRPr="00847D58" w14:paraId="397853E4" w14:textId="77777777" w:rsidTr="001B6AB1">
        <w:tc>
          <w:tcPr>
            <w:tcW w:w="4410" w:type="dxa"/>
          </w:tcPr>
          <w:p w14:paraId="545E335F"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r w:rsidRPr="00847D58">
              <w:rPr>
                <w:rFonts w:asciiTheme="majorHAnsi" w:eastAsia="Tahoma" w:hAnsiTheme="majorHAnsi" w:cstheme="majorHAnsi"/>
                <w:b/>
                <w:color w:val="000000"/>
                <w:sz w:val="20"/>
                <w:szCs w:val="20"/>
              </w:rPr>
              <w:t xml:space="preserve">Number of pages including this one: </w:t>
            </w:r>
          </w:p>
          <w:p w14:paraId="3CE5B122"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p w14:paraId="52C93539"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tc>
        <w:tc>
          <w:tcPr>
            <w:tcW w:w="4518" w:type="dxa"/>
          </w:tcPr>
          <w:p w14:paraId="0C0BBDAD" w14:textId="083EE3B8" w:rsidR="00B868B7" w:rsidRPr="00847D58" w:rsidRDefault="00A10639" w:rsidP="001B6AB1">
            <w:pPr>
              <w:pBdr>
                <w:top w:val="nil"/>
                <w:left w:val="nil"/>
                <w:bottom w:val="nil"/>
                <w:right w:val="nil"/>
                <w:between w:val="nil"/>
              </w:pBdr>
              <w:rPr>
                <w:rFonts w:asciiTheme="majorHAnsi" w:eastAsia="Tahoma" w:hAnsiTheme="majorHAnsi" w:cstheme="majorHAnsi"/>
                <w:color w:val="000000"/>
                <w:sz w:val="20"/>
                <w:szCs w:val="20"/>
              </w:rPr>
            </w:pPr>
            <w:r>
              <w:rPr>
                <w:rFonts w:asciiTheme="majorHAnsi" w:eastAsia="Tahoma" w:hAnsiTheme="majorHAnsi" w:cstheme="majorHAnsi"/>
                <w:color w:val="000000"/>
                <w:sz w:val="20"/>
                <w:szCs w:val="20"/>
              </w:rPr>
              <w:t>1</w:t>
            </w:r>
          </w:p>
        </w:tc>
      </w:tr>
      <w:tr w:rsidR="00B868B7" w:rsidRPr="00847D58" w14:paraId="314DA4A7" w14:textId="77777777" w:rsidTr="001B6AB1">
        <w:tc>
          <w:tcPr>
            <w:tcW w:w="4410" w:type="dxa"/>
          </w:tcPr>
          <w:p w14:paraId="58371497"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r w:rsidRPr="00847D58">
              <w:rPr>
                <w:rFonts w:asciiTheme="majorHAnsi" w:eastAsia="Tahoma" w:hAnsiTheme="majorHAnsi" w:cstheme="majorHAnsi"/>
                <w:b/>
                <w:color w:val="000000"/>
                <w:sz w:val="20"/>
                <w:szCs w:val="20"/>
              </w:rPr>
              <w:t>Word Count:</w:t>
            </w:r>
          </w:p>
          <w:p w14:paraId="541DB8A0"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r w:rsidRPr="00847D58">
              <w:rPr>
                <w:rFonts w:asciiTheme="majorHAnsi" w:eastAsia="Tahoma" w:hAnsiTheme="majorHAnsi" w:cstheme="majorHAnsi"/>
                <w:b/>
                <w:color w:val="000000"/>
                <w:sz w:val="20"/>
                <w:szCs w:val="20"/>
              </w:rPr>
              <w:t xml:space="preserve"> </w:t>
            </w:r>
          </w:p>
          <w:p w14:paraId="1340AED0"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color w:val="000000"/>
                <w:sz w:val="20"/>
                <w:szCs w:val="20"/>
              </w:rPr>
            </w:pPr>
          </w:p>
        </w:tc>
        <w:tc>
          <w:tcPr>
            <w:tcW w:w="4518" w:type="dxa"/>
          </w:tcPr>
          <w:p w14:paraId="337F2F7D" w14:textId="6FB2CEB3" w:rsidR="00B868B7" w:rsidRPr="00847D58" w:rsidRDefault="00B868B7" w:rsidP="001B6AB1">
            <w:pPr>
              <w:pBdr>
                <w:top w:val="nil"/>
                <w:left w:val="nil"/>
                <w:bottom w:val="nil"/>
                <w:right w:val="nil"/>
                <w:between w:val="nil"/>
              </w:pBdr>
              <w:rPr>
                <w:rFonts w:asciiTheme="majorHAnsi" w:eastAsia="Tahoma" w:hAnsiTheme="majorHAnsi" w:cstheme="majorHAnsi"/>
                <w:color w:val="000000"/>
                <w:sz w:val="20"/>
                <w:szCs w:val="20"/>
              </w:rPr>
            </w:pPr>
          </w:p>
        </w:tc>
      </w:tr>
      <w:tr w:rsidR="00B868B7" w:rsidRPr="00847D58" w14:paraId="6A786F14" w14:textId="77777777" w:rsidTr="001B6AB1">
        <w:tc>
          <w:tcPr>
            <w:tcW w:w="4410" w:type="dxa"/>
          </w:tcPr>
          <w:p w14:paraId="0AB27722"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b/>
                <w:color w:val="000000"/>
                <w:sz w:val="20"/>
                <w:szCs w:val="20"/>
              </w:rPr>
            </w:pPr>
            <w:r w:rsidRPr="00847D58">
              <w:rPr>
                <w:rFonts w:asciiTheme="majorHAnsi" w:eastAsia="Tahoma" w:hAnsiTheme="majorHAnsi" w:cstheme="majorHAnsi"/>
                <w:b/>
                <w:color w:val="000000"/>
                <w:sz w:val="20"/>
                <w:szCs w:val="20"/>
              </w:rPr>
              <w:t>AI use statement:</w:t>
            </w:r>
          </w:p>
          <w:p w14:paraId="7B910C5E" w14:textId="77777777" w:rsidR="00B868B7" w:rsidRPr="00847D58" w:rsidRDefault="00B868B7" w:rsidP="001B6AB1">
            <w:pPr>
              <w:pBdr>
                <w:top w:val="nil"/>
                <w:left w:val="nil"/>
                <w:bottom w:val="nil"/>
                <w:right w:val="nil"/>
                <w:between w:val="nil"/>
              </w:pBdr>
              <w:tabs>
                <w:tab w:val="center" w:pos="4153"/>
                <w:tab w:val="right" w:pos="8306"/>
              </w:tabs>
              <w:spacing w:after="0" w:line="240" w:lineRule="auto"/>
              <w:jc w:val="right"/>
              <w:rPr>
                <w:rFonts w:asciiTheme="majorHAnsi" w:eastAsia="Tahoma" w:hAnsiTheme="majorHAnsi" w:cstheme="majorHAnsi"/>
                <w:color w:val="000000"/>
                <w:sz w:val="20"/>
                <w:szCs w:val="20"/>
              </w:rPr>
            </w:pPr>
            <w:r w:rsidRPr="00847D58">
              <w:rPr>
                <w:rFonts w:asciiTheme="majorHAnsi" w:eastAsia="Tahoma" w:hAnsiTheme="majorHAnsi" w:cstheme="majorHAnsi"/>
                <w:color w:val="000000"/>
                <w:sz w:val="20"/>
                <w:szCs w:val="20"/>
              </w:rPr>
              <w:t xml:space="preserve">Please include a statement about which AI tools were used and for what purpose (e.g. brainstorming, drafting, editing, </w:t>
            </w:r>
            <w:proofErr w:type="spellStart"/>
            <w:r w:rsidRPr="00847D58">
              <w:rPr>
                <w:rFonts w:asciiTheme="majorHAnsi" w:eastAsia="Tahoma" w:hAnsiTheme="majorHAnsi" w:cstheme="majorHAnsi"/>
                <w:color w:val="000000"/>
                <w:sz w:val="20"/>
                <w:szCs w:val="20"/>
              </w:rPr>
              <w:t>etc</w:t>
            </w:r>
            <w:proofErr w:type="spellEnd"/>
            <w:r w:rsidRPr="00847D58">
              <w:rPr>
                <w:rFonts w:asciiTheme="majorHAnsi" w:eastAsia="Tahoma" w:hAnsiTheme="majorHAnsi" w:cstheme="majorHAnsi"/>
                <w:color w:val="000000"/>
                <w:sz w:val="20"/>
                <w:szCs w:val="20"/>
              </w:rPr>
              <w:t xml:space="preserve">). </w:t>
            </w:r>
          </w:p>
          <w:p w14:paraId="06947B1F" w14:textId="77777777" w:rsidR="00B868B7" w:rsidRPr="00847D58" w:rsidRDefault="00B868B7" w:rsidP="001B6AB1">
            <w:pPr>
              <w:pBdr>
                <w:top w:val="nil"/>
                <w:left w:val="nil"/>
                <w:bottom w:val="nil"/>
                <w:right w:val="nil"/>
                <w:between w:val="nil"/>
              </w:pBdr>
              <w:tabs>
                <w:tab w:val="center" w:pos="4153"/>
                <w:tab w:val="right" w:pos="8306"/>
              </w:tabs>
              <w:spacing w:after="0" w:line="240" w:lineRule="auto"/>
              <w:jc w:val="right"/>
              <w:rPr>
                <w:rFonts w:asciiTheme="majorHAnsi" w:eastAsia="Tahoma" w:hAnsiTheme="majorHAnsi" w:cstheme="majorHAnsi"/>
                <w:color w:val="000000"/>
                <w:sz w:val="20"/>
                <w:szCs w:val="20"/>
              </w:rPr>
            </w:pPr>
            <w:r w:rsidRPr="00847D58">
              <w:rPr>
                <w:rFonts w:asciiTheme="majorHAnsi" w:eastAsia="Tahoma" w:hAnsiTheme="majorHAnsi" w:cstheme="majorHAnsi"/>
                <w:color w:val="000000"/>
                <w:sz w:val="20"/>
                <w:szCs w:val="20"/>
              </w:rPr>
              <w:t xml:space="preserve">Refer to the RMIT AI use policy on your Canvas Assignments page for guidance. </w:t>
            </w:r>
          </w:p>
          <w:p w14:paraId="0944093D" w14:textId="77777777" w:rsidR="00B868B7" w:rsidRPr="00847D58" w:rsidRDefault="00B868B7" w:rsidP="001B6AB1">
            <w:pPr>
              <w:pBdr>
                <w:top w:val="nil"/>
                <w:left w:val="nil"/>
                <w:bottom w:val="nil"/>
                <w:right w:val="nil"/>
                <w:between w:val="nil"/>
              </w:pBdr>
              <w:spacing w:after="0" w:line="240" w:lineRule="auto"/>
              <w:jc w:val="right"/>
              <w:rPr>
                <w:rFonts w:asciiTheme="majorHAnsi" w:eastAsia="Tahoma" w:hAnsiTheme="majorHAnsi" w:cstheme="majorHAnsi"/>
                <w:b/>
                <w:color w:val="000000"/>
                <w:sz w:val="20"/>
                <w:szCs w:val="20"/>
              </w:rPr>
            </w:pPr>
          </w:p>
        </w:tc>
        <w:tc>
          <w:tcPr>
            <w:tcW w:w="4518" w:type="dxa"/>
          </w:tcPr>
          <w:p w14:paraId="12232CC0" w14:textId="77777777" w:rsidR="00B868B7" w:rsidRPr="00847D58" w:rsidRDefault="00B868B7" w:rsidP="001B6AB1">
            <w:pPr>
              <w:pBdr>
                <w:top w:val="nil"/>
                <w:left w:val="nil"/>
                <w:bottom w:val="nil"/>
                <w:right w:val="nil"/>
                <w:between w:val="nil"/>
              </w:pBdr>
              <w:rPr>
                <w:rFonts w:asciiTheme="majorHAnsi" w:eastAsia="Tahoma" w:hAnsiTheme="majorHAnsi" w:cstheme="majorHAnsi"/>
                <w:color w:val="000000"/>
                <w:sz w:val="20"/>
                <w:szCs w:val="20"/>
              </w:rPr>
            </w:pPr>
            <w:r w:rsidRPr="00847D58">
              <w:rPr>
                <w:rFonts w:asciiTheme="majorHAnsi" w:eastAsia="Tahoma" w:hAnsiTheme="majorHAnsi" w:cstheme="majorHAnsi"/>
                <w:color w:val="000000"/>
                <w:sz w:val="20"/>
                <w:szCs w:val="20"/>
              </w:rPr>
              <w:t xml:space="preserve">I declare that ChatGPT has been utilized as a tool to support idea brainstorming for this assessment. All ideas generated by AI were reviewed carefully to ensure reliable information with research papers.  </w:t>
            </w:r>
          </w:p>
        </w:tc>
      </w:tr>
    </w:tbl>
    <w:p w14:paraId="294A4E59" w14:textId="77777777" w:rsidR="00B868B7" w:rsidRPr="00847D58" w:rsidRDefault="00B868B7" w:rsidP="00B868B7">
      <w:pPr>
        <w:pBdr>
          <w:top w:val="nil"/>
          <w:left w:val="nil"/>
          <w:bottom w:val="nil"/>
          <w:right w:val="nil"/>
          <w:between w:val="nil"/>
        </w:pBdr>
        <w:tabs>
          <w:tab w:val="center" w:pos="4153"/>
          <w:tab w:val="right" w:pos="8306"/>
        </w:tabs>
        <w:spacing w:after="0" w:line="240" w:lineRule="auto"/>
        <w:rPr>
          <w:rFonts w:asciiTheme="majorHAnsi" w:eastAsia="Tahoma" w:hAnsiTheme="majorHAnsi" w:cstheme="majorHAnsi"/>
          <w:color w:val="000000"/>
          <w:sz w:val="32"/>
          <w:szCs w:val="32"/>
        </w:rPr>
      </w:pPr>
    </w:p>
    <w:p w14:paraId="35A2A134" w14:textId="36BD6044" w:rsidR="00A13F29" w:rsidRPr="00847D58" w:rsidRDefault="00A13F29">
      <w:pPr>
        <w:spacing w:after="160" w:line="259" w:lineRule="auto"/>
        <w:rPr>
          <w:rFonts w:asciiTheme="majorHAnsi" w:hAnsiTheme="majorHAnsi" w:cstheme="majorHAnsi"/>
        </w:rPr>
      </w:pPr>
      <w:r w:rsidRPr="00847D58">
        <w:rPr>
          <w:rFonts w:asciiTheme="majorHAnsi" w:hAnsiTheme="majorHAnsi" w:cstheme="majorHAnsi"/>
        </w:rPr>
        <w:br w:type="page"/>
      </w:r>
    </w:p>
    <w:p w14:paraId="1A22D87D" w14:textId="348E799A" w:rsidR="001F363F" w:rsidRPr="00847D58" w:rsidRDefault="008A6813" w:rsidP="00A72F78">
      <w:pPr>
        <w:pStyle w:val="Heading1"/>
        <w:jc w:val="center"/>
        <w:rPr>
          <w:rFonts w:cstheme="majorHAnsi"/>
        </w:rPr>
      </w:pPr>
      <w:proofErr w:type="spellStart"/>
      <w:r>
        <w:rPr>
          <w:rFonts w:cstheme="majorHAnsi"/>
          <w:lang w:val="en-US"/>
        </w:rPr>
        <w:lastRenderedPageBreak/>
        <w:t>LocalMinimaxAgent</w:t>
      </w:r>
      <w:proofErr w:type="spellEnd"/>
      <w:r>
        <w:rPr>
          <w:rFonts w:cstheme="majorHAnsi"/>
          <w:lang w:val="en-US"/>
        </w:rPr>
        <w:t xml:space="preserve"> implementation</w:t>
      </w:r>
      <w:r w:rsidR="00B9533D" w:rsidRPr="00847D58">
        <w:rPr>
          <w:rFonts w:cstheme="majorHAnsi"/>
        </w:rPr>
        <w:t>.</w:t>
      </w:r>
    </w:p>
    <w:p w14:paraId="7CB0F919" w14:textId="77777777" w:rsidR="00D34CF9" w:rsidRPr="00847D58" w:rsidRDefault="00D34CF9">
      <w:pPr>
        <w:rPr>
          <w:rFonts w:asciiTheme="majorHAnsi" w:hAnsiTheme="majorHAnsi" w:cstheme="majorHAnsi"/>
        </w:rPr>
      </w:pPr>
    </w:p>
    <w:p w14:paraId="35F6E21D" w14:textId="2E4F0639" w:rsidR="00AC56B7" w:rsidRPr="00847D58" w:rsidRDefault="00AC56B7" w:rsidP="00B15498">
      <w:pPr>
        <w:pStyle w:val="Heading2"/>
        <w:jc w:val="both"/>
        <w:rPr>
          <w:rFonts w:cstheme="majorHAnsi"/>
        </w:rPr>
      </w:pPr>
      <w:r w:rsidRPr="00847D58">
        <w:rPr>
          <w:rFonts w:cstheme="majorHAnsi"/>
        </w:rPr>
        <w:t>Introduction</w:t>
      </w:r>
    </w:p>
    <w:p w14:paraId="0FBB9BF3" w14:textId="14C2D67C" w:rsidR="00AC56B7" w:rsidRPr="00847D58" w:rsidRDefault="009945C5" w:rsidP="00B15498">
      <w:pPr>
        <w:jc w:val="both"/>
        <w:rPr>
          <w:rFonts w:asciiTheme="majorHAnsi" w:hAnsiTheme="majorHAnsi" w:cstheme="majorHAnsi"/>
          <w:sz w:val="24"/>
          <w:szCs w:val="24"/>
        </w:rPr>
      </w:pPr>
      <w:r w:rsidRPr="00847D58">
        <w:rPr>
          <w:rFonts w:asciiTheme="majorHAnsi" w:hAnsiTheme="majorHAnsi" w:cstheme="majorHAnsi"/>
          <w:sz w:val="24"/>
          <w:szCs w:val="24"/>
        </w:rPr>
        <w:t xml:space="preserve">In recent years, the increasing flow of donations to not-for-profit </w:t>
      </w:r>
      <w:r w:rsidR="00932628" w:rsidRPr="00847D58">
        <w:rPr>
          <w:rFonts w:asciiTheme="majorHAnsi" w:hAnsiTheme="majorHAnsi" w:cstheme="majorHAnsi"/>
          <w:sz w:val="24"/>
          <w:szCs w:val="24"/>
        </w:rPr>
        <w:t>organizations (</w:t>
      </w:r>
      <w:r w:rsidR="007E1F2F" w:rsidRPr="00847D58">
        <w:rPr>
          <w:rFonts w:asciiTheme="majorHAnsi" w:hAnsiTheme="majorHAnsi" w:cstheme="majorHAnsi"/>
          <w:sz w:val="24"/>
          <w:szCs w:val="24"/>
        </w:rPr>
        <w:t>NFPOs)</w:t>
      </w:r>
      <w:r w:rsidR="007A5A4B" w:rsidRPr="00847D58">
        <w:rPr>
          <w:rFonts w:asciiTheme="majorHAnsi" w:hAnsiTheme="majorHAnsi" w:cstheme="majorHAnsi"/>
          <w:sz w:val="24"/>
          <w:szCs w:val="24"/>
        </w:rPr>
        <w:t xml:space="preserve"> plays a critical role in driving social change, supporting community programs, and fulfilling philanthropic goals</w:t>
      </w:r>
      <w:r w:rsidRPr="00847D58">
        <w:rPr>
          <w:rFonts w:asciiTheme="majorHAnsi" w:hAnsiTheme="majorHAnsi" w:cstheme="majorHAnsi"/>
          <w:sz w:val="24"/>
          <w:szCs w:val="24"/>
        </w:rPr>
        <w:t xml:space="preserve">. While such donations are often intended to serve noble causes, the complexity and scale of these transactions have made them vulnerable to misuse, deception, and fraud. </w:t>
      </w:r>
      <w:r w:rsidR="007A5A4B" w:rsidRPr="00847D58">
        <w:rPr>
          <w:rFonts w:asciiTheme="majorHAnsi" w:hAnsiTheme="majorHAnsi" w:cstheme="majorHAnsi"/>
          <w:sz w:val="24"/>
          <w:szCs w:val="24"/>
        </w:rPr>
        <w:t xml:space="preserve">Furthermore, </w:t>
      </w:r>
      <w:r w:rsidR="001371DE" w:rsidRPr="00847D58">
        <w:rPr>
          <w:rFonts w:asciiTheme="majorHAnsi" w:hAnsiTheme="majorHAnsi" w:cstheme="majorHAnsi"/>
          <w:sz w:val="24"/>
          <w:szCs w:val="24"/>
        </w:rPr>
        <w:t xml:space="preserve">a lack of transparency and automated tools in detecting anomalous patterns within these transactions has enabled the potential misappropriation of charitable funds, posing serious risk to both donors </w:t>
      </w:r>
      <w:r w:rsidR="00932628" w:rsidRPr="00847D58">
        <w:rPr>
          <w:rFonts w:asciiTheme="majorHAnsi" w:hAnsiTheme="majorHAnsi" w:cstheme="majorHAnsi"/>
          <w:sz w:val="24"/>
          <w:szCs w:val="24"/>
        </w:rPr>
        <w:t>and</w:t>
      </w:r>
      <w:r w:rsidR="001371DE" w:rsidRPr="00847D58">
        <w:rPr>
          <w:rFonts w:asciiTheme="majorHAnsi" w:hAnsiTheme="majorHAnsi" w:cstheme="majorHAnsi"/>
          <w:sz w:val="24"/>
          <w:szCs w:val="24"/>
        </w:rPr>
        <w:t xml:space="preserve"> </w:t>
      </w:r>
      <w:r w:rsidR="00BD2DC4" w:rsidRPr="00847D58">
        <w:rPr>
          <w:rFonts w:asciiTheme="majorHAnsi" w:hAnsiTheme="majorHAnsi" w:cstheme="majorHAnsi"/>
          <w:sz w:val="24"/>
          <w:szCs w:val="24"/>
        </w:rPr>
        <w:t>NFPOs</w:t>
      </w:r>
      <w:r w:rsidR="001371DE" w:rsidRPr="00847D58">
        <w:rPr>
          <w:rFonts w:asciiTheme="majorHAnsi" w:hAnsiTheme="majorHAnsi" w:cstheme="majorHAnsi"/>
          <w:sz w:val="24"/>
          <w:szCs w:val="24"/>
        </w:rPr>
        <w:t xml:space="preserve">. </w:t>
      </w:r>
      <w:r w:rsidR="007A5A4B" w:rsidRPr="00847D58">
        <w:rPr>
          <w:rFonts w:asciiTheme="majorHAnsi" w:hAnsiTheme="majorHAnsi" w:cstheme="majorHAnsi"/>
          <w:sz w:val="24"/>
          <w:szCs w:val="24"/>
        </w:rPr>
        <w:t>Conventional tracking methods often struggle to flag subtle irregularities or suspicious patterns within vas donation records. In response, this research explores how Artificial Intelligence (AI), and Machine Learning</w:t>
      </w:r>
      <w:r w:rsidR="003B03F8" w:rsidRPr="00847D58">
        <w:rPr>
          <w:rFonts w:asciiTheme="majorHAnsi" w:hAnsiTheme="majorHAnsi" w:cstheme="majorHAnsi"/>
          <w:sz w:val="24"/>
          <w:szCs w:val="24"/>
        </w:rPr>
        <w:t xml:space="preserve"> (ML)</w:t>
      </w:r>
      <w:r w:rsidR="007A5A4B" w:rsidRPr="00847D58">
        <w:rPr>
          <w:rFonts w:asciiTheme="majorHAnsi" w:hAnsiTheme="majorHAnsi" w:cstheme="majorHAnsi"/>
          <w:sz w:val="24"/>
          <w:szCs w:val="24"/>
        </w:rPr>
        <w:t xml:space="preserve"> in particular, can enhance the detection of unusual behaviors and hidden anomalies within donation transactions. This study objective is to apply AI and ML techniques to reduce or mitigate future fraudulent and anomalous donation activities.   </w:t>
      </w:r>
    </w:p>
    <w:p w14:paraId="465A7700" w14:textId="77777777" w:rsidR="00EC7CA7" w:rsidRPr="00847D58" w:rsidRDefault="00EC7CA7" w:rsidP="00B15498">
      <w:pPr>
        <w:jc w:val="both"/>
        <w:rPr>
          <w:rFonts w:asciiTheme="majorHAnsi" w:hAnsiTheme="majorHAnsi" w:cstheme="majorHAnsi"/>
          <w:sz w:val="24"/>
          <w:szCs w:val="24"/>
        </w:rPr>
      </w:pPr>
    </w:p>
    <w:p w14:paraId="255DDFE3" w14:textId="611BDBA4" w:rsidR="00EC7CA7" w:rsidRPr="00847D58" w:rsidRDefault="002675A4" w:rsidP="00B15498">
      <w:pPr>
        <w:pStyle w:val="Heading2"/>
        <w:jc w:val="both"/>
        <w:rPr>
          <w:rFonts w:cstheme="majorHAnsi"/>
        </w:rPr>
      </w:pPr>
      <w:r w:rsidRPr="00847D58">
        <w:rPr>
          <w:rFonts w:cstheme="majorHAnsi"/>
        </w:rPr>
        <w:t>Problem Identification</w:t>
      </w:r>
      <w:r w:rsidR="003E06DC" w:rsidRPr="00847D58">
        <w:rPr>
          <w:rFonts w:cstheme="majorHAnsi"/>
        </w:rPr>
        <w:t xml:space="preserve"> and Justification</w:t>
      </w:r>
    </w:p>
    <w:p w14:paraId="7C344605" w14:textId="2A0C1E01" w:rsidR="00C06AFA" w:rsidRDefault="00C06AFA" w:rsidP="00B15498">
      <w:pPr>
        <w:jc w:val="both"/>
        <w:rPr>
          <w:rFonts w:asciiTheme="majorHAnsi" w:hAnsiTheme="majorHAnsi" w:cstheme="majorHAnsi"/>
          <w:sz w:val="24"/>
          <w:szCs w:val="24"/>
        </w:rPr>
      </w:pPr>
      <w:r w:rsidRPr="00C06AFA">
        <w:rPr>
          <w:rFonts w:asciiTheme="majorHAnsi" w:hAnsiTheme="majorHAnsi" w:cstheme="majorHAnsi"/>
          <w:sz w:val="24"/>
          <w:szCs w:val="24"/>
        </w:rPr>
        <w:t>Despite the well-meaning nature of donations to NFPOs, many transaction systems lack the sophistication to detect nuanced fraud. Manual audits and layered databases often obscure unusual patterns, especially in card-not-present transactions using virtual cards. Without automated mechanisms, blind spots emerge</w:t>
      </w:r>
      <w:r w:rsidR="007A73A2">
        <w:rPr>
          <w:rFonts w:asciiTheme="majorHAnsi" w:hAnsiTheme="majorHAnsi" w:cstheme="majorHAnsi"/>
          <w:sz w:val="24"/>
          <w:szCs w:val="24"/>
        </w:rPr>
        <w:t xml:space="preserve">, </w:t>
      </w:r>
      <w:r w:rsidRPr="00C06AFA">
        <w:rPr>
          <w:rFonts w:asciiTheme="majorHAnsi" w:hAnsiTheme="majorHAnsi" w:cstheme="majorHAnsi"/>
          <w:sz w:val="24"/>
          <w:szCs w:val="24"/>
        </w:rPr>
        <w:t>enabling duplicate donations, oddly timed contributions, and spending behaviors that diverge from historical norms to go undetected. Srivastava et al. (2008) emphasize that such anomalies, characteristic of virtual card misuse, are only discernible through behavioral analysis techniques capable of modeling deviations from expected user profiles</w:t>
      </w:r>
    </w:p>
    <w:p w14:paraId="6B693DFA" w14:textId="61FE84AA" w:rsidR="007A5A4B" w:rsidRPr="00847D58" w:rsidRDefault="0021445B" w:rsidP="00B15498">
      <w:pPr>
        <w:jc w:val="both"/>
        <w:rPr>
          <w:rFonts w:asciiTheme="majorHAnsi" w:hAnsiTheme="majorHAnsi" w:cstheme="majorHAnsi"/>
          <w:sz w:val="24"/>
          <w:szCs w:val="24"/>
        </w:rPr>
      </w:pPr>
      <w:r w:rsidRPr="00847D58">
        <w:rPr>
          <w:rFonts w:asciiTheme="majorHAnsi" w:hAnsiTheme="majorHAnsi" w:cstheme="majorHAnsi"/>
          <w:sz w:val="24"/>
          <w:szCs w:val="24"/>
        </w:rPr>
        <w:t xml:space="preserve">Without scalable, adaptive tools to monitor and flag suspicious activities, organizations are left vulnerable to exploitation. Addressing this issue requires a shift toward intelligent, data driven methods that learn from donation behavior itself rather than relying solely on predefined thresholds. </w:t>
      </w:r>
    </w:p>
    <w:p w14:paraId="4974BDD7" w14:textId="190E1C91" w:rsidR="00622461" w:rsidRDefault="000D4C92" w:rsidP="00B15498">
      <w:pPr>
        <w:jc w:val="both"/>
        <w:rPr>
          <w:rFonts w:asciiTheme="majorHAnsi" w:hAnsiTheme="majorHAnsi" w:cstheme="majorHAnsi"/>
          <w:sz w:val="24"/>
          <w:szCs w:val="24"/>
        </w:rPr>
      </w:pPr>
      <w:r w:rsidRPr="000D4C92">
        <w:rPr>
          <w:rFonts w:asciiTheme="majorHAnsi" w:hAnsiTheme="majorHAnsi" w:cstheme="majorHAnsi"/>
          <w:sz w:val="24"/>
          <w:szCs w:val="24"/>
        </w:rPr>
        <w:t xml:space="preserve">With the rise of sophisticated hacking techniques, Bruces et al. (2025) note that fraudsters exploit both offline and online systems through identity theft, credit card fraud, account takeovers, synthetic identity fraud, and social engineering attacks. These intrusions undermine the credibility of financial systems, erode stakeholder confidence, and damage organizational reputations. Failure to detect such anomalous or fraudulent transactions raises concerns about an organization’s cybersecurity posture and may deter future </w:t>
      </w:r>
      <w:r w:rsidRPr="000D4C92">
        <w:rPr>
          <w:rFonts w:asciiTheme="majorHAnsi" w:hAnsiTheme="majorHAnsi" w:cstheme="majorHAnsi"/>
          <w:sz w:val="24"/>
          <w:szCs w:val="24"/>
        </w:rPr>
        <w:lastRenderedPageBreak/>
        <w:t xml:space="preserve">contributions. </w:t>
      </w:r>
      <w:r w:rsidR="00636E81" w:rsidRPr="00636E81">
        <w:rPr>
          <w:rFonts w:asciiTheme="majorHAnsi" w:hAnsiTheme="majorHAnsi" w:cstheme="majorHAnsi"/>
          <w:sz w:val="24"/>
          <w:szCs w:val="24"/>
        </w:rPr>
        <w:t xml:space="preserve">Chen et al., </w:t>
      </w:r>
      <w:r w:rsidR="00636E81">
        <w:rPr>
          <w:rFonts w:asciiTheme="majorHAnsi" w:hAnsiTheme="majorHAnsi" w:cstheme="majorHAnsi"/>
          <w:sz w:val="24"/>
          <w:szCs w:val="24"/>
        </w:rPr>
        <w:t>(</w:t>
      </w:r>
      <w:r w:rsidR="00636E81" w:rsidRPr="00636E81">
        <w:rPr>
          <w:rFonts w:asciiTheme="majorHAnsi" w:hAnsiTheme="majorHAnsi" w:cstheme="majorHAnsi"/>
          <w:sz w:val="24"/>
          <w:szCs w:val="24"/>
        </w:rPr>
        <w:t>2025</w:t>
      </w:r>
      <w:r w:rsidR="00636E81">
        <w:rPr>
          <w:rFonts w:asciiTheme="majorHAnsi" w:hAnsiTheme="majorHAnsi" w:cstheme="majorHAnsi"/>
          <w:sz w:val="24"/>
          <w:szCs w:val="24"/>
        </w:rPr>
        <w:t>)</w:t>
      </w:r>
      <w:r w:rsidR="004148C1">
        <w:rPr>
          <w:rFonts w:asciiTheme="majorHAnsi" w:hAnsiTheme="majorHAnsi" w:cstheme="majorHAnsi"/>
          <w:sz w:val="24"/>
          <w:szCs w:val="24"/>
        </w:rPr>
        <w:t xml:space="preserve"> </w:t>
      </w:r>
      <w:r w:rsidR="0065499B">
        <w:rPr>
          <w:rFonts w:asciiTheme="majorHAnsi" w:hAnsiTheme="majorHAnsi" w:cstheme="majorHAnsi"/>
          <w:sz w:val="24"/>
          <w:szCs w:val="24"/>
        </w:rPr>
        <w:t>emphasize</w:t>
      </w:r>
      <w:r w:rsidR="004148C1">
        <w:rPr>
          <w:rFonts w:asciiTheme="majorHAnsi" w:hAnsiTheme="majorHAnsi" w:cstheme="majorHAnsi"/>
          <w:sz w:val="24"/>
          <w:szCs w:val="24"/>
        </w:rPr>
        <w:t xml:space="preserve"> that</w:t>
      </w:r>
      <w:r w:rsidR="00636E81">
        <w:rPr>
          <w:rFonts w:asciiTheme="majorHAnsi" w:hAnsiTheme="majorHAnsi" w:cstheme="majorHAnsi"/>
          <w:sz w:val="24"/>
          <w:szCs w:val="24"/>
        </w:rPr>
        <w:t xml:space="preserve"> </w:t>
      </w:r>
      <w:r w:rsidR="008C2F90">
        <w:rPr>
          <w:rFonts w:asciiTheme="majorHAnsi" w:hAnsiTheme="majorHAnsi" w:cstheme="majorHAnsi"/>
          <w:sz w:val="24"/>
          <w:szCs w:val="24"/>
        </w:rPr>
        <w:t>real-time</w:t>
      </w:r>
      <w:r w:rsidRPr="000D4C92">
        <w:rPr>
          <w:rFonts w:asciiTheme="majorHAnsi" w:hAnsiTheme="majorHAnsi" w:cstheme="majorHAnsi"/>
          <w:sz w:val="24"/>
          <w:szCs w:val="24"/>
        </w:rPr>
        <w:t xml:space="preserve"> detection is essential to safeguard against </w:t>
      </w:r>
      <w:r w:rsidR="00D75D9B">
        <w:rPr>
          <w:rFonts w:asciiTheme="majorHAnsi" w:hAnsiTheme="majorHAnsi" w:cstheme="majorHAnsi"/>
          <w:sz w:val="24"/>
          <w:szCs w:val="24"/>
        </w:rPr>
        <w:t xml:space="preserve">evolving </w:t>
      </w:r>
      <w:r w:rsidRPr="000D4C92">
        <w:rPr>
          <w:rFonts w:asciiTheme="majorHAnsi" w:hAnsiTheme="majorHAnsi" w:cstheme="majorHAnsi"/>
          <w:sz w:val="24"/>
          <w:szCs w:val="24"/>
        </w:rPr>
        <w:t>fraud and anomalies.</w:t>
      </w:r>
    </w:p>
    <w:p w14:paraId="04BF6DBD" w14:textId="77777777" w:rsidR="001C0B49" w:rsidRPr="00622461" w:rsidRDefault="001C0B49" w:rsidP="00B15498">
      <w:pPr>
        <w:jc w:val="both"/>
        <w:rPr>
          <w:rFonts w:asciiTheme="majorHAnsi" w:hAnsiTheme="majorHAnsi" w:cstheme="majorHAnsi"/>
          <w:sz w:val="24"/>
          <w:szCs w:val="24"/>
        </w:rPr>
      </w:pPr>
    </w:p>
    <w:p w14:paraId="4AA668A3" w14:textId="7034D133" w:rsidR="00AC56B7" w:rsidRPr="00847D58" w:rsidRDefault="00AA25AD" w:rsidP="00B15498">
      <w:pPr>
        <w:pStyle w:val="Heading2"/>
        <w:jc w:val="both"/>
        <w:rPr>
          <w:rFonts w:cstheme="majorHAnsi"/>
        </w:rPr>
      </w:pPr>
      <w:r w:rsidRPr="00847D58">
        <w:rPr>
          <w:rFonts w:cstheme="majorHAnsi"/>
        </w:rPr>
        <w:t>Problem Space</w:t>
      </w:r>
    </w:p>
    <w:p w14:paraId="31043636" w14:textId="24D6D7FC" w:rsidR="00AA1769" w:rsidRPr="00847D58" w:rsidRDefault="00AA1769" w:rsidP="00B15498">
      <w:pPr>
        <w:pStyle w:val="Heading4"/>
        <w:jc w:val="both"/>
        <w:rPr>
          <w:rFonts w:asciiTheme="majorHAnsi" w:hAnsiTheme="majorHAnsi" w:cstheme="majorHAnsi"/>
        </w:rPr>
      </w:pPr>
      <w:r w:rsidRPr="00847D58">
        <w:rPr>
          <w:rFonts w:asciiTheme="majorHAnsi" w:hAnsiTheme="majorHAnsi" w:cstheme="majorHAnsi"/>
        </w:rPr>
        <w:t>Fraud Detection</w:t>
      </w:r>
    </w:p>
    <w:p w14:paraId="5E43F5AD" w14:textId="4A299AC2" w:rsidR="00AA25AD" w:rsidRPr="00847D58" w:rsidRDefault="00AA25AD" w:rsidP="00B15498">
      <w:pPr>
        <w:jc w:val="both"/>
        <w:rPr>
          <w:rFonts w:asciiTheme="majorHAnsi" w:hAnsiTheme="majorHAnsi" w:cstheme="majorHAnsi"/>
          <w:sz w:val="24"/>
          <w:szCs w:val="24"/>
        </w:rPr>
      </w:pPr>
      <w:r w:rsidRPr="00847D58">
        <w:rPr>
          <w:rFonts w:asciiTheme="majorHAnsi" w:hAnsiTheme="majorHAnsi" w:cstheme="majorHAnsi"/>
          <w:sz w:val="24"/>
          <w:szCs w:val="24"/>
        </w:rPr>
        <w:t>Despite growing awareness and the adoption of fraud prevention techniques in the not-for-profit sector, many organizations continue to face financial misconduct. Gibson (2018) revealed that a significant number of not-for-profit entities in South Carolina experienced fraud — even though the majority had implemented preventive measures. This discrepancy highlights a critical concern: existing controls may be insufficient in detecting complex, internal and financial schemes such as fraudulent disbursements and kickbacks.</w:t>
      </w:r>
    </w:p>
    <w:p w14:paraId="40897AB3" w14:textId="7C62A169" w:rsidR="00D34CF9" w:rsidRPr="00847D58" w:rsidRDefault="004559F9" w:rsidP="00B15498">
      <w:pPr>
        <w:jc w:val="both"/>
        <w:rPr>
          <w:rFonts w:asciiTheme="majorHAnsi" w:hAnsiTheme="majorHAnsi" w:cstheme="majorHAnsi"/>
          <w:sz w:val="24"/>
          <w:szCs w:val="24"/>
        </w:rPr>
      </w:pPr>
      <w:r w:rsidRPr="00847D58">
        <w:rPr>
          <w:rFonts w:asciiTheme="majorHAnsi" w:hAnsiTheme="majorHAnsi" w:cstheme="majorHAnsi"/>
          <w:sz w:val="24"/>
          <w:szCs w:val="24"/>
        </w:rPr>
        <w:t>NFPOs continue to be highly susceptible to fraudulent activity, with reported financial losses underscoring the severity of the issue. Giovino (2014) estimated that the average fraud-related loss among NFPOs in 2014 exceeded $100,000. Similarly, Bradley (2015) documented multi-million-dollar losses in American medical colleges and noted thousands of dollars stolen from a charity based in Ohio. Within the scope of Gibson’s (2018) study in South Carolina, individual cases reflected a minimum loss of over $1,000 and average maximum losses surpassing $5,000. These findings collectively highlight the significant financial impact fraud has on NFPOs and reinforce the urgent need for continued research and enhanced preventive measures.</w:t>
      </w:r>
    </w:p>
    <w:p w14:paraId="2FE25DD6" w14:textId="6E2B3AE0" w:rsidR="003B1C2F" w:rsidRPr="00847D58" w:rsidRDefault="00B84337" w:rsidP="00B15498">
      <w:pPr>
        <w:jc w:val="both"/>
        <w:rPr>
          <w:rFonts w:asciiTheme="majorHAnsi" w:hAnsiTheme="majorHAnsi" w:cstheme="majorHAnsi"/>
          <w:sz w:val="24"/>
          <w:szCs w:val="24"/>
        </w:rPr>
      </w:pPr>
      <w:r>
        <w:rPr>
          <w:rFonts w:asciiTheme="majorHAnsi" w:hAnsiTheme="majorHAnsi" w:cstheme="majorHAnsi"/>
          <w:sz w:val="24"/>
          <w:szCs w:val="24"/>
        </w:rPr>
        <w:t xml:space="preserve">Ali et al. (2022) describe that traditional fraud detections were </w:t>
      </w:r>
      <w:r w:rsidR="00190C7B">
        <w:rPr>
          <w:rFonts w:asciiTheme="majorHAnsi" w:hAnsiTheme="majorHAnsi" w:cstheme="majorHAnsi"/>
          <w:sz w:val="24"/>
          <w:szCs w:val="24"/>
        </w:rPr>
        <w:t>announced long</w:t>
      </w:r>
      <w:r>
        <w:rPr>
          <w:rFonts w:asciiTheme="majorHAnsi" w:hAnsiTheme="majorHAnsi" w:cstheme="majorHAnsi"/>
          <w:sz w:val="24"/>
          <w:szCs w:val="24"/>
        </w:rPr>
        <w:t xml:space="preserve"> since and were considered costing time</w:t>
      </w:r>
      <w:r w:rsidR="00221EE5">
        <w:rPr>
          <w:rFonts w:asciiTheme="majorHAnsi" w:hAnsiTheme="majorHAnsi" w:cstheme="majorHAnsi"/>
          <w:sz w:val="24"/>
          <w:szCs w:val="24"/>
        </w:rPr>
        <w:t xml:space="preserve">, </w:t>
      </w:r>
      <w:r>
        <w:rPr>
          <w:rFonts w:asciiTheme="majorHAnsi" w:hAnsiTheme="majorHAnsi" w:cstheme="majorHAnsi"/>
          <w:sz w:val="24"/>
          <w:szCs w:val="24"/>
        </w:rPr>
        <w:t>inaccurate</w:t>
      </w:r>
      <w:r w:rsidR="00221EE5">
        <w:rPr>
          <w:rFonts w:asciiTheme="majorHAnsi" w:hAnsiTheme="majorHAnsi" w:cstheme="majorHAnsi"/>
          <w:sz w:val="24"/>
          <w:szCs w:val="24"/>
        </w:rPr>
        <w:t xml:space="preserve"> and inappropriate</w:t>
      </w:r>
      <w:r w:rsidR="003B1C2F" w:rsidRPr="00847D58">
        <w:rPr>
          <w:rFonts w:asciiTheme="majorHAnsi" w:hAnsiTheme="majorHAnsi" w:cstheme="majorHAnsi"/>
          <w:sz w:val="24"/>
          <w:szCs w:val="24"/>
        </w:rPr>
        <w:t xml:space="preserve">. To address this gap, </w:t>
      </w:r>
      <w:proofErr w:type="spellStart"/>
      <w:r w:rsidR="003B1C2F" w:rsidRPr="00847D58">
        <w:rPr>
          <w:rFonts w:asciiTheme="majorHAnsi" w:hAnsiTheme="majorHAnsi" w:cstheme="majorHAnsi"/>
          <w:sz w:val="24"/>
          <w:szCs w:val="24"/>
        </w:rPr>
        <w:t>Perols</w:t>
      </w:r>
      <w:proofErr w:type="spellEnd"/>
      <w:r w:rsidR="003B1C2F" w:rsidRPr="00847D58">
        <w:rPr>
          <w:rFonts w:asciiTheme="majorHAnsi" w:hAnsiTheme="majorHAnsi" w:cstheme="majorHAnsi"/>
          <w:sz w:val="24"/>
          <w:szCs w:val="24"/>
        </w:rPr>
        <w:t xml:space="preserve"> (2011) introduces a data-driven solution grounded in machine learning classification methods. By applying algorithms like logistic regression and support vector </w:t>
      </w:r>
      <w:r w:rsidR="00831D15" w:rsidRPr="00847D58">
        <w:rPr>
          <w:rFonts w:asciiTheme="majorHAnsi" w:hAnsiTheme="majorHAnsi" w:cstheme="majorHAnsi"/>
          <w:sz w:val="24"/>
          <w:szCs w:val="24"/>
        </w:rPr>
        <w:t>machines (</w:t>
      </w:r>
      <w:r w:rsidR="005864D4" w:rsidRPr="00847D58">
        <w:rPr>
          <w:rFonts w:asciiTheme="majorHAnsi" w:hAnsiTheme="majorHAnsi" w:cstheme="majorHAnsi"/>
          <w:sz w:val="24"/>
          <w:szCs w:val="24"/>
        </w:rPr>
        <w:t>SVM)</w:t>
      </w:r>
      <w:r w:rsidR="003B1C2F" w:rsidRPr="00847D58">
        <w:rPr>
          <w:rFonts w:asciiTheme="majorHAnsi" w:hAnsiTheme="majorHAnsi" w:cstheme="majorHAnsi"/>
          <w:sz w:val="24"/>
          <w:szCs w:val="24"/>
        </w:rPr>
        <w:t xml:space="preserve">, </w:t>
      </w:r>
      <w:proofErr w:type="spellStart"/>
      <w:r w:rsidR="003B1C2F" w:rsidRPr="00847D58">
        <w:rPr>
          <w:rFonts w:asciiTheme="majorHAnsi" w:hAnsiTheme="majorHAnsi" w:cstheme="majorHAnsi"/>
          <w:sz w:val="24"/>
          <w:szCs w:val="24"/>
        </w:rPr>
        <w:t>Perols</w:t>
      </w:r>
      <w:proofErr w:type="spellEnd"/>
      <w:r w:rsidR="001636BF">
        <w:rPr>
          <w:rFonts w:asciiTheme="majorHAnsi" w:hAnsiTheme="majorHAnsi" w:cstheme="majorHAnsi"/>
          <w:sz w:val="24"/>
          <w:szCs w:val="24"/>
        </w:rPr>
        <w:t xml:space="preserve"> (2011) </w:t>
      </w:r>
      <w:r w:rsidR="003B1C2F" w:rsidRPr="00847D58">
        <w:rPr>
          <w:rFonts w:asciiTheme="majorHAnsi" w:hAnsiTheme="majorHAnsi" w:cstheme="majorHAnsi"/>
          <w:sz w:val="24"/>
          <w:szCs w:val="24"/>
        </w:rPr>
        <w:t>demonstrates how organizations can more effectively identify fraudulent patterns in financial data—even when legitimate and illegitimate transactions appear deceptively similar. Integrating such models into NFPOs’ oversight frameworks offers the potential to enhance fraud detection accuracy, prioritize high-risk transactions, and make prevention more proactive rather than reactive.</w:t>
      </w:r>
    </w:p>
    <w:p w14:paraId="7D650501" w14:textId="3411141E" w:rsidR="00372CDF" w:rsidRPr="00847D58" w:rsidRDefault="00372CDF" w:rsidP="00B15498">
      <w:pPr>
        <w:pStyle w:val="Heading4"/>
        <w:jc w:val="both"/>
        <w:rPr>
          <w:rFonts w:asciiTheme="majorHAnsi" w:hAnsiTheme="majorHAnsi" w:cstheme="majorHAnsi"/>
        </w:rPr>
      </w:pPr>
      <w:r w:rsidRPr="00847D58">
        <w:rPr>
          <w:rFonts w:asciiTheme="majorHAnsi" w:hAnsiTheme="majorHAnsi" w:cstheme="majorHAnsi"/>
        </w:rPr>
        <w:t>Anomalies Detection</w:t>
      </w:r>
    </w:p>
    <w:p w14:paraId="2032413F" w14:textId="0A62AE28" w:rsidR="00515733" w:rsidRPr="00847D58" w:rsidRDefault="00515733" w:rsidP="00B15498">
      <w:pPr>
        <w:jc w:val="both"/>
        <w:rPr>
          <w:rFonts w:asciiTheme="majorHAnsi" w:hAnsiTheme="majorHAnsi" w:cstheme="majorHAnsi"/>
          <w:sz w:val="24"/>
          <w:szCs w:val="24"/>
        </w:rPr>
      </w:pPr>
      <w:r w:rsidRPr="00515733">
        <w:rPr>
          <w:rFonts w:asciiTheme="majorHAnsi" w:hAnsiTheme="majorHAnsi" w:cstheme="majorHAnsi"/>
          <w:sz w:val="24"/>
          <w:szCs w:val="24"/>
          <w:lang w:val="vi-VN"/>
        </w:rPr>
        <w:t xml:space="preserve">Recent advances in machine learning have significantly reshaped the landscape of fraud detection within not-for-profit organizations. While Gibson (2018) emphasized the persistent vulnerability of NFPOs to financial misconduct despite traditional control mechanisms, and Perols (2011) introduced supervised models like logistic regression and SVMs for identifying fraudulent disbursement patterns, a broader systematic review by Nassif et al. (2021) highlights the evolving sophistication of anomaly detection systems. Their analysis of 290 studies demonstrates how machine learning techniques—particularly </w:t>
      </w:r>
      <w:r w:rsidRPr="00515733">
        <w:rPr>
          <w:rFonts w:asciiTheme="majorHAnsi" w:hAnsiTheme="majorHAnsi" w:cstheme="majorHAnsi"/>
          <w:sz w:val="24"/>
          <w:szCs w:val="24"/>
          <w:lang w:val="vi-VN"/>
        </w:rPr>
        <w:lastRenderedPageBreak/>
        <w:t>unsupervised approaches—excel at identifying subtle anomalies that deviate from typical transactional patterns, often signaling early fraud risks. From clustering algorithms to neural networks and hybrid frameworks, these models offer NFPOs a scalable, adaptive strategy to monitor dynamic financial flows and proactively detect irregularities that static control methods may miss.</w:t>
      </w:r>
    </w:p>
    <w:p w14:paraId="217BC84B" w14:textId="520A3592" w:rsidR="003226BE" w:rsidRDefault="003226BE" w:rsidP="00B15498">
      <w:pPr>
        <w:jc w:val="both"/>
        <w:rPr>
          <w:rFonts w:asciiTheme="majorHAnsi" w:hAnsiTheme="majorHAnsi" w:cstheme="majorHAnsi"/>
          <w:sz w:val="24"/>
          <w:szCs w:val="24"/>
        </w:rPr>
      </w:pPr>
      <w:r w:rsidRPr="00847D58">
        <w:rPr>
          <w:rFonts w:asciiTheme="majorHAnsi" w:hAnsiTheme="majorHAnsi" w:cstheme="majorHAnsi"/>
          <w:sz w:val="24"/>
          <w:szCs w:val="24"/>
        </w:rPr>
        <w:t xml:space="preserve">Further extending this perspective, Huang et al. (2018) introduced </w:t>
      </w:r>
      <w:proofErr w:type="spellStart"/>
      <w:r w:rsidRPr="00847D58">
        <w:rPr>
          <w:rFonts w:asciiTheme="majorHAnsi" w:hAnsiTheme="majorHAnsi" w:cstheme="majorHAnsi"/>
          <w:sz w:val="24"/>
          <w:szCs w:val="24"/>
        </w:rPr>
        <w:t>CoDetect</w:t>
      </w:r>
      <w:proofErr w:type="spellEnd"/>
      <w:r w:rsidRPr="00847D58">
        <w:rPr>
          <w:rFonts w:asciiTheme="majorHAnsi" w:hAnsiTheme="majorHAnsi" w:cstheme="majorHAnsi"/>
          <w:sz w:val="24"/>
          <w:szCs w:val="24"/>
        </w:rPr>
        <w:t xml:space="preserve">, a financial fraud detection framework that combines anomaly feature detection with complex network analysis. This model effectively identifies suspicious behaviors by extracting both structural and statistical indicators from transaction datasets. </w:t>
      </w:r>
      <w:proofErr w:type="spellStart"/>
      <w:r w:rsidRPr="00847D58">
        <w:rPr>
          <w:rFonts w:asciiTheme="majorHAnsi" w:hAnsiTheme="majorHAnsi" w:cstheme="majorHAnsi"/>
          <w:sz w:val="24"/>
          <w:szCs w:val="24"/>
        </w:rPr>
        <w:t>CoDetect’s</w:t>
      </w:r>
      <w:proofErr w:type="spellEnd"/>
      <w:r w:rsidRPr="00847D58">
        <w:rPr>
          <w:rFonts w:asciiTheme="majorHAnsi" w:hAnsiTheme="majorHAnsi" w:cstheme="majorHAnsi"/>
          <w:sz w:val="24"/>
          <w:szCs w:val="24"/>
        </w:rPr>
        <w:t xml:space="preserve"> integration of sparse matrix analysis and automation allows it to uncover fraudulent entities and relational patterns that traditional rule-based systems might overlook. For NFPOs grappling with increasingly sophisticated scams</w:t>
      </w:r>
      <w:r w:rsidR="004C2B89" w:rsidRPr="00847D58">
        <w:rPr>
          <w:rFonts w:asciiTheme="majorHAnsi" w:hAnsiTheme="majorHAnsi" w:cstheme="majorHAnsi"/>
          <w:sz w:val="24"/>
          <w:szCs w:val="24"/>
        </w:rPr>
        <w:t xml:space="preserve">, </w:t>
      </w:r>
      <w:r w:rsidRPr="00847D58">
        <w:rPr>
          <w:rFonts w:asciiTheme="majorHAnsi" w:hAnsiTheme="majorHAnsi" w:cstheme="majorHAnsi"/>
          <w:sz w:val="24"/>
          <w:szCs w:val="24"/>
        </w:rPr>
        <w:t xml:space="preserve">including those involving external vendors or interconnected transaction </w:t>
      </w:r>
      <w:r w:rsidR="004C2B89" w:rsidRPr="00847D58">
        <w:rPr>
          <w:rFonts w:asciiTheme="majorHAnsi" w:hAnsiTheme="majorHAnsi" w:cstheme="majorHAnsi"/>
          <w:sz w:val="24"/>
          <w:szCs w:val="24"/>
        </w:rPr>
        <w:t xml:space="preserve">schemes, </w:t>
      </w:r>
      <w:proofErr w:type="spellStart"/>
      <w:r w:rsidRPr="00847D58">
        <w:rPr>
          <w:rFonts w:asciiTheme="majorHAnsi" w:hAnsiTheme="majorHAnsi" w:cstheme="majorHAnsi"/>
          <w:sz w:val="24"/>
          <w:szCs w:val="24"/>
        </w:rPr>
        <w:t>CoDetect’s</w:t>
      </w:r>
      <w:proofErr w:type="spellEnd"/>
      <w:r w:rsidRPr="00847D58">
        <w:rPr>
          <w:rFonts w:asciiTheme="majorHAnsi" w:hAnsiTheme="majorHAnsi" w:cstheme="majorHAnsi"/>
          <w:sz w:val="24"/>
          <w:szCs w:val="24"/>
        </w:rPr>
        <w:t xml:space="preserve"> hybrid detection strategy provides a powerful tool for improving precision and responsiveness in fraud prevention.</w:t>
      </w:r>
    </w:p>
    <w:p w14:paraId="4E71D11F" w14:textId="77777777" w:rsidR="00A91796" w:rsidRPr="00847D58" w:rsidRDefault="00A91796" w:rsidP="00B15498">
      <w:pPr>
        <w:jc w:val="both"/>
        <w:rPr>
          <w:rFonts w:asciiTheme="majorHAnsi" w:hAnsiTheme="majorHAnsi" w:cstheme="majorHAnsi"/>
          <w:sz w:val="24"/>
          <w:szCs w:val="24"/>
        </w:rPr>
      </w:pPr>
    </w:p>
    <w:p w14:paraId="02441ED7" w14:textId="7F6A788C" w:rsidR="00D10D44" w:rsidRPr="00847D58" w:rsidRDefault="00D10D44" w:rsidP="00B15498">
      <w:pPr>
        <w:pStyle w:val="Heading2"/>
        <w:jc w:val="both"/>
        <w:rPr>
          <w:rFonts w:cstheme="majorHAnsi"/>
        </w:rPr>
      </w:pPr>
      <w:r w:rsidRPr="00847D58">
        <w:rPr>
          <w:rFonts w:cstheme="majorHAnsi"/>
        </w:rPr>
        <w:t>Conclusion</w:t>
      </w:r>
    </w:p>
    <w:p w14:paraId="4886C123" w14:textId="14C4162B" w:rsidR="00D10D44" w:rsidRPr="00515733" w:rsidRDefault="00D10D44" w:rsidP="00B15498">
      <w:pPr>
        <w:jc w:val="both"/>
        <w:rPr>
          <w:rFonts w:asciiTheme="majorHAnsi" w:hAnsiTheme="majorHAnsi" w:cstheme="majorHAnsi"/>
          <w:sz w:val="24"/>
          <w:szCs w:val="24"/>
        </w:rPr>
      </w:pPr>
      <w:r w:rsidRPr="00847D58">
        <w:rPr>
          <w:rFonts w:asciiTheme="majorHAnsi" w:hAnsiTheme="majorHAnsi" w:cstheme="majorHAnsi"/>
          <w:sz w:val="24"/>
          <w:szCs w:val="24"/>
        </w:rPr>
        <w:t xml:space="preserve">In a digital era where philanthropic resources increasingly flow through complex and often opaque systems, the vulnerability of NFPOs to fraudulent and anomalous transactions poses a serious threat to their mission and credibility. Traditional controls and manual auditing methods fall short in detecting nuanced financial misbehavior, particularly in large-scale donation environments. As highlighted through the works of Gibson (2018), </w:t>
      </w:r>
      <w:proofErr w:type="spellStart"/>
      <w:r w:rsidRPr="00847D58">
        <w:rPr>
          <w:rFonts w:asciiTheme="majorHAnsi" w:hAnsiTheme="majorHAnsi" w:cstheme="majorHAnsi"/>
          <w:sz w:val="24"/>
          <w:szCs w:val="24"/>
        </w:rPr>
        <w:t>Perols</w:t>
      </w:r>
      <w:proofErr w:type="spellEnd"/>
      <w:r w:rsidRPr="00847D58">
        <w:rPr>
          <w:rFonts w:asciiTheme="majorHAnsi" w:hAnsiTheme="majorHAnsi" w:cstheme="majorHAnsi"/>
          <w:sz w:val="24"/>
          <w:szCs w:val="24"/>
        </w:rPr>
        <w:t xml:space="preserve"> (2011), Nassif et al. (2021), and Huang et al. (2018), the integration of artificial intelligence and machine </w:t>
      </w:r>
      <w:r w:rsidR="0003455F" w:rsidRPr="00847D58">
        <w:rPr>
          <w:rFonts w:asciiTheme="majorHAnsi" w:hAnsiTheme="majorHAnsi" w:cstheme="majorHAnsi"/>
          <w:sz w:val="24"/>
          <w:szCs w:val="24"/>
        </w:rPr>
        <w:t xml:space="preserve">learning, </w:t>
      </w:r>
      <w:r w:rsidRPr="00847D58">
        <w:rPr>
          <w:rFonts w:asciiTheme="majorHAnsi" w:hAnsiTheme="majorHAnsi" w:cstheme="majorHAnsi"/>
          <w:sz w:val="24"/>
          <w:szCs w:val="24"/>
        </w:rPr>
        <w:t>especially anomaly detection techniques</w:t>
      </w:r>
      <w:r w:rsidR="0003455F" w:rsidRPr="00847D58">
        <w:rPr>
          <w:rFonts w:asciiTheme="majorHAnsi" w:hAnsiTheme="majorHAnsi" w:cstheme="majorHAnsi"/>
          <w:sz w:val="24"/>
          <w:szCs w:val="24"/>
        </w:rPr>
        <w:t xml:space="preserve">, </w:t>
      </w:r>
      <w:r w:rsidRPr="00847D58">
        <w:rPr>
          <w:rFonts w:asciiTheme="majorHAnsi" w:hAnsiTheme="majorHAnsi" w:cstheme="majorHAnsi"/>
          <w:sz w:val="24"/>
          <w:szCs w:val="24"/>
        </w:rPr>
        <w:t>offers a promising, scalable solution. These models not only enhance detection accuracy but also enable organizations to proactively respond to emerging fraud risks, adapt to evolving behavior patterns, and safeguard donor trust. By leveraging data-driven insights, NFPOs can move from reactive defense to intelligent prevention, empowering their operations with transparency, resilience, and integrity.</w:t>
      </w:r>
    </w:p>
    <w:p w14:paraId="4B0AA490" w14:textId="77777777" w:rsidR="00515733" w:rsidRPr="00847D58" w:rsidRDefault="00515733" w:rsidP="00B15498">
      <w:pPr>
        <w:jc w:val="both"/>
        <w:rPr>
          <w:rFonts w:asciiTheme="majorHAnsi" w:hAnsiTheme="majorHAnsi" w:cstheme="majorHAnsi"/>
          <w:sz w:val="24"/>
          <w:szCs w:val="24"/>
          <w:lang w:val="vi-VN"/>
        </w:rPr>
      </w:pPr>
    </w:p>
    <w:p w14:paraId="47957798" w14:textId="3037F561" w:rsidR="00DE4798" w:rsidRPr="00847D58" w:rsidRDefault="00DE4798" w:rsidP="00B15498">
      <w:pPr>
        <w:pStyle w:val="Heading2"/>
        <w:jc w:val="both"/>
        <w:rPr>
          <w:rFonts w:cstheme="majorHAnsi"/>
        </w:rPr>
      </w:pPr>
      <w:r w:rsidRPr="00847D58">
        <w:rPr>
          <w:rFonts w:cstheme="majorHAnsi"/>
        </w:rPr>
        <w:t>References</w:t>
      </w:r>
    </w:p>
    <w:p w14:paraId="4B86C1B0" w14:textId="5DAF4586" w:rsidR="007156E9" w:rsidRPr="002D2B18" w:rsidRDefault="007156E9" w:rsidP="007156E9">
      <w:pPr>
        <w:pStyle w:val="ListParagraph"/>
        <w:numPr>
          <w:ilvl w:val="0"/>
          <w:numId w:val="6"/>
        </w:numPr>
        <w:ind w:left="360"/>
        <w:jc w:val="both"/>
        <w:rPr>
          <w:rFonts w:asciiTheme="majorHAnsi" w:hAnsiTheme="majorHAnsi" w:cstheme="majorHAnsi"/>
          <w:sz w:val="24"/>
          <w:szCs w:val="24"/>
        </w:rPr>
      </w:pPr>
      <w:r w:rsidRPr="007156E9">
        <w:rPr>
          <w:rFonts w:asciiTheme="majorHAnsi" w:hAnsiTheme="majorHAnsi" w:cstheme="majorHAnsi"/>
          <w:sz w:val="24"/>
          <w:szCs w:val="24"/>
        </w:rPr>
        <w:t xml:space="preserve">Ali, A., Abd Razak, S., Othman, S. H., Eisa, T. A. E., Al-Dhaqm, A., Nasser, M., Elhassan, T., Elshafie, H., &amp; Saif, A. (2022). Financial fraud detection based on machine learning: A systematic literature review. Applied Sciences, 12(19), 9637. </w:t>
      </w:r>
      <w:hyperlink r:id="rId7" w:history="1">
        <w:r w:rsidRPr="004F0DD2">
          <w:rPr>
            <w:rStyle w:val="Hyperlink"/>
            <w:rFonts w:asciiTheme="majorHAnsi" w:hAnsiTheme="majorHAnsi" w:cstheme="majorHAnsi"/>
            <w:sz w:val="24"/>
            <w:szCs w:val="24"/>
          </w:rPr>
          <w:t>https://doi.org/10.3390/app12199637</w:t>
        </w:r>
      </w:hyperlink>
    </w:p>
    <w:p w14:paraId="1313E301" w14:textId="6CE1A77D" w:rsidR="007156E9" w:rsidRPr="002D2B18" w:rsidRDefault="007156E9" w:rsidP="007156E9">
      <w:pPr>
        <w:pStyle w:val="ListParagraph"/>
        <w:numPr>
          <w:ilvl w:val="0"/>
          <w:numId w:val="6"/>
        </w:numPr>
        <w:ind w:left="360"/>
        <w:jc w:val="both"/>
        <w:rPr>
          <w:rFonts w:asciiTheme="majorHAnsi" w:hAnsiTheme="majorHAnsi" w:cstheme="majorHAnsi"/>
          <w:sz w:val="24"/>
          <w:szCs w:val="24"/>
        </w:rPr>
      </w:pPr>
      <w:r w:rsidRPr="007156E9">
        <w:rPr>
          <w:rFonts w:asciiTheme="majorHAnsi" w:hAnsiTheme="majorHAnsi" w:cstheme="majorHAnsi"/>
          <w:sz w:val="24"/>
          <w:szCs w:val="24"/>
        </w:rPr>
        <w:t>Bradley, J. M. (2015). Empowering employees to prevent fraud in nonprofit organizations. Cardozo Public Law, Policy &amp; Ethics Journal, 13, 711–738.</w:t>
      </w:r>
    </w:p>
    <w:p w14:paraId="5C61E3DD" w14:textId="5FC58083" w:rsidR="007156E9" w:rsidRPr="002D2B18" w:rsidRDefault="007156E9" w:rsidP="007156E9">
      <w:pPr>
        <w:pStyle w:val="ListParagraph"/>
        <w:numPr>
          <w:ilvl w:val="0"/>
          <w:numId w:val="6"/>
        </w:numPr>
        <w:ind w:left="360"/>
        <w:jc w:val="both"/>
        <w:rPr>
          <w:rFonts w:asciiTheme="majorHAnsi" w:hAnsiTheme="majorHAnsi" w:cstheme="majorHAnsi"/>
          <w:sz w:val="24"/>
          <w:szCs w:val="24"/>
        </w:rPr>
      </w:pPr>
      <w:r w:rsidRPr="007156E9">
        <w:rPr>
          <w:rFonts w:asciiTheme="majorHAnsi" w:hAnsiTheme="majorHAnsi" w:cstheme="majorHAnsi"/>
          <w:sz w:val="24"/>
          <w:szCs w:val="24"/>
        </w:rPr>
        <w:lastRenderedPageBreak/>
        <w:t xml:space="preserve">Bruces Vieras, D., Mark, M., John, A., &amp; Martin, T. (2025, January 16). The impact of real-time financial fraud detection on financial institutions’ reputation and customer trust. </w:t>
      </w:r>
      <w:hyperlink r:id="rId8" w:history="1">
        <w:r w:rsidRPr="004F0DD2">
          <w:rPr>
            <w:rStyle w:val="Hyperlink"/>
            <w:rFonts w:asciiTheme="majorHAnsi" w:hAnsiTheme="majorHAnsi" w:cstheme="majorHAnsi"/>
            <w:sz w:val="24"/>
            <w:szCs w:val="24"/>
          </w:rPr>
          <w:t>https://www.researchgate.net/publication/388068563_The_Impact_of_Real-Time_Financial_Fraud_Detection_on_Financial_Institutions</w:t>
        </w:r>
      </w:hyperlink>
    </w:p>
    <w:p w14:paraId="7A2357FB" w14:textId="3ACBF533" w:rsidR="007156E9" w:rsidRPr="002D2B18" w:rsidRDefault="007156E9" w:rsidP="007156E9">
      <w:pPr>
        <w:pStyle w:val="ListParagraph"/>
        <w:numPr>
          <w:ilvl w:val="0"/>
          <w:numId w:val="6"/>
        </w:numPr>
        <w:ind w:left="360"/>
        <w:jc w:val="both"/>
        <w:rPr>
          <w:rFonts w:asciiTheme="majorHAnsi" w:hAnsiTheme="majorHAnsi" w:cstheme="majorHAnsi"/>
          <w:sz w:val="24"/>
          <w:szCs w:val="24"/>
        </w:rPr>
      </w:pPr>
      <w:r w:rsidRPr="007156E9">
        <w:rPr>
          <w:rFonts w:asciiTheme="majorHAnsi" w:hAnsiTheme="majorHAnsi" w:cstheme="majorHAnsi"/>
          <w:sz w:val="24"/>
          <w:szCs w:val="24"/>
        </w:rPr>
        <w:t xml:space="preserve">Chen, Y., Zhao, C., Xu, Y., &amp; Nie, C. (2025). Year-over-year developments in financial fraud detection via deep learning: A systematic literature review. ArXiv. </w:t>
      </w:r>
      <w:hyperlink r:id="rId9" w:history="1">
        <w:r w:rsidRPr="004F0DD2">
          <w:rPr>
            <w:rStyle w:val="Hyperlink"/>
            <w:rFonts w:asciiTheme="majorHAnsi" w:hAnsiTheme="majorHAnsi" w:cstheme="majorHAnsi"/>
            <w:sz w:val="24"/>
            <w:szCs w:val="24"/>
          </w:rPr>
          <w:t>https://arxiv.org/abs/2502.00201</w:t>
        </w:r>
      </w:hyperlink>
    </w:p>
    <w:p w14:paraId="64964D6B" w14:textId="354A022D" w:rsidR="007156E9" w:rsidRPr="002D2B18" w:rsidRDefault="007156E9" w:rsidP="007156E9">
      <w:pPr>
        <w:pStyle w:val="ListParagraph"/>
        <w:numPr>
          <w:ilvl w:val="0"/>
          <w:numId w:val="6"/>
        </w:numPr>
        <w:ind w:left="360"/>
        <w:jc w:val="both"/>
        <w:rPr>
          <w:rFonts w:asciiTheme="majorHAnsi" w:hAnsiTheme="majorHAnsi" w:cstheme="majorHAnsi"/>
          <w:sz w:val="24"/>
          <w:szCs w:val="24"/>
        </w:rPr>
      </w:pPr>
      <w:r w:rsidRPr="007156E9">
        <w:rPr>
          <w:rFonts w:asciiTheme="majorHAnsi" w:hAnsiTheme="majorHAnsi" w:cstheme="majorHAnsi"/>
          <w:sz w:val="24"/>
          <w:szCs w:val="24"/>
        </w:rPr>
        <w:t>Gibson, M. R. (2018). An analysis of fraud prevention and detection in not-for-profit organizations in the state of South Carolina [Master’s thesis, Liberty University].</w:t>
      </w:r>
    </w:p>
    <w:p w14:paraId="2540E1EF" w14:textId="3C8E524D" w:rsidR="007156E9" w:rsidRPr="002D2B18" w:rsidRDefault="007156E9" w:rsidP="007156E9">
      <w:pPr>
        <w:pStyle w:val="ListParagraph"/>
        <w:numPr>
          <w:ilvl w:val="0"/>
          <w:numId w:val="6"/>
        </w:numPr>
        <w:ind w:left="360"/>
        <w:jc w:val="both"/>
        <w:rPr>
          <w:rFonts w:asciiTheme="majorHAnsi" w:hAnsiTheme="majorHAnsi" w:cstheme="majorHAnsi"/>
          <w:sz w:val="24"/>
          <w:szCs w:val="24"/>
        </w:rPr>
      </w:pPr>
      <w:r w:rsidRPr="007156E9">
        <w:rPr>
          <w:rFonts w:asciiTheme="majorHAnsi" w:hAnsiTheme="majorHAnsi" w:cstheme="majorHAnsi"/>
          <w:sz w:val="24"/>
          <w:szCs w:val="24"/>
        </w:rPr>
        <w:t>Giovino, C. J. (2014). Reduce your risk of occupational crime. Nonprofit World, 32, 14–15.</w:t>
      </w:r>
    </w:p>
    <w:p w14:paraId="3685DFD1" w14:textId="1679E191" w:rsidR="007156E9" w:rsidRPr="002D2B18" w:rsidRDefault="007156E9" w:rsidP="007156E9">
      <w:pPr>
        <w:pStyle w:val="ListParagraph"/>
        <w:numPr>
          <w:ilvl w:val="0"/>
          <w:numId w:val="6"/>
        </w:numPr>
        <w:ind w:left="360"/>
        <w:jc w:val="both"/>
        <w:rPr>
          <w:rFonts w:asciiTheme="majorHAnsi" w:hAnsiTheme="majorHAnsi" w:cstheme="majorHAnsi"/>
          <w:sz w:val="24"/>
          <w:szCs w:val="24"/>
        </w:rPr>
      </w:pPr>
      <w:r w:rsidRPr="007156E9">
        <w:rPr>
          <w:rFonts w:asciiTheme="majorHAnsi" w:hAnsiTheme="majorHAnsi" w:cstheme="majorHAnsi"/>
          <w:sz w:val="24"/>
          <w:szCs w:val="24"/>
        </w:rPr>
        <w:t xml:space="preserve">Huang, D., Mu, D., Yang, L., &amp; Cai, X. (2018). CoDetect: Financial fraud detection with anomaly feature detection. IEEE Access, 6, 19161–19174. </w:t>
      </w:r>
      <w:hyperlink r:id="rId10" w:history="1">
        <w:r w:rsidRPr="004F0DD2">
          <w:rPr>
            <w:rStyle w:val="Hyperlink"/>
            <w:rFonts w:asciiTheme="majorHAnsi" w:hAnsiTheme="majorHAnsi" w:cstheme="majorHAnsi"/>
            <w:sz w:val="24"/>
            <w:szCs w:val="24"/>
          </w:rPr>
          <w:t>https://doi.org/10.1109/ACCESS.2018.2816564</w:t>
        </w:r>
      </w:hyperlink>
    </w:p>
    <w:p w14:paraId="0AADD10A" w14:textId="6B5F456C" w:rsidR="007156E9" w:rsidRPr="002D2B18" w:rsidRDefault="007156E9" w:rsidP="007156E9">
      <w:pPr>
        <w:pStyle w:val="ListParagraph"/>
        <w:numPr>
          <w:ilvl w:val="0"/>
          <w:numId w:val="6"/>
        </w:numPr>
        <w:ind w:left="360"/>
        <w:jc w:val="both"/>
        <w:rPr>
          <w:rFonts w:asciiTheme="majorHAnsi" w:hAnsiTheme="majorHAnsi" w:cstheme="majorHAnsi"/>
          <w:sz w:val="24"/>
          <w:szCs w:val="24"/>
        </w:rPr>
      </w:pPr>
      <w:r w:rsidRPr="007156E9">
        <w:rPr>
          <w:rFonts w:asciiTheme="majorHAnsi" w:hAnsiTheme="majorHAnsi" w:cstheme="majorHAnsi"/>
          <w:sz w:val="24"/>
          <w:szCs w:val="24"/>
        </w:rPr>
        <w:t xml:space="preserve">Nassif, A. B., Talib, M. A., Nasir, Q., &amp; Dakalbab, F. M. (2021). Machine learning for anomaly detection: A systematic review. IEEE Access, 9, 78658–78700. </w:t>
      </w:r>
      <w:hyperlink r:id="rId11" w:history="1">
        <w:r w:rsidRPr="004F0DD2">
          <w:rPr>
            <w:rStyle w:val="Hyperlink"/>
            <w:rFonts w:asciiTheme="majorHAnsi" w:hAnsiTheme="majorHAnsi" w:cstheme="majorHAnsi"/>
            <w:sz w:val="24"/>
            <w:szCs w:val="24"/>
          </w:rPr>
          <w:t>https://doi.org/10.1109/ACCESS.2021.3083060</w:t>
        </w:r>
      </w:hyperlink>
    </w:p>
    <w:p w14:paraId="2F9D2354" w14:textId="58F0FE49" w:rsidR="007156E9" w:rsidRPr="002D2B18" w:rsidRDefault="007156E9" w:rsidP="007156E9">
      <w:pPr>
        <w:pStyle w:val="ListParagraph"/>
        <w:numPr>
          <w:ilvl w:val="0"/>
          <w:numId w:val="6"/>
        </w:numPr>
        <w:ind w:left="360"/>
        <w:jc w:val="both"/>
        <w:rPr>
          <w:rFonts w:asciiTheme="majorHAnsi" w:hAnsiTheme="majorHAnsi" w:cstheme="majorHAnsi"/>
          <w:sz w:val="24"/>
          <w:szCs w:val="24"/>
        </w:rPr>
      </w:pPr>
      <w:r w:rsidRPr="007156E9">
        <w:rPr>
          <w:rFonts w:asciiTheme="majorHAnsi" w:hAnsiTheme="majorHAnsi" w:cstheme="majorHAnsi"/>
          <w:sz w:val="24"/>
          <w:szCs w:val="24"/>
        </w:rPr>
        <w:t>Perols, J. (2011). Financial statement fraud detection: An analysis of statistical and machine learning algorithms. Auditing: A Journal of Practice &amp; Theory, 30(2), 19–50.</w:t>
      </w:r>
    </w:p>
    <w:p w14:paraId="64BBA024" w14:textId="4BADD6C3" w:rsidR="00105F27" w:rsidRPr="007156E9" w:rsidRDefault="007156E9" w:rsidP="007156E9">
      <w:pPr>
        <w:pStyle w:val="ListParagraph"/>
        <w:numPr>
          <w:ilvl w:val="0"/>
          <w:numId w:val="6"/>
        </w:numPr>
        <w:ind w:left="360"/>
        <w:jc w:val="both"/>
        <w:rPr>
          <w:rFonts w:asciiTheme="majorHAnsi" w:hAnsiTheme="majorHAnsi" w:cstheme="majorHAnsi"/>
          <w:sz w:val="24"/>
          <w:szCs w:val="24"/>
        </w:rPr>
      </w:pPr>
      <w:r w:rsidRPr="007156E9">
        <w:rPr>
          <w:rFonts w:asciiTheme="majorHAnsi" w:hAnsiTheme="majorHAnsi" w:cstheme="majorHAnsi"/>
          <w:sz w:val="24"/>
          <w:szCs w:val="24"/>
        </w:rPr>
        <w:t xml:space="preserve">Srivastava, A., Kundu, A., Sural, S., &amp; Majumdar, A. K. (2008). Credit card fraud detection using hidden Markov model. IEEE Transactions on Dependable and Secure Computing, 5(1), 37–48. </w:t>
      </w:r>
      <w:hyperlink r:id="rId12" w:history="1">
        <w:r w:rsidRPr="004F0DD2">
          <w:rPr>
            <w:rStyle w:val="Hyperlink"/>
            <w:rFonts w:asciiTheme="majorHAnsi" w:hAnsiTheme="majorHAnsi" w:cstheme="majorHAnsi"/>
            <w:sz w:val="24"/>
            <w:szCs w:val="24"/>
          </w:rPr>
          <w:t>https://doi.org/10.1109/TDSC.2007.70228</w:t>
        </w:r>
        <w:r w:rsidR="00E70CF0" w:rsidRPr="004F0DD2">
          <w:rPr>
            <w:rStyle w:val="Hyperlink"/>
            <w:rFonts w:asciiTheme="majorHAnsi" w:hAnsiTheme="majorHAnsi" w:cstheme="majorHAnsi"/>
            <w:sz w:val="24"/>
            <w:szCs w:val="24"/>
            <w:lang w:val="en-US"/>
          </w:rPr>
          <w:t>‌</w:t>
        </w:r>
      </w:hyperlink>
    </w:p>
    <w:sectPr w:rsidR="00105F27" w:rsidRPr="007156E9" w:rsidSect="00B868B7">
      <w:headerReference w:type="even" r:id="rId13"/>
      <w:headerReference w:type="default" r:id="rId14"/>
      <w:headerReference w:type="first" r:id="rId15"/>
      <w:pgSz w:w="12240" w:h="15840"/>
      <w:pgMar w:top="1440" w:right="1800" w:bottom="1008"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6DA84" w14:textId="77777777" w:rsidR="002B5973" w:rsidRDefault="002B5973">
      <w:pPr>
        <w:spacing w:after="0" w:line="240" w:lineRule="auto"/>
      </w:pPr>
      <w:r>
        <w:separator/>
      </w:r>
    </w:p>
  </w:endnote>
  <w:endnote w:type="continuationSeparator" w:id="0">
    <w:p w14:paraId="6896D5FD" w14:textId="77777777" w:rsidR="002B5973" w:rsidRDefault="002B5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 w:name="Calibri">
    <w:panose1 w:val="020F0502020204030204"/>
    <w:charset w:val="A3"/>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06A44" w14:textId="77777777" w:rsidR="002B5973" w:rsidRDefault="002B5973">
      <w:pPr>
        <w:spacing w:after="0" w:line="240" w:lineRule="auto"/>
      </w:pPr>
      <w:r>
        <w:separator/>
      </w:r>
    </w:p>
  </w:footnote>
  <w:footnote w:type="continuationSeparator" w:id="0">
    <w:p w14:paraId="2333E9EA" w14:textId="77777777" w:rsidR="002B5973" w:rsidRDefault="002B59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DD27C" w14:textId="77777777" w:rsidR="00BD358E" w:rsidRDefault="00000000">
    <w:pPr>
      <w:pStyle w:val="Header"/>
    </w:pPr>
    <w:r>
      <w:rPr>
        <w:noProof/>
      </w:rPr>
      <mc:AlternateContent>
        <mc:Choice Requires="wps">
          <w:drawing>
            <wp:anchor distT="0" distB="0" distL="0" distR="0" simplePos="0" relativeHeight="251662336" behindDoc="0" locked="0" layoutInCell="1" allowOverlap="1" wp14:anchorId="6B84A8E3" wp14:editId="5B500FBD">
              <wp:simplePos x="635" y="635"/>
              <wp:positionH relativeFrom="page">
                <wp:align>center</wp:align>
              </wp:positionH>
              <wp:positionV relativeFrom="page">
                <wp:align>top</wp:align>
              </wp:positionV>
              <wp:extent cx="1733550" cy="400050"/>
              <wp:effectExtent l="0" t="0" r="0" b="0"/>
              <wp:wrapNone/>
              <wp:docPr id="2" name="Text Box 2" descr="RMIT Classification: Trus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33550" cy="400050"/>
                      </a:xfrm>
                      <a:prstGeom prst="rect">
                        <a:avLst/>
                      </a:prstGeom>
                      <a:noFill/>
                      <a:ln>
                        <a:noFill/>
                      </a:ln>
                    </wps:spPr>
                    <wps:txbx>
                      <w:txbxContent>
                        <w:p w14:paraId="22AC7E61" w14:textId="77777777" w:rsidR="00BD358E" w:rsidRPr="004144D0" w:rsidRDefault="00000000" w:rsidP="004144D0">
                          <w:pPr>
                            <w:spacing w:after="0"/>
                            <w:rPr>
                              <w:rFonts w:ascii="Calibri" w:eastAsia="Calibri" w:hAnsi="Calibri" w:cs="Calibri"/>
                              <w:noProof/>
                              <w:color w:val="EEDC00"/>
                              <w:sz w:val="24"/>
                              <w:szCs w:val="24"/>
                            </w:rPr>
                          </w:pPr>
                          <w:r w:rsidRPr="004144D0">
                            <w:rPr>
                              <w:rFonts w:ascii="Calibri" w:eastAsia="Calibri" w:hAnsi="Calibri" w:cs="Calibri"/>
                              <w:noProof/>
                              <w:color w:val="EEDC00"/>
                              <w:sz w:val="24"/>
                              <w:szCs w:val="24"/>
                            </w:rPr>
                            <w:t>RMIT Classification: Trusted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B84A8E3" id="_x0000_t202" coordsize="21600,21600" o:spt="202" path="m,l,21600r21600,l21600,xe">
              <v:stroke joinstyle="miter"/>
              <v:path gradientshapeok="t" o:connecttype="rect"/>
            </v:shapetype>
            <v:shape id="Text Box 2" o:spid="_x0000_s1026" type="#_x0000_t202" alt="RMIT Classification: Trusted" style="position:absolute;margin-left:0;margin-top:0;width:136.5pt;height:31.5pt;z-index:25166233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" filled="f" stroked="f">
              <v:textbox style="mso-fit-shape-to-text:t" inset="0,15pt,0,0">
                <w:txbxContent>
                  <w:p w14:paraId="22AC7E61" w14:textId="77777777" w:rsidR="00BD358E" w:rsidRPr="004144D0" w:rsidRDefault="00000000" w:rsidP="004144D0">
                    <w:pPr>
                      <w:spacing w:after="0"/>
                      <w:rPr>
                        <w:rFonts w:ascii="Calibri" w:eastAsia="Calibri" w:hAnsi="Calibri" w:cs="Calibri"/>
                        <w:noProof/>
                        <w:color w:val="EEDC00"/>
                        <w:sz w:val="24"/>
                        <w:szCs w:val="24"/>
                      </w:rPr>
                    </w:pPr>
                    <w:r w:rsidRPr="004144D0">
                      <w:rPr>
                        <w:rFonts w:ascii="Calibri" w:eastAsia="Calibri" w:hAnsi="Calibri" w:cs="Calibri"/>
                        <w:noProof/>
                        <w:color w:val="EEDC00"/>
                        <w:sz w:val="24"/>
                        <w:szCs w:val="24"/>
                      </w:rPr>
                      <w:t>RMIT Classification: Trusted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EEB1F" w14:textId="77777777" w:rsidR="00BD358E" w:rsidRDefault="00000000">
    <w:pPr>
      <w:pBdr>
        <w:top w:val="nil"/>
        <w:left w:val="nil"/>
        <w:bottom w:val="nil"/>
        <w:right w:val="nil"/>
        <w:between w:val="nil"/>
      </w:pBdr>
      <w:tabs>
        <w:tab w:val="left" w:pos="1701"/>
        <w:tab w:val="right" w:pos="8789"/>
      </w:tabs>
      <w:spacing w:after="0" w:line="240" w:lineRule="auto"/>
      <w:rPr>
        <w:rFonts w:ascii="Times New Roman" w:eastAsia="Times New Roman" w:hAnsi="Times New Roman" w:cs="Times New Roman"/>
        <w:color w:val="000000"/>
      </w:rPr>
    </w:pPr>
    <w:r>
      <w:rPr>
        <w:noProof/>
      </w:rPr>
      <mc:AlternateContent>
        <mc:Choice Requires="wps">
          <w:drawing>
            <wp:anchor distT="0" distB="0" distL="0" distR="0" simplePos="0" relativeHeight="251663360" behindDoc="0" locked="0" layoutInCell="1" allowOverlap="1" wp14:anchorId="2978A87E" wp14:editId="14E4B3A8">
              <wp:simplePos x="635" y="635"/>
              <wp:positionH relativeFrom="page">
                <wp:align>center</wp:align>
              </wp:positionH>
              <wp:positionV relativeFrom="page">
                <wp:align>top</wp:align>
              </wp:positionV>
              <wp:extent cx="1733550" cy="400050"/>
              <wp:effectExtent l="0" t="0" r="0" b="0"/>
              <wp:wrapNone/>
              <wp:docPr id="3" name="Text Box 3" descr="RMIT Classification: Trus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33550" cy="400050"/>
                      </a:xfrm>
                      <a:prstGeom prst="rect">
                        <a:avLst/>
                      </a:prstGeom>
                      <a:noFill/>
                      <a:ln>
                        <a:noFill/>
                      </a:ln>
                    </wps:spPr>
                    <wps:txbx>
                      <w:txbxContent>
                        <w:p w14:paraId="18915CCB" w14:textId="77777777" w:rsidR="00BD358E" w:rsidRPr="004144D0" w:rsidRDefault="00000000" w:rsidP="004144D0">
                          <w:pPr>
                            <w:spacing w:after="0"/>
                            <w:rPr>
                              <w:rFonts w:ascii="Calibri" w:eastAsia="Calibri" w:hAnsi="Calibri" w:cs="Calibri"/>
                              <w:noProof/>
                              <w:color w:val="EEDC00"/>
                              <w:sz w:val="24"/>
                              <w:szCs w:val="24"/>
                            </w:rPr>
                          </w:pPr>
                          <w:r w:rsidRPr="004144D0">
                            <w:rPr>
                              <w:rFonts w:ascii="Calibri" w:eastAsia="Calibri" w:hAnsi="Calibri" w:cs="Calibri"/>
                              <w:noProof/>
                              <w:color w:val="EEDC00"/>
                              <w:sz w:val="24"/>
                              <w:szCs w:val="24"/>
                            </w:rPr>
                            <w:t>RMIT Classification: Trusted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978A87E" id="_x0000_t202" coordsize="21600,21600" o:spt="202" path="m,l,21600r21600,l21600,xe">
              <v:stroke joinstyle="miter"/>
              <v:path gradientshapeok="t" o:connecttype="rect"/>
            </v:shapetype>
            <v:shape id="Text Box 3" o:spid="_x0000_s1027" type="#_x0000_t202" alt="RMIT Classification: Trusted" style="position:absolute;margin-left:0;margin-top:0;width:136.5pt;height:31.5pt;z-index:25166336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" filled="f" stroked="f">
              <v:textbox style="mso-fit-shape-to-text:t" inset="0,15pt,0,0">
                <w:txbxContent>
                  <w:p w14:paraId="18915CCB" w14:textId="77777777" w:rsidR="00BD358E" w:rsidRPr="004144D0" w:rsidRDefault="00000000" w:rsidP="004144D0">
                    <w:pPr>
                      <w:spacing w:after="0"/>
                      <w:rPr>
                        <w:rFonts w:ascii="Calibri" w:eastAsia="Calibri" w:hAnsi="Calibri" w:cs="Calibri"/>
                        <w:noProof/>
                        <w:color w:val="EEDC00"/>
                        <w:sz w:val="24"/>
                        <w:szCs w:val="24"/>
                      </w:rPr>
                    </w:pPr>
                    <w:r w:rsidRPr="004144D0">
                      <w:rPr>
                        <w:rFonts w:ascii="Calibri" w:eastAsia="Calibri" w:hAnsi="Calibri" w:cs="Calibri"/>
                        <w:noProof/>
                        <w:color w:val="EEDC00"/>
                        <w:sz w:val="24"/>
                        <w:szCs w:val="24"/>
                      </w:rPr>
                      <w:t>RMIT Classification: Trusted</w:t>
                    </w:r>
                  </w:p>
                </w:txbxContent>
              </v:textbox>
              <w10:wrap anchorx="page" anchory="page"/>
            </v:shape>
          </w:pict>
        </mc:Fallback>
      </mc:AlternateContent>
    </w:r>
    <w:r>
      <w:rPr>
        <w:noProof/>
      </w:rPr>
      <w:drawing>
        <wp:anchor distT="0" distB="0" distL="114300" distR="114300" simplePos="0" relativeHeight="251659264" behindDoc="0" locked="0" layoutInCell="1" hidden="0" allowOverlap="1" wp14:anchorId="24CCEB41" wp14:editId="6469F16E">
          <wp:simplePos x="0" y="0"/>
          <wp:positionH relativeFrom="column">
            <wp:posOffset>114300</wp:posOffset>
          </wp:positionH>
          <wp:positionV relativeFrom="paragraph">
            <wp:posOffset>0</wp:posOffset>
          </wp:positionV>
          <wp:extent cx="1278890" cy="299720"/>
          <wp:effectExtent l="0" t="0" r="0" b="0"/>
          <wp:wrapNone/>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78890" cy="299720"/>
                  </a:xfrm>
                  <a:prstGeom prst="rect">
                    <a:avLst/>
                  </a:prstGeom>
                  <a:ln/>
                </pic:spPr>
              </pic:pic>
            </a:graphicData>
          </a:graphic>
        </wp:anchor>
      </w:drawing>
    </w:r>
  </w:p>
  <w:p w14:paraId="2B9EF516" w14:textId="77777777" w:rsidR="00BD358E" w:rsidRDefault="00BD358E">
    <w:pPr>
      <w:pBdr>
        <w:top w:val="nil"/>
        <w:left w:val="nil"/>
        <w:bottom w:val="nil"/>
        <w:right w:val="nil"/>
        <w:between w:val="nil"/>
      </w:pBdr>
      <w:tabs>
        <w:tab w:val="left" w:pos="1701"/>
        <w:tab w:val="right" w:pos="8789"/>
      </w:tabs>
      <w:spacing w:after="0" w:line="240" w:lineRule="auto"/>
      <w:rPr>
        <w:rFonts w:ascii="Times New Roman" w:eastAsia="Times New Roman" w:hAnsi="Times New Roman" w:cs="Times New Roman"/>
        <w:color w:val="000000"/>
      </w:rPr>
    </w:pPr>
  </w:p>
  <w:p w14:paraId="0C2D1D78" w14:textId="77777777" w:rsidR="00BD358E" w:rsidRDefault="00000000">
    <w:pPr>
      <w:pBdr>
        <w:top w:val="nil"/>
        <w:left w:val="nil"/>
        <w:bottom w:val="nil"/>
        <w:right w:val="nil"/>
        <w:between w:val="nil"/>
      </w:pBdr>
      <w:tabs>
        <w:tab w:val="left" w:pos="1701"/>
        <w:tab w:val="right" w:pos="8789"/>
      </w:tabs>
      <w:spacing w:after="0" w:line="240" w:lineRule="auto"/>
      <w:rPr>
        <w:rFonts w:ascii="Arial" w:eastAsia="Arial" w:hAnsi="Arial" w:cs="Arial"/>
        <w:color w:val="000000"/>
      </w:rPr>
    </w:pPr>
    <w:r>
      <w:rPr>
        <w:noProof/>
      </w:rPr>
      <mc:AlternateContent>
        <mc:Choice Requires="wps">
          <w:drawing>
            <wp:anchor distT="0" distB="0" distL="114300" distR="114300" simplePos="0" relativeHeight="251660288" behindDoc="0" locked="0" layoutInCell="1" hidden="0" allowOverlap="1" wp14:anchorId="4F5FFA7A" wp14:editId="3018FB47">
              <wp:simplePos x="0" y="0"/>
              <wp:positionH relativeFrom="column">
                <wp:posOffset>114300</wp:posOffset>
              </wp:positionH>
              <wp:positionV relativeFrom="paragraph">
                <wp:posOffset>0</wp:posOffset>
              </wp:positionV>
              <wp:extent cx="5511800" cy="38100"/>
              <wp:effectExtent l="0" t="0" r="0" b="0"/>
              <wp:wrapNone/>
              <wp:docPr id="5" name="Straight Arrow Connector 5"/>
              <wp:cNvGraphicFramePr/>
              <a:graphic xmlns:a="http://schemas.openxmlformats.org/drawingml/2006/main">
                <a:graphicData uri="http://schemas.microsoft.com/office/word/2010/wordprocessingShape">
                  <wps:wsp>
                    <wps:cNvCnPr/>
                    <wps:spPr>
                      <a:xfrm>
                        <a:off x="2602800" y="3780000"/>
                        <a:ext cx="5486400" cy="0"/>
                      </a:xfrm>
                      <a:prstGeom prst="straightConnector1">
                        <a:avLst/>
                      </a:prstGeom>
                      <a:noFill/>
                      <a:ln w="12700" cap="flat" cmpd="sng">
                        <a:solidFill>
                          <a:srgbClr val="000000"/>
                        </a:solidFill>
                        <a:prstDash val="solid"/>
                        <a:miter lim="800000"/>
                        <a:headEnd type="none" w="sm" len="sm"/>
                        <a:tailEnd type="none" w="sm" len="sm"/>
                      </a:ln>
                    </wps:spPr>
                    <wps:bodyPr/>
                  </wps:wsp>
                </a:graphicData>
              </a:graphic>
            </wp:anchor>
          </w:drawing>
        </mc:Choice>
        <mc:Fallback>
          <w:pict>
            <v:shapetype w14:anchorId="50A1CD13" id="_x0000_t32" coordsize="21600,21600" o:spt="32" o:oned="t" path="m,l21600,21600e" filled="f">
              <v:path arrowok="t" fillok="f" o:connecttype="none"/>
              <o:lock v:ext="edit" shapetype="t"/>
            </v:shapetype>
            <v:shape id="Straight Arrow Connector 5" o:spid="_x0000_s1026" type="#_x0000_t32" style="position:absolute;margin-left:9pt;margin-top:0;width:434pt;height:3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" strokeweight="1pt">
              <v:stroke startarrowwidth="narrow" startarrowlength="short" endarrowwidth="narrow" endarrowlength="short" joinstyle="miter"/>
            </v:shape>
          </w:pict>
        </mc:Fallback>
      </mc:AlternateContent>
    </w:r>
  </w:p>
  <w:p w14:paraId="39D03B38" w14:textId="77777777" w:rsidR="00BD358E" w:rsidRDefault="00BD358E">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13C6A" w14:textId="77777777" w:rsidR="00BD358E" w:rsidRDefault="00000000">
    <w:pPr>
      <w:pStyle w:val="Header"/>
    </w:pPr>
    <w:r>
      <w:rPr>
        <w:noProof/>
      </w:rPr>
      <mc:AlternateContent>
        <mc:Choice Requires="wps">
          <w:drawing>
            <wp:anchor distT="0" distB="0" distL="0" distR="0" simplePos="0" relativeHeight="251661312" behindDoc="0" locked="0" layoutInCell="1" allowOverlap="1" wp14:anchorId="496CAE48" wp14:editId="6966D1AD">
              <wp:simplePos x="635" y="635"/>
              <wp:positionH relativeFrom="page">
                <wp:align>center</wp:align>
              </wp:positionH>
              <wp:positionV relativeFrom="page">
                <wp:align>top</wp:align>
              </wp:positionV>
              <wp:extent cx="1733550" cy="400050"/>
              <wp:effectExtent l="0" t="0" r="0" b="0"/>
              <wp:wrapNone/>
              <wp:docPr id="1" name="Text Box 1" descr="RMIT Classification: Trus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33550" cy="400050"/>
                      </a:xfrm>
                      <a:prstGeom prst="rect">
                        <a:avLst/>
                      </a:prstGeom>
                      <a:noFill/>
                      <a:ln>
                        <a:noFill/>
                      </a:ln>
                    </wps:spPr>
                    <wps:txbx>
                      <w:txbxContent>
                        <w:p w14:paraId="23520E3F" w14:textId="77777777" w:rsidR="00BD358E" w:rsidRPr="004144D0" w:rsidRDefault="00000000" w:rsidP="004144D0">
                          <w:pPr>
                            <w:spacing w:after="0"/>
                            <w:rPr>
                              <w:rFonts w:ascii="Calibri" w:eastAsia="Calibri" w:hAnsi="Calibri" w:cs="Calibri"/>
                              <w:noProof/>
                              <w:color w:val="EEDC00"/>
                              <w:sz w:val="24"/>
                              <w:szCs w:val="24"/>
                            </w:rPr>
                          </w:pPr>
                          <w:r w:rsidRPr="004144D0">
                            <w:rPr>
                              <w:rFonts w:ascii="Calibri" w:eastAsia="Calibri" w:hAnsi="Calibri" w:cs="Calibri"/>
                              <w:noProof/>
                              <w:color w:val="EEDC00"/>
                              <w:sz w:val="24"/>
                              <w:szCs w:val="24"/>
                            </w:rPr>
                            <w:t>RMIT Classification: Trusted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96CAE48" id="_x0000_t202" coordsize="21600,21600" o:spt="202" path="m,l,21600r21600,l21600,xe">
              <v:stroke joinstyle="miter"/>
              <v:path gradientshapeok="t" o:connecttype="rect"/>
            </v:shapetype>
            <v:shape id="Text Box 1" o:spid="_x0000_s1028" type="#_x0000_t202" alt="RMIT Classification: Trusted" style="position:absolute;margin-left:0;margin-top:0;width:136.5pt;height:31.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" filled="f" stroked="f">
              <v:textbox style="mso-fit-shape-to-text:t" inset="0,15pt,0,0">
                <w:txbxContent>
                  <w:p w14:paraId="23520E3F" w14:textId="77777777" w:rsidR="00BD358E" w:rsidRPr="004144D0" w:rsidRDefault="00000000" w:rsidP="004144D0">
                    <w:pPr>
                      <w:spacing w:after="0"/>
                      <w:rPr>
                        <w:rFonts w:ascii="Calibri" w:eastAsia="Calibri" w:hAnsi="Calibri" w:cs="Calibri"/>
                        <w:noProof/>
                        <w:color w:val="EEDC00"/>
                        <w:sz w:val="24"/>
                        <w:szCs w:val="24"/>
                      </w:rPr>
                    </w:pPr>
                    <w:r w:rsidRPr="004144D0">
                      <w:rPr>
                        <w:rFonts w:ascii="Calibri" w:eastAsia="Calibri" w:hAnsi="Calibri" w:cs="Calibri"/>
                        <w:noProof/>
                        <w:color w:val="EEDC00"/>
                        <w:sz w:val="24"/>
                        <w:szCs w:val="24"/>
                      </w:rPr>
                      <w:t>RMIT Classification: Trusted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E19DA"/>
    <w:multiLevelType w:val="hybridMultilevel"/>
    <w:tmpl w:val="D85A9A92"/>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0">
    <w:nsid w:val="26A95467"/>
    <w:multiLevelType w:val="hybridMultilevel"/>
    <w:tmpl w:val="2E46B80A"/>
    <w:lvl w:ilvl="0" w:tplc="9126CA4A">
      <w:numFmt w:val="bullet"/>
      <w:lvlText w:val="-"/>
      <w:lvlJc w:val="left"/>
      <w:pPr>
        <w:ind w:left="1080" w:hanging="360"/>
      </w:pPr>
      <w:rPr>
        <w:rFonts w:ascii="Times New Roman" w:eastAsia="Garamond"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3D47180B"/>
    <w:multiLevelType w:val="hybridMultilevel"/>
    <w:tmpl w:val="101E8F10"/>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3" w15:restartNumberingAfterBreak="0">
    <w:nsid w:val="49C546A7"/>
    <w:multiLevelType w:val="hybridMultilevel"/>
    <w:tmpl w:val="7EAE6D8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5FEB7D4F"/>
    <w:multiLevelType w:val="hybridMultilevel"/>
    <w:tmpl w:val="2C146F4A"/>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5" w15:restartNumberingAfterBreak="0">
    <w:nsid w:val="6D2F78AC"/>
    <w:multiLevelType w:val="hybridMultilevel"/>
    <w:tmpl w:val="7FB835A8"/>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num w:numId="1" w16cid:durableId="1063791033">
    <w:abstractNumId w:val="1"/>
  </w:num>
  <w:num w:numId="2" w16cid:durableId="1851751205">
    <w:abstractNumId w:val="0"/>
  </w:num>
  <w:num w:numId="3" w16cid:durableId="506405098">
    <w:abstractNumId w:val="5"/>
  </w:num>
  <w:num w:numId="4" w16cid:durableId="778257603">
    <w:abstractNumId w:val="2"/>
  </w:num>
  <w:num w:numId="5" w16cid:durableId="1154642817">
    <w:abstractNumId w:val="4"/>
  </w:num>
  <w:num w:numId="6" w16cid:durableId="17729734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D48"/>
    <w:rsid w:val="00000FF5"/>
    <w:rsid w:val="00020A20"/>
    <w:rsid w:val="0003455F"/>
    <w:rsid w:val="000644F2"/>
    <w:rsid w:val="000C5E36"/>
    <w:rsid w:val="000D4C92"/>
    <w:rsid w:val="000E398B"/>
    <w:rsid w:val="000E4D48"/>
    <w:rsid w:val="00105F27"/>
    <w:rsid w:val="00125524"/>
    <w:rsid w:val="00136D61"/>
    <w:rsid w:val="001371DE"/>
    <w:rsid w:val="001636BF"/>
    <w:rsid w:val="00171994"/>
    <w:rsid w:val="001753C0"/>
    <w:rsid w:val="00190C7B"/>
    <w:rsid w:val="001B5FB8"/>
    <w:rsid w:val="001C0B49"/>
    <w:rsid w:val="001F363F"/>
    <w:rsid w:val="001F711A"/>
    <w:rsid w:val="0021445B"/>
    <w:rsid w:val="00221EE5"/>
    <w:rsid w:val="002675A4"/>
    <w:rsid w:val="002B2767"/>
    <w:rsid w:val="002B5973"/>
    <w:rsid w:val="002D2B18"/>
    <w:rsid w:val="00300A43"/>
    <w:rsid w:val="00307C49"/>
    <w:rsid w:val="003226BE"/>
    <w:rsid w:val="0033123D"/>
    <w:rsid w:val="00347302"/>
    <w:rsid w:val="0036433A"/>
    <w:rsid w:val="00372CDF"/>
    <w:rsid w:val="00373434"/>
    <w:rsid w:val="003A6F7D"/>
    <w:rsid w:val="003B03F8"/>
    <w:rsid w:val="003B1C2F"/>
    <w:rsid w:val="003D35AF"/>
    <w:rsid w:val="003D67D7"/>
    <w:rsid w:val="003E06DC"/>
    <w:rsid w:val="004148C1"/>
    <w:rsid w:val="004559F9"/>
    <w:rsid w:val="00464967"/>
    <w:rsid w:val="00464A96"/>
    <w:rsid w:val="00476D78"/>
    <w:rsid w:val="004B1D79"/>
    <w:rsid w:val="004C2B89"/>
    <w:rsid w:val="004C584B"/>
    <w:rsid w:val="004D0BA8"/>
    <w:rsid w:val="004F0DD2"/>
    <w:rsid w:val="00515733"/>
    <w:rsid w:val="005736F4"/>
    <w:rsid w:val="005864D4"/>
    <w:rsid w:val="00596AF0"/>
    <w:rsid w:val="005E1DD6"/>
    <w:rsid w:val="005E5178"/>
    <w:rsid w:val="00603B4D"/>
    <w:rsid w:val="00605C88"/>
    <w:rsid w:val="00622461"/>
    <w:rsid w:val="00636E81"/>
    <w:rsid w:val="0065499B"/>
    <w:rsid w:val="0068123D"/>
    <w:rsid w:val="00697B7A"/>
    <w:rsid w:val="006B0BA3"/>
    <w:rsid w:val="006C00AD"/>
    <w:rsid w:val="006C721A"/>
    <w:rsid w:val="007156E9"/>
    <w:rsid w:val="007258C7"/>
    <w:rsid w:val="007A5A4B"/>
    <w:rsid w:val="007A73A2"/>
    <w:rsid w:val="007E1F2F"/>
    <w:rsid w:val="007F2E30"/>
    <w:rsid w:val="00831D15"/>
    <w:rsid w:val="0084267B"/>
    <w:rsid w:val="00847D58"/>
    <w:rsid w:val="00854C3A"/>
    <w:rsid w:val="00895534"/>
    <w:rsid w:val="008A4D17"/>
    <w:rsid w:val="008A6813"/>
    <w:rsid w:val="008C2F90"/>
    <w:rsid w:val="00900623"/>
    <w:rsid w:val="00901AC3"/>
    <w:rsid w:val="009132F7"/>
    <w:rsid w:val="00926ED0"/>
    <w:rsid w:val="00932628"/>
    <w:rsid w:val="00934144"/>
    <w:rsid w:val="00942653"/>
    <w:rsid w:val="00956523"/>
    <w:rsid w:val="00957811"/>
    <w:rsid w:val="00961237"/>
    <w:rsid w:val="00973E0B"/>
    <w:rsid w:val="00976F72"/>
    <w:rsid w:val="00986B6B"/>
    <w:rsid w:val="009945C5"/>
    <w:rsid w:val="009A3A2B"/>
    <w:rsid w:val="009E114A"/>
    <w:rsid w:val="009E5E28"/>
    <w:rsid w:val="00A10639"/>
    <w:rsid w:val="00A13F29"/>
    <w:rsid w:val="00A4150B"/>
    <w:rsid w:val="00A42ED6"/>
    <w:rsid w:val="00A72F78"/>
    <w:rsid w:val="00A81FCD"/>
    <w:rsid w:val="00A91796"/>
    <w:rsid w:val="00AA1769"/>
    <w:rsid w:val="00AA25AD"/>
    <w:rsid w:val="00AC56B7"/>
    <w:rsid w:val="00AD5533"/>
    <w:rsid w:val="00AE3F0A"/>
    <w:rsid w:val="00B06610"/>
    <w:rsid w:val="00B11C3A"/>
    <w:rsid w:val="00B15498"/>
    <w:rsid w:val="00B557D7"/>
    <w:rsid w:val="00B84337"/>
    <w:rsid w:val="00B868B7"/>
    <w:rsid w:val="00B9533D"/>
    <w:rsid w:val="00BC5D30"/>
    <w:rsid w:val="00BD2DC4"/>
    <w:rsid w:val="00BD358E"/>
    <w:rsid w:val="00C06AFA"/>
    <w:rsid w:val="00C070C6"/>
    <w:rsid w:val="00C359BA"/>
    <w:rsid w:val="00C422AD"/>
    <w:rsid w:val="00C52331"/>
    <w:rsid w:val="00C83FCC"/>
    <w:rsid w:val="00CB1034"/>
    <w:rsid w:val="00CE02C6"/>
    <w:rsid w:val="00D10D44"/>
    <w:rsid w:val="00D305FC"/>
    <w:rsid w:val="00D34CF9"/>
    <w:rsid w:val="00D34D79"/>
    <w:rsid w:val="00D56EC8"/>
    <w:rsid w:val="00D75D9B"/>
    <w:rsid w:val="00D90193"/>
    <w:rsid w:val="00DE1104"/>
    <w:rsid w:val="00DE4798"/>
    <w:rsid w:val="00E16A00"/>
    <w:rsid w:val="00E2433C"/>
    <w:rsid w:val="00E70CF0"/>
    <w:rsid w:val="00EA227C"/>
    <w:rsid w:val="00EC28E9"/>
    <w:rsid w:val="00EC7CA7"/>
    <w:rsid w:val="00F25684"/>
    <w:rsid w:val="00F3258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793101"/>
  <w15:chartTrackingRefBased/>
  <w15:docId w15:val="{E357A4E6-E242-4FAE-A991-383DF1D2B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8B7"/>
    <w:pPr>
      <w:spacing w:after="200" w:line="276" w:lineRule="auto"/>
    </w:pPr>
    <w:rPr>
      <w:rFonts w:ascii="Garamond" w:eastAsia="Garamond" w:hAnsi="Garamond" w:cs="Garamond"/>
      <w:kern w:val="0"/>
      <w:lang w:val="en-US"/>
      <w14:ligatures w14:val="none"/>
    </w:rPr>
  </w:style>
  <w:style w:type="paragraph" w:styleId="Heading1">
    <w:name w:val="heading 1"/>
    <w:basedOn w:val="Normal"/>
    <w:next w:val="Normal"/>
    <w:link w:val="Heading1Char"/>
    <w:uiPriority w:val="9"/>
    <w:qFormat/>
    <w:rsid w:val="000E4D48"/>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val="vi-VN"/>
      <w14:ligatures w14:val="standardContextual"/>
    </w:rPr>
  </w:style>
  <w:style w:type="paragraph" w:styleId="Heading2">
    <w:name w:val="heading 2"/>
    <w:basedOn w:val="Normal"/>
    <w:next w:val="Normal"/>
    <w:link w:val="Heading2Char"/>
    <w:uiPriority w:val="9"/>
    <w:unhideWhenUsed/>
    <w:qFormat/>
    <w:rsid w:val="000E4D48"/>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val="vi-VN"/>
      <w14:ligatures w14:val="standardContextual"/>
    </w:rPr>
  </w:style>
  <w:style w:type="paragraph" w:styleId="Heading3">
    <w:name w:val="heading 3"/>
    <w:basedOn w:val="Normal"/>
    <w:next w:val="Normal"/>
    <w:link w:val="Heading3Char"/>
    <w:uiPriority w:val="9"/>
    <w:unhideWhenUsed/>
    <w:qFormat/>
    <w:rsid w:val="000E4D48"/>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val="vi-VN"/>
      <w14:ligatures w14:val="standardContextual"/>
    </w:rPr>
  </w:style>
  <w:style w:type="paragraph" w:styleId="Heading4">
    <w:name w:val="heading 4"/>
    <w:basedOn w:val="Normal"/>
    <w:next w:val="Normal"/>
    <w:link w:val="Heading4Char"/>
    <w:uiPriority w:val="9"/>
    <w:unhideWhenUsed/>
    <w:qFormat/>
    <w:rsid w:val="000E4D48"/>
    <w:pPr>
      <w:keepNext/>
      <w:keepLines/>
      <w:spacing w:before="80" w:after="40" w:line="259" w:lineRule="auto"/>
      <w:outlineLvl w:val="3"/>
    </w:pPr>
    <w:rPr>
      <w:rFonts w:asciiTheme="minorHAnsi" w:eastAsiaTheme="majorEastAsia" w:hAnsiTheme="minorHAnsi" w:cstheme="majorBidi"/>
      <w:i/>
      <w:iCs/>
      <w:color w:val="0F4761" w:themeColor="accent1" w:themeShade="BF"/>
      <w:kern w:val="2"/>
      <w:lang w:val="vi-VN"/>
      <w14:ligatures w14:val="standardContextual"/>
    </w:rPr>
  </w:style>
  <w:style w:type="paragraph" w:styleId="Heading5">
    <w:name w:val="heading 5"/>
    <w:basedOn w:val="Normal"/>
    <w:next w:val="Normal"/>
    <w:link w:val="Heading5Char"/>
    <w:uiPriority w:val="9"/>
    <w:semiHidden/>
    <w:unhideWhenUsed/>
    <w:qFormat/>
    <w:rsid w:val="000E4D48"/>
    <w:pPr>
      <w:keepNext/>
      <w:keepLines/>
      <w:spacing w:before="80" w:after="40" w:line="259" w:lineRule="auto"/>
      <w:outlineLvl w:val="4"/>
    </w:pPr>
    <w:rPr>
      <w:rFonts w:asciiTheme="minorHAnsi" w:eastAsiaTheme="majorEastAsia" w:hAnsiTheme="minorHAnsi" w:cstheme="majorBidi"/>
      <w:color w:val="0F4761" w:themeColor="accent1" w:themeShade="BF"/>
      <w:kern w:val="2"/>
      <w:lang w:val="vi-VN"/>
      <w14:ligatures w14:val="standardContextual"/>
    </w:rPr>
  </w:style>
  <w:style w:type="paragraph" w:styleId="Heading6">
    <w:name w:val="heading 6"/>
    <w:basedOn w:val="Normal"/>
    <w:next w:val="Normal"/>
    <w:link w:val="Heading6Char"/>
    <w:uiPriority w:val="9"/>
    <w:semiHidden/>
    <w:unhideWhenUsed/>
    <w:qFormat/>
    <w:rsid w:val="000E4D48"/>
    <w:pPr>
      <w:keepNext/>
      <w:keepLines/>
      <w:spacing w:before="40" w:after="0" w:line="259" w:lineRule="auto"/>
      <w:outlineLvl w:val="5"/>
    </w:pPr>
    <w:rPr>
      <w:rFonts w:asciiTheme="minorHAnsi" w:eastAsiaTheme="majorEastAsia" w:hAnsiTheme="minorHAnsi" w:cstheme="majorBidi"/>
      <w:i/>
      <w:iCs/>
      <w:color w:val="595959" w:themeColor="text1" w:themeTint="A6"/>
      <w:kern w:val="2"/>
      <w:lang w:val="vi-VN"/>
      <w14:ligatures w14:val="standardContextual"/>
    </w:rPr>
  </w:style>
  <w:style w:type="paragraph" w:styleId="Heading7">
    <w:name w:val="heading 7"/>
    <w:basedOn w:val="Normal"/>
    <w:next w:val="Normal"/>
    <w:link w:val="Heading7Char"/>
    <w:uiPriority w:val="9"/>
    <w:semiHidden/>
    <w:unhideWhenUsed/>
    <w:qFormat/>
    <w:rsid w:val="000E4D48"/>
    <w:pPr>
      <w:keepNext/>
      <w:keepLines/>
      <w:spacing w:before="40" w:after="0" w:line="259" w:lineRule="auto"/>
      <w:outlineLvl w:val="6"/>
    </w:pPr>
    <w:rPr>
      <w:rFonts w:asciiTheme="minorHAnsi" w:eastAsiaTheme="majorEastAsia" w:hAnsiTheme="minorHAnsi" w:cstheme="majorBidi"/>
      <w:color w:val="595959" w:themeColor="text1" w:themeTint="A6"/>
      <w:kern w:val="2"/>
      <w:lang w:val="vi-VN"/>
      <w14:ligatures w14:val="standardContextual"/>
    </w:rPr>
  </w:style>
  <w:style w:type="paragraph" w:styleId="Heading8">
    <w:name w:val="heading 8"/>
    <w:basedOn w:val="Normal"/>
    <w:next w:val="Normal"/>
    <w:link w:val="Heading8Char"/>
    <w:uiPriority w:val="9"/>
    <w:semiHidden/>
    <w:unhideWhenUsed/>
    <w:qFormat/>
    <w:rsid w:val="000E4D48"/>
    <w:pPr>
      <w:keepNext/>
      <w:keepLines/>
      <w:spacing w:after="0" w:line="259" w:lineRule="auto"/>
      <w:outlineLvl w:val="7"/>
    </w:pPr>
    <w:rPr>
      <w:rFonts w:asciiTheme="minorHAnsi" w:eastAsiaTheme="majorEastAsia" w:hAnsiTheme="minorHAnsi" w:cstheme="majorBidi"/>
      <w:i/>
      <w:iCs/>
      <w:color w:val="272727" w:themeColor="text1" w:themeTint="D8"/>
      <w:kern w:val="2"/>
      <w:lang w:val="vi-VN"/>
      <w14:ligatures w14:val="standardContextual"/>
    </w:rPr>
  </w:style>
  <w:style w:type="paragraph" w:styleId="Heading9">
    <w:name w:val="heading 9"/>
    <w:basedOn w:val="Normal"/>
    <w:next w:val="Normal"/>
    <w:link w:val="Heading9Char"/>
    <w:uiPriority w:val="9"/>
    <w:semiHidden/>
    <w:unhideWhenUsed/>
    <w:qFormat/>
    <w:rsid w:val="000E4D48"/>
    <w:pPr>
      <w:keepNext/>
      <w:keepLines/>
      <w:spacing w:after="0" w:line="259" w:lineRule="auto"/>
      <w:outlineLvl w:val="8"/>
    </w:pPr>
    <w:rPr>
      <w:rFonts w:asciiTheme="minorHAnsi" w:eastAsiaTheme="majorEastAsia" w:hAnsiTheme="minorHAnsi" w:cstheme="majorBidi"/>
      <w:color w:val="272727" w:themeColor="text1" w:themeTint="D8"/>
      <w:kern w:val="2"/>
      <w:lang w:val="vi-V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4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4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E4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E4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4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4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D48"/>
    <w:rPr>
      <w:rFonts w:eastAsiaTheme="majorEastAsia" w:cstheme="majorBidi"/>
      <w:color w:val="272727" w:themeColor="text1" w:themeTint="D8"/>
    </w:rPr>
  </w:style>
  <w:style w:type="paragraph" w:styleId="Title">
    <w:name w:val="Title"/>
    <w:basedOn w:val="Normal"/>
    <w:next w:val="Normal"/>
    <w:link w:val="TitleChar"/>
    <w:uiPriority w:val="10"/>
    <w:qFormat/>
    <w:rsid w:val="000E4D48"/>
    <w:pPr>
      <w:spacing w:after="80" w:line="240" w:lineRule="auto"/>
      <w:contextualSpacing/>
    </w:pPr>
    <w:rPr>
      <w:rFonts w:asciiTheme="majorHAnsi" w:eastAsiaTheme="majorEastAsia" w:hAnsiTheme="majorHAnsi" w:cstheme="majorBidi"/>
      <w:spacing w:val="-10"/>
      <w:kern w:val="28"/>
      <w:sz w:val="56"/>
      <w:szCs w:val="56"/>
      <w:lang w:val="vi-VN"/>
      <w14:ligatures w14:val="standardContextual"/>
    </w:rPr>
  </w:style>
  <w:style w:type="character" w:customStyle="1" w:styleId="TitleChar">
    <w:name w:val="Title Char"/>
    <w:basedOn w:val="DefaultParagraphFont"/>
    <w:link w:val="Title"/>
    <w:uiPriority w:val="10"/>
    <w:rsid w:val="000E4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4D48"/>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vi-VN"/>
      <w14:ligatures w14:val="standardContextual"/>
    </w:rPr>
  </w:style>
  <w:style w:type="character" w:customStyle="1" w:styleId="SubtitleChar">
    <w:name w:val="Subtitle Char"/>
    <w:basedOn w:val="DefaultParagraphFont"/>
    <w:link w:val="Subtitle"/>
    <w:uiPriority w:val="11"/>
    <w:rsid w:val="000E4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D48"/>
    <w:pPr>
      <w:spacing w:before="160" w:after="160" w:line="259" w:lineRule="auto"/>
      <w:jc w:val="center"/>
    </w:pPr>
    <w:rPr>
      <w:rFonts w:asciiTheme="minorHAnsi" w:eastAsiaTheme="minorHAnsi" w:hAnsiTheme="minorHAnsi" w:cstheme="minorBidi"/>
      <w:i/>
      <w:iCs/>
      <w:color w:val="404040" w:themeColor="text1" w:themeTint="BF"/>
      <w:kern w:val="2"/>
      <w:lang w:val="vi-VN"/>
      <w14:ligatures w14:val="standardContextual"/>
    </w:rPr>
  </w:style>
  <w:style w:type="character" w:customStyle="1" w:styleId="QuoteChar">
    <w:name w:val="Quote Char"/>
    <w:basedOn w:val="DefaultParagraphFont"/>
    <w:link w:val="Quote"/>
    <w:uiPriority w:val="29"/>
    <w:rsid w:val="000E4D48"/>
    <w:rPr>
      <w:i/>
      <w:iCs/>
      <w:color w:val="404040" w:themeColor="text1" w:themeTint="BF"/>
    </w:rPr>
  </w:style>
  <w:style w:type="paragraph" w:styleId="ListParagraph">
    <w:name w:val="List Paragraph"/>
    <w:basedOn w:val="Normal"/>
    <w:uiPriority w:val="34"/>
    <w:qFormat/>
    <w:rsid w:val="000E4D48"/>
    <w:pPr>
      <w:spacing w:after="160" w:line="259" w:lineRule="auto"/>
      <w:ind w:left="720"/>
      <w:contextualSpacing/>
    </w:pPr>
    <w:rPr>
      <w:rFonts w:asciiTheme="minorHAnsi" w:eastAsiaTheme="minorHAnsi" w:hAnsiTheme="minorHAnsi" w:cstheme="minorBidi"/>
      <w:kern w:val="2"/>
      <w:lang w:val="vi-VN"/>
      <w14:ligatures w14:val="standardContextual"/>
    </w:rPr>
  </w:style>
  <w:style w:type="character" w:styleId="IntenseEmphasis">
    <w:name w:val="Intense Emphasis"/>
    <w:basedOn w:val="DefaultParagraphFont"/>
    <w:uiPriority w:val="21"/>
    <w:qFormat/>
    <w:rsid w:val="000E4D48"/>
    <w:rPr>
      <w:i/>
      <w:iCs/>
      <w:color w:val="0F4761" w:themeColor="accent1" w:themeShade="BF"/>
    </w:rPr>
  </w:style>
  <w:style w:type="paragraph" w:styleId="IntenseQuote">
    <w:name w:val="Intense Quote"/>
    <w:basedOn w:val="Normal"/>
    <w:next w:val="Normal"/>
    <w:link w:val="IntenseQuoteChar"/>
    <w:uiPriority w:val="30"/>
    <w:qFormat/>
    <w:rsid w:val="000E4D48"/>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lang w:val="vi-VN"/>
      <w14:ligatures w14:val="standardContextual"/>
    </w:rPr>
  </w:style>
  <w:style w:type="character" w:customStyle="1" w:styleId="IntenseQuoteChar">
    <w:name w:val="Intense Quote Char"/>
    <w:basedOn w:val="DefaultParagraphFont"/>
    <w:link w:val="IntenseQuote"/>
    <w:uiPriority w:val="30"/>
    <w:rsid w:val="000E4D48"/>
    <w:rPr>
      <w:i/>
      <w:iCs/>
      <w:color w:val="0F4761" w:themeColor="accent1" w:themeShade="BF"/>
    </w:rPr>
  </w:style>
  <w:style w:type="character" w:styleId="IntenseReference">
    <w:name w:val="Intense Reference"/>
    <w:basedOn w:val="DefaultParagraphFont"/>
    <w:uiPriority w:val="32"/>
    <w:qFormat/>
    <w:rsid w:val="000E4D48"/>
    <w:rPr>
      <w:b/>
      <w:bCs/>
      <w:smallCaps/>
      <w:color w:val="0F4761" w:themeColor="accent1" w:themeShade="BF"/>
      <w:spacing w:val="5"/>
    </w:rPr>
  </w:style>
  <w:style w:type="paragraph" w:styleId="Header">
    <w:name w:val="header"/>
    <w:basedOn w:val="Normal"/>
    <w:link w:val="HeaderChar"/>
    <w:uiPriority w:val="99"/>
    <w:unhideWhenUsed/>
    <w:rsid w:val="00B86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68B7"/>
    <w:rPr>
      <w:rFonts w:ascii="Garamond" w:eastAsia="Garamond" w:hAnsi="Garamond" w:cs="Garamond"/>
      <w:kern w:val="0"/>
      <w:lang w:val="en-US"/>
      <w14:ligatures w14:val="none"/>
    </w:rPr>
  </w:style>
  <w:style w:type="character" w:styleId="Hyperlink">
    <w:name w:val="Hyperlink"/>
    <w:basedOn w:val="DefaultParagraphFont"/>
    <w:uiPriority w:val="99"/>
    <w:unhideWhenUsed/>
    <w:rsid w:val="003226BE"/>
    <w:rPr>
      <w:color w:val="467886" w:themeColor="hyperlink"/>
      <w:u w:val="single"/>
    </w:rPr>
  </w:style>
  <w:style w:type="character" w:styleId="UnresolvedMention">
    <w:name w:val="Unresolved Mention"/>
    <w:basedOn w:val="DefaultParagraphFont"/>
    <w:uiPriority w:val="99"/>
    <w:semiHidden/>
    <w:unhideWhenUsed/>
    <w:rsid w:val="003226BE"/>
    <w:rPr>
      <w:color w:val="605E5C"/>
      <w:shd w:val="clear" w:color="auto" w:fill="E1DFDD"/>
    </w:rPr>
  </w:style>
  <w:style w:type="character" w:styleId="FollowedHyperlink">
    <w:name w:val="FollowedHyperlink"/>
    <w:basedOn w:val="DefaultParagraphFont"/>
    <w:uiPriority w:val="99"/>
    <w:semiHidden/>
    <w:unhideWhenUsed/>
    <w:rsid w:val="0034730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388068563_The_Impact_of_Real-Time_Financial_Fraud_Detection_on_Financial_Institutions"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3390/app12199637" TargetMode="External"/><Relationship Id="rId12" Type="http://schemas.openxmlformats.org/officeDocument/2006/relationships/hyperlink" Target="https://doi.org/10.1109/TDSC.2007.70228&#8204;"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09/ACCESS.2021.3083060" TargetMode="Externa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doi.org/10.1109/ACCESS.2018.2816564" TargetMode="External"/><Relationship Id="rId4" Type="http://schemas.openxmlformats.org/officeDocument/2006/relationships/webSettings" Target="webSettings.xml"/><Relationship Id="rId9" Type="http://schemas.openxmlformats.org/officeDocument/2006/relationships/hyperlink" Target="https://arxiv.org/abs/2502.00201" TargetMode="Externa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5</Pages>
  <Words>1639</Words>
  <Characters>9343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Nghĩa Nguyễn</dc:creator>
  <cp:keywords/>
  <dc:description/>
  <cp:lastModifiedBy>Nghĩa Nguyễn</cp:lastModifiedBy>
  <cp:revision>135</cp:revision>
  <cp:lastPrinted>2025-07-27T09:55:00Z</cp:lastPrinted>
  <dcterms:created xsi:type="dcterms:W3CDTF">2025-07-19T17:27:00Z</dcterms:created>
  <dcterms:modified xsi:type="dcterms:W3CDTF">2025-08-04T16:54:00Z</dcterms:modified>
</cp:coreProperties>
</file>