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Policy-aware Medicare Part D plan recommendation with rules-first simulation and constrained reranking</w:t>
      </w:r>
    </w:p>
    <w:p>
      <w:r>
        <w:rPr>
          <w:i/>
        </w:rPr>
        <w:t>This 2026-05-01 draft integrates the ChatGPT peer-review critique with the current project flow, evaluation artifact, and reviewer-revision manuscript. It keeps the original draft intact and sharpens the manuscript around software-method contribution, public-versus-local provenance, internal evaluation limits, and the uncovered-drug guardrail.</w:t>
      </w:r>
    </w:p>
    <w:p>
      <w:pPr>
        <w:pStyle w:val="Heading2"/>
      </w:pPr>
      <w:r>
        <w:t>Title page</w:t>
      </w:r>
    </w:p>
    <w:p>
      <w:r>
        <w:t>Title: Policy-aware Medicare Part D plan recommendation with rules-first simulation and constrained reranking</w:t>
      </w:r>
    </w:p>
    <w:p>
      <w:r>
        <w:t>Running title: Rules-first Part D recommendation</w:t>
      </w:r>
    </w:p>
    <w:p>
      <w:r>
        <w:t>Authors: Complete author names before submission</w:t>
      </w:r>
    </w:p>
    <w:p>
      <w:r>
        <w:t>Affiliations: Complete affiliations before submission</w:t>
      </w:r>
    </w:p>
    <w:p>
      <w:r>
        <w:t>Corresponding author: Complete corresponding-author details before submission</w:t>
      </w:r>
    </w:p>
    <w:p>
      <w:r>
        <w:t>Article type: Methodology Article</w:t>
      </w:r>
    </w:p>
    <w:p>
      <w:pPr>
        <w:pStyle w:val="Heading2"/>
      </w:pPr>
      <w:r>
        <w:t>Highlights</w:t>
      </w:r>
    </w:p>
    <w:p>
      <w:pPr>
        <w:pStyle w:val="ListBullet"/>
      </w:pPr>
      <w:r>
        <w:t>Quarter-frozen CMS Part D public files drive the public pipeline.</w:t>
      </w:r>
    </w:p>
    <w:p>
      <w:pPr>
        <w:pStyle w:val="ListBullet"/>
      </w:pPr>
      <w:r>
        <w:t>Deterministic cost simulation precedes constrained reranking.</w:t>
      </w:r>
    </w:p>
    <w:p>
      <w:pPr>
        <w:pStyle w:val="ListBullet"/>
      </w:pPr>
      <w:r>
        <w:t>Public inputs and PDE-compatible local layers are separated explicitly.</w:t>
      </w:r>
    </w:p>
    <w:p>
      <w:pPr>
        <w:pStyle w:val="ListBullet"/>
      </w:pPr>
      <w:r>
        <w:t>33,961 rows from 600 scenarios supported held-out evaluation.</w:t>
      </w:r>
    </w:p>
    <w:p>
      <w:pPr>
        <w:pStyle w:val="ListBullet"/>
      </w:pPr>
      <w:r>
        <w:t>Explanations preserve coverage, access, and restriction trade-offs.</w:t>
      </w:r>
    </w:p>
    <w:p>
      <w:pPr>
        <w:pStyle w:val="ListBullet"/>
      </w:pPr>
      <w:r>
        <w:t>Reranking improved agreement but did not satisfy the uncovered-drug guardrail.</w:t>
      </w:r>
    </w:p>
    <w:p>
      <w:pPr>
        <w:pStyle w:val="Heading2"/>
      </w:pPr>
      <w:r>
        <w:t>Abstract</w:t>
      </w:r>
    </w:p>
    <w:p>
      <w:r>
        <w:t>Selecting a Medicare Part D prescription drug plan requires comparison across geography, formularies, utilization-management restrictions, pharmacy networks, premiums, deductibles, insulin protections, low-income subsidy status, and annual out-of-pocket rules. We present CMS-MPD-Recommendation, an explainable software pipeline for policy-aware Part D plan recommendation under incomplete observability. Public CMS quarterly formulary, pricing, pharmacy-network, geography, and beneficiary-cost files are normalized through a DuckDB medallion architecture into auditable serving tables. A deterministic rules-first engine resolves medications, restricts candidate plans by ZIP code, simulates fill-level beneficiary liability, and emits explanation traces before any learned model is used. Optional ridge and shallow tree rerankers then reorder only already simulated plan rows within coverage-preserving buckets. The 2025-Q3 full artifact contains 33,961 plan-scenario rows from 600 mixed-source scenarios spanning 100 ZIP codes, 460 regimen signatures, and 551 unique NDCs. On 180 held-out scenarios, the tree reranker improved top-1 agreement, top-5 overlap, and NDCG@5 relative to rules-only ranking (0.861, 0.934, and 0.953 versus 0.622, 0.698, and 0.830). However, the uncovered-drug guardrail was not fully satisfied: average top-5 uncovered burden increased from 0.414 to 0.459, concentrated in specialty-high-cost and mixed-restriction scenarios. The system should therefore be interpreted as research-ready decision-support software, not as an autonomous enrollment advisor or claims-ground-truth optimizer.</w:t>
      </w:r>
    </w:p>
    <w:p>
      <w:pPr>
        <w:pStyle w:val="Heading2"/>
      </w:pPr>
      <w:r>
        <w:t>Keywords</w:t>
      </w:r>
    </w:p>
    <w:p>
      <w:r>
        <w:t>Medicare Part D; biomedical software; decision support; explainable recommendation; data engineering; out-of-pocket cost simulation; health informatics</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Term</w:t>
            </w:r>
          </w:p>
        </w:tc>
        <w:tc>
          <w:tcPr>
            <w:tcW w:type="dxa" w:w="4320"/>
          </w:tcPr>
          <w:p>
            <w:r>
              <w:rPr>
                <w:rFonts w:ascii="Times New Roman" w:hAnsi="Times New Roman"/>
                <w:b/>
                <w:sz w:val="18"/>
              </w:rPr>
              <w:t>Meaning in this manuscript</w:t>
            </w:r>
          </w:p>
        </w:tc>
      </w:tr>
      <w:tr>
        <w:tc>
          <w:tcPr>
            <w:tcW w:type="dxa" w:w="4320"/>
          </w:tcPr>
          <w:p>
            <w:r>
              <w:rPr>
                <w:rFonts w:ascii="Times New Roman" w:hAnsi="Times New Roman"/>
                <w:sz w:val="18"/>
              </w:rPr>
              <w:t>CMS</w:t>
            </w:r>
          </w:p>
        </w:tc>
        <w:tc>
          <w:tcPr>
            <w:tcW w:type="dxa" w:w="4320"/>
          </w:tcPr>
          <w:p>
            <w:r>
              <w:rPr>
                <w:rFonts w:ascii="Times New Roman" w:hAnsi="Times New Roman"/>
                <w:sz w:val="18"/>
              </w:rPr>
              <w:t>Centers for Medicare &amp; Medicaid Services</w:t>
            </w:r>
          </w:p>
        </w:tc>
      </w:tr>
      <w:tr>
        <w:tc>
          <w:tcPr>
            <w:tcW w:type="dxa" w:w="4320"/>
          </w:tcPr>
          <w:p>
            <w:r>
              <w:rPr>
                <w:rFonts w:ascii="Times New Roman" w:hAnsi="Times New Roman"/>
                <w:sz w:val="18"/>
              </w:rPr>
              <w:t>LIS</w:t>
            </w:r>
          </w:p>
        </w:tc>
        <w:tc>
          <w:tcPr>
            <w:tcW w:type="dxa" w:w="4320"/>
          </w:tcPr>
          <w:p>
            <w:r>
              <w:rPr>
                <w:rFonts w:ascii="Times New Roman" w:hAnsi="Times New Roman"/>
                <w:sz w:val="18"/>
              </w:rPr>
              <w:t>Low-income subsidy, also known as Extra Help</w:t>
            </w:r>
          </w:p>
        </w:tc>
      </w:tr>
      <w:tr>
        <w:tc>
          <w:tcPr>
            <w:tcW w:type="dxa" w:w="4320"/>
          </w:tcPr>
          <w:p>
            <w:r>
              <w:rPr>
                <w:rFonts w:ascii="Times New Roman" w:hAnsi="Times New Roman"/>
                <w:sz w:val="18"/>
              </w:rPr>
              <w:t>MA-PD</w:t>
            </w:r>
          </w:p>
        </w:tc>
        <w:tc>
          <w:tcPr>
            <w:tcW w:type="dxa" w:w="4320"/>
          </w:tcPr>
          <w:p>
            <w:r>
              <w:rPr>
                <w:rFonts w:ascii="Times New Roman" w:hAnsi="Times New Roman"/>
                <w:sz w:val="18"/>
              </w:rPr>
              <w:t>Medicare Advantage plan with prescription drug coverage</w:t>
            </w:r>
          </w:p>
        </w:tc>
      </w:tr>
      <w:tr>
        <w:tc>
          <w:tcPr>
            <w:tcW w:type="dxa" w:w="4320"/>
          </w:tcPr>
          <w:p>
            <w:r>
              <w:rPr>
                <w:rFonts w:ascii="Times New Roman" w:hAnsi="Times New Roman"/>
                <w:sz w:val="18"/>
              </w:rPr>
              <w:t>NDC</w:t>
            </w:r>
          </w:p>
        </w:tc>
        <w:tc>
          <w:tcPr>
            <w:tcW w:type="dxa" w:w="4320"/>
          </w:tcPr>
          <w:p>
            <w:r>
              <w:rPr>
                <w:rFonts w:ascii="Times New Roman" w:hAnsi="Times New Roman"/>
                <w:sz w:val="18"/>
              </w:rPr>
              <w:t>National Drug Code used as a package-level drug identifier</w:t>
            </w:r>
          </w:p>
        </w:tc>
      </w:tr>
      <w:tr>
        <w:tc>
          <w:tcPr>
            <w:tcW w:type="dxa" w:w="4320"/>
          </w:tcPr>
          <w:p>
            <w:r>
              <w:rPr>
                <w:rFonts w:ascii="Times New Roman" w:hAnsi="Times New Roman"/>
                <w:sz w:val="18"/>
              </w:rPr>
              <w:t>OOP</w:t>
            </w:r>
          </w:p>
        </w:tc>
        <w:tc>
          <w:tcPr>
            <w:tcW w:type="dxa" w:w="4320"/>
          </w:tcPr>
          <w:p>
            <w:r>
              <w:rPr>
                <w:rFonts w:ascii="Times New Roman" w:hAnsi="Times New Roman"/>
                <w:sz w:val="18"/>
              </w:rPr>
              <w:t>Beneficiary out-of-pocket cost</w:t>
            </w:r>
          </w:p>
        </w:tc>
      </w:tr>
      <w:tr>
        <w:tc>
          <w:tcPr>
            <w:tcW w:type="dxa" w:w="4320"/>
          </w:tcPr>
          <w:p>
            <w:r>
              <w:rPr>
                <w:rFonts w:ascii="Times New Roman" w:hAnsi="Times New Roman"/>
                <w:sz w:val="18"/>
              </w:rPr>
              <w:t>PBM</w:t>
            </w:r>
          </w:p>
        </w:tc>
        <w:tc>
          <w:tcPr>
            <w:tcW w:type="dxa" w:w="4320"/>
          </w:tcPr>
          <w:p>
            <w:r>
              <w:rPr>
                <w:rFonts w:ascii="Times New Roman" w:hAnsi="Times New Roman"/>
                <w:sz w:val="18"/>
              </w:rPr>
              <w:t>Pharmacy benefit manager</w:t>
            </w:r>
          </w:p>
        </w:tc>
      </w:tr>
      <w:tr>
        <w:tc>
          <w:tcPr>
            <w:tcW w:type="dxa" w:w="4320"/>
          </w:tcPr>
          <w:p>
            <w:r>
              <w:rPr>
                <w:rFonts w:ascii="Times New Roman" w:hAnsi="Times New Roman"/>
                <w:sz w:val="18"/>
              </w:rPr>
              <w:t>PDE</w:t>
            </w:r>
          </w:p>
        </w:tc>
        <w:tc>
          <w:tcPr>
            <w:tcW w:type="dxa" w:w="4320"/>
          </w:tcPr>
          <w:p>
            <w:r>
              <w:rPr>
                <w:rFonts w:ascii="Times New Roman" w:hAnsi="Times New Roman"/>
                <w:sz w:val="18"/>
              </w:rPr>
              <w:t>Prescription Drug Event; restricted CMS event data are not part of the public replication boundary</w:t>
            </w:r>
          </w:p>
        </w:tc>
      </w:tr>
      <w:tr>
        <w:tc>
          <w:tcPr>
            <w:tcW w:type="dxa" w:w="4320"/>
          </w:tcPr>
          <w:p>
            <w:r>
              <w:rPr>
                <w:rFonts w:ascii="Times New Roman" w:hAnsi="Times New Roman"/>
                <w:sz w:val="18"/>
              </w:rPr>
              <w:t>RXCUI</w:t>
            </w:r>
          </w:p>
        </w:tc>
        <w:tc>
          <w:tcPr>
            <w:tcW w:type="dxa" w:w="4320"/>
          </w:tcPr>
          <w:p>
            <w:r>
              <w:rPr>
                <w:rFonts w:ascii="Times New Roman" w:hAnsi="Times New Roman"/>
                <w:sz w:val="18"/>
              </w:rPr>
              <w:t>RxNorm concept identifier used for medication identity</w:t>
            </w:r>
          </w:p>
        </w:tc>
      </w:tr>
      <w:tr>
        <w:tc>
          <w:tcPr>
            <w:tcW w:type="dxa" w:w="4320"/>
          </w:tcPr>
          <w:p>
            <w:r>
              <w:rPr>
                <w:rFonts w:ascii="Times New Roman" w:hAnsi="Times New Roman"/>
                <w:sz w:val="18"/>
              </w:rPr>
              <w:t>SNP</w:t>
            </w:r>
          </w:p>
        </w:tc>
        <w:tc>
          <w:tcPr>
            <w:tcW w:type="dxa" w:w="4320"/>
          </w:tcPr>
          <w:p>
            <w:r>
              <w:rPr>
                <w:rFonts w:ascii="Times New Roman" w:hAnsi="Times New Roman"/>
                <w:sz w:val="18"/>
              </w:rPr>
              <w:t>Special Needs Plan, including D-SNP and C-SNP variants</w:t>
            </w:r>
          </w:p>
        </w:tc>
      </w:tr>
      <w:tr>
        <w:tc>
          <w:tcPr>
            <w:tcW w:type="dxa" w:w="4320"/>
          </w:tcPr>
          <w:p>
            <w:r>
              <w:rPr>
                <w:rFonts w:ascii="Times New Roman" w:hAnsi="Times New Roman"/>
                <w:sz w:val="18"/>
              </w:rPr>
              <w:t>UM</w:t>
            </w:r>
          </w:p>
        </w:tc>
        <w:tc>
          <w:tcPr>
            <w:tcW w:type="dxa" w:w="4320"/>
          </w:tcPr>
          <w:p>
            <w:r>
              <w:rPr>
                <w:rFonts w:ascii="Times New Roman" w:hAnsi="Times New Roman"/>
                <w:sz w:val="18"/>
              </w:rPr>
              <w:t>Utilization management, including prior authorization, step therapy, and quantity limits</w:t>
            </w:r>
          </w:p>
        </w:tc>
      </w:tr>
    </w:tbl>
    <w:p>
      <w:pPr>
        <w:pStyle w:val="Heading2"/>
      </w:pPr>
      <w:r>
        <w:t>1. Introduction</w:t>
      </w:r>
    </w:p>
    <w:p>
      <w:r>
        <w:t>Choosing a Medicare Part D prescription drug plan is a difficult computational and communication task. The plan that is most appropriate for a beneficiary depends on more than premium. It also depends on plan eligibility in the beneficiary's geography, formulary coverage for the beneficiary's medications, utilization-management restrictions, preferred pharmacy access, deductible structure, insulin protections, low-income subsidy status, and the way those factors interact over a full coverage year. A system that does not resolve these dependencies explicitly risks recommending plans that appear attractive on one dimension while imposing hidden access or cost trade-offs on another.</w:t>
      </w:r>
    </w:p>
    <w:p>
      <w:r>
        <w:t>This problem has become more important in the post-Inflation Reduction Act environment. The redesign of the Part D benefit changed beneficiary liability and sponsor incentives, especially beginning in 2025 [6-9]. At the same time, utilization restrictions, preferred pharmacy network design, and plan responses to high-cost or negotiated drugs remain active components of plan behavior [10-15]. Recent post-IRA studies also show that plan design can shift through deductibles, coinsurance, premium changes, formulary size, and coverage-option structure [29-31]. A useful recommendation system in this domain therefore cannot be quarter-agnostic or policy-agnostic. It must be explicit about what data were available, what policy assumptions were applied, and what cannot be inferred from public files alone.</w:t>
      </w:r>
    </w:p>
    <w:p>
      <w:r>
        <w:t>CMS-MPD-Recommendation was built to address that requirement. The project combines a local DuckDB medallion pipeline, a rules-first recommendation engine, a mixed-source scenario-generation workflow, and an optional constrained reranking layer. The system is designed for decision support rather than autonomous plan selection. It emphasizes explainability, reproducibility, and explicit separation between public CMS plan-design files and any behavioral data layer that resembles Prescription Drug Event records.</w:t>
      </w:r>
    </w:p>
    <w:p>
      <w:r>
        <w:t>This manuscript is written as a software and methods paper. Its contribution is not a claim to solve Medicare Part D choice in a general sense. Its contribution is a concrete, reproducible pipeline that:</w:t>
      </w:r>
    </w:p>
    <w:p>
      <w:pPr>
        <w:pStyle w:val="ListBullet"/>
      </w:pPr>
      <w:r>
        <w:t>ingests quarter-frozen public CMS plan-design data into auditable tables;</w:t>
      </w:r>
    </w:p>
    <w:p>
      <w:pPr>
        <w:pStyle w:val="ListBullet"/>
      </w:pPr>
      <w:r>
        <w:t>performs fill-level beneficiary out-of-pocket simulation using transparent rules;</w:t>
      </w:r>
    </w:p>
    <w:p>
      <w:pPr>
        <w:pStyle w:val="ListBullet"/>
      </w:pPr>
      <w:r>
        <w:t>surfaces explanation traces and guardrails with every recommendation;</w:t>
      </w:r>
    </w:p>
    <w:p>
      <w:pPr>
        <w:pStyle w:val="ListBullet"/>
      </w:pPr>
      <w:r>
        <w:t>evaluates constrained reranking on scenario-held-out data while preserving deterministic plan facts.</w:t>
      </w:r>
    </w:p>
    <w:p>
      <w:r>
        <w:t>The manuscript also states the system's boundaries clearly. The public artifact depends on public CMS files and local reference enrichments. Full CMS Prescription Drug Event data remain restricted and are treated here as a future extension rather than a public requirement [18-20].</w:t>
      </w:r>
    </w:p>
    <w:p>
      <w:pPr>
        <w:pStyle w:val="Heading2"/>
      </w:pPr>
      <w:r>
        <w:t>2. Related work and policy context</w:t>
      </w:r>
    </w:p>
    <w:p>
      <w:r>
        <w:t>Medicare Part D plan choice has long been recognized as difficult for beneficiaries. Prior work showed that many beneficiaries do not choose the lowest-cost plan that fits their medication needs [1-3]. Econometric work similarly found that beneficiaries may overweight premiums relative to expected out-of-pocket cost, while later panel evidence showed that some beneficiaries do learn and switch plans when status-quo costs rise [21,22]. Recent survey evidence after open enrollment also suggests that many beneficiaries do not actively compare plans at all [25]. Patient-centered decision aids and counseling interventions can improve navigation, but those studies also show that usable plan comparison requires understandable explanation rather than raw attribute display alone [1,2,4,5].</w:t>
      </w:r>
    </w:p>
    <w:p>
      <w:r>
        <w:t>Experimental and implementation evidence further supports the need for concise, explanation-centered recommendation outputs. Simplifying Plan Finder's default financial display improved older adults' ability to choose lower-cost Part D plans without reducing average plan quality or pharmacy network size [23]. The CHOICE decision-aid trial showed that personalized expert-like recommendations increased plan switching and satisfaction with the decision process among Medicare Part D enrollees [24]. GAO's Plan Finder oversight report also shows that official comparison tools depend on pricing-data checks, sponsor correction processes, and usability feedback loops, reinforcing that recommendation software should expose data-quality and provenance assumptions rather than hiding them [26].</w:t>
      </w:r>
    </w:p>
    <w:p>
      <w:r>
        <w:t>Recent policy and market changes make the computational problem more dynamic. CMS redesign guidance and implementation materials document major changes in beneficiary liability, including the changed structure of the 2025 Part D benefit and ongoing affordability reforms [6-9]. These changes matter because a recommender that assumes a static pre-redesign benefit will misestimate beneficiary liability for current plan years.</w:t>
      </w:r>
    </w:p>
    <w:p>
      <w:r>
        <w:t>The empirical policy literature also supports a multi-objective plan-comparison approach. Utilization restrictions increased substantially across Part D plans over the last decade [10]. Brand-versus-generic out-of-pocket signals can be misleading from the beneficiary perspective [11,12]. Preferred branded products, insulin, and other protected or high-cost therapies create plan-comparison contexts in which list price, formulary status, and beneficiary out-of-pocket cost do not move together cleanly [13-15].</w:t>
      </w:r>
    </w:p>
    <w:p>
      <w:r>
        <w:t>For biomedical software, the key methodological lesson is that ranking accuracy alone is not enough. Reviews of health recommender systems emphasize that real-world usefulness depends on fit between the algorithm and the decision context [16,17]. More recent health recommender and explainable clinical decision-support reviews argue for broader evaluation, stakeholder workflow fit, and interpretable outputs rather than algorithmic performance alone [32,33]. In Medicare Part D, that means preserving access and coverage explanations, surfacing evidence gaps, and treating machine learning as an assistive layer rather than the source of truth.</w:t>
      </w:r>
    </w:p>
    <w:p>
      <w:r>
        <w:t>The following comparator-positioning table addresses the peer-review concern that the manuscript should explain what existing workflows this system does and does not replace. The study does not claim to replace Medicare Plan Finder, adjudicated claims analysis, or counselor judgment. Its contribution is narrower and more software-method oriented: it makes the data provenance, fill-level simulation, explanation trail, and constrained reranking logic executable in one auditable workflow.</w:t>
      </w:r>
    </w:p>
    <w:p>
      <w:r>
        <w:rPr>
          <w:b/>
        </w:rPr>
        <w:t>Comparator-positioning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Comparator or workflow class</w:t>
            </w:r>
          </w:p>
        </w:tc>
        <w:tc>
          <w:tcPr>
            <w:tcW w:type="dxa" w:w="2160"/>
          </w:tcPr>
          <w:p>
            <w:r>
              <w:rPr>
                <w:rFonts w:ascii="Times New Roman" w:hAnsi="Times New Roman"/>
                <w:b/>
                <w:sz w:val="18"/>
              </w:rPr>
              <w:t>Main strength</w:t>
            </w:r>
          </w:p>
        </w:tc>
        <w:tc>
          <w:tcPr>
            <w:tcW w:type="dxa" w:w="2160"/>
          </w:tcPr>
          <w:p>
            <w:r>
              <w:rPr>
                <w:rFonts w:ascii="Times New Roman" w:hAnsi="Times New Roman"/>
                <w:b/>
                <w:sz w:val="18"/>
              </w:rPr>
              <w:t>Main limitation for this study question</w:t>
            </w:r>
          </w:p>
        </w:tc>
        <w:tc>
          <w:tcPr>
            <w:tcW w:type="dxa" w:w="2160"/>
          </w:tcPr>
          <w:p>
            <w:r>
              <w:rPr>
                <w:rFonts w:ascii="Times New Roman" w:hAnsi="Times New Roman"/>
                <w:b/>
                <w:sz w:val="18"/>
              </w:rPr>
              <w:t>Contribution of CMS-MPD-Recommendation</w:t>
            </w:r>
          </w:p>
        </w:tc>
      </w:tr>
      <w:tr>
        <w:tc>
          <w:tcPr>
            <w:tcW w:type="dxa" w:w="2160"/>
          </w:tcPr>
          <w:p>
            <w:r>
              <w:rPr>
                <w:rFonts w:ascii="Times New Roman" w:hAnsi="Times New Roman"/>
                <w:sz w:val="18"/>
              </w:rPr>
              <w:t>Medicare Plan Finder-style comparison</w:t>
            </w:r>
          </w:p>
        </w:tc>
        <w:tc>
          <w:tcPr>
            <w:tcW w:type="dxa" w:w="2160"/>
          </w:tcPr>
          <w:p>
            <w:r>
              <w:rPr>
                <w:rFonts w:ascii="Times New Roman" w:hAnsi="Times New Roman"/>
                <w:sz w:val="18"/>
              </w:rPr>
              <w:t>Official user-facing comparison workflow</w:t>
            </w:r>
          </w:p>
        </w:tc>
        <w:tc>
          <w:tcPr>
            <w:tcW w:type="dxa" w:w="2160"/>
          </w:tcPr>
          <w:p>
            <w:r>
              <w:rPr>
                <w:rFonts w:ascii="Times New Roman" w:hAnsi="Times New Roman"/>
                <w:sz w:val="18"/>
              </w:rPr>
              <w:t>External quarter-matched exports are not yet packaged in the public artifact</w:t>
            </w:r>
          </w:p>
        </w:tc>
        <w:tc>
          <w:tcPr>
            <w:tcW w:type="dxa" w:w="2160"/>
          </w:tcPr>
          <w:p>
            <w:r>
              <w:rPr>
                <w:rFonts w:ascii="Times New Roman" w:hAnsi="Times New Roman"/>
                <w:sz w:val="18"/>
              </w:rPr>
              <w:t>Provides an auditable local research pipeline and explanation trace for frozen public data</w:t>
            </w:r>
          </w:p>
        </w:tc>
      </w:tr>
      <w:tr>
        <w:tc>
          <w:tcPr>
            <w:tcW w:type="dxa" w:w="2160"/>
          </w:tcPr>
          <w:p>
            <w:r>
              <w:rPr>
                <w:rFonts w:ascii="Times New Roman" w:hAnsi="Times New Roman"/>
                <w:sz w:val="18"/>
              </w:rPr>
              <w:t>Premium-first or total-cost heuristics</w:t>
            </w:r>
          </w:p>
        </w:tc>
        <w:tc>
          <w:tcPr>
            <w:tcW w:type="dxa" w:w="2160"/>
          </w:tcPr>
          <w:p>
            <w:r>
              <w:rPr>
                <w:rFonts w:ascii="Times New Roman" w:hAnsi="Times New Roman"/>
                <w:sz w:val="18"/>
              </w:rPr>
              <w:t>Transparent and easy to explain</w:t>
            </w:r>
          </w:p>
        </w:tc>
        <w:tc>
          <w:tcPr>
            <w:tcW w:type="dxa" w:w="2160"/>
          </w:tcPr>
          <w:p>
            <w:r>
              <w:rPr>
                <w:rFonts w:ascii="Times New Roman" w:hAnsi="Times New Roman"/>
                <w:sz w:val="18"/>
              </w:rPr>
              <w:t>Can hide uncovered medications, restrictions, network limits, and missing-price evidence</w:t>
            </w:r>
          </w:p>
        </w:tc>
        <w:tc>
          <w:tcPr>
            <w:tcW w:type="dxa" w:w="2160"/>
          </w:tcPr>
          <w:p>
            <w:r>
              <w:rPr>
                <w:rFonts w:ascii="Times New Roman" w:hAnsi="Times New Roman"/>
                <w:sz w:val="18"/>
              </w:rPr>
              <w:t>Preserves coverage, restrictions, access, and priceability as first-order outputs</w:t>
            </w:r>
          </w:p>
        </w:tc>
      </w:tr>
      <w:tr>
        <w:tc>
          <w:tcPr>
            <w:tcW w:type="dxa" w:w="2160"/>
          </w:tcPr>
          <w:p>
            <w:r>
              <w:rPr>
                <w:rFonts w:ascii="Times New Roman" w:hAnsi="Times New Roman"/>
                <w:sz w:val="18"/>
              </w:rPr>
              <w:t>Prior beneficiary decision aids</w:t>
            </w:r>
          </w:p>
        </w:tc>
        <w:tc>
          <w:tcPr>
            <w:tcW w:type="dxa" w:w="2160"/>
          </w:tcPr>
          <w:p>
            <w:r>
              <w:rPr>
                <w:rFonts w:ascii="Times New Roman" w:hAnsi="Times New Roman"/>
                <w:sz w:val="18"/>
              </w:rPr>
              <w:t>Demonstrate value of personalized plan choice support</w:t>
            </w:r>
          </w:p>
        </w:tc>
        <w:tc>
          <w:tcPr>
            <w:tcW w:type="dxa" w:w="2160"/>
          </w:tcPr>
          <w:p>
            <w:r>
              <w:rPr>
                <w:rFonts w:ascii="Times New Roman" w:hAnsi="Times New Roman"/>
                <w:sz w:val="18"/>
              </w:rPr>
              <w:t>Often evaluate user experience rather than executable public-data software architecture</w:t>
            </w:r>
          </w:p>
        </w:tc>
        <w:tc>
          <w:tcPr>
            <w:tcW w:type="dxa" w:w="2160"/>
          </w:tcPr>
          <w:p>
            <w:r>
              <w:rPr>
                <w:rFonts w:ascii="Times New Roman" w:hAnsi="Times New Roman"/>
                <w:sz w:val="18"/>
              </w:rPr>
              <w:t>Connects decision-support logic to reproducible medallion data engineering and reranking evaluation</w:t>
            </w:r>
          </w:p>
        </w:tc>
      </w:tr>
      <w:tr>
        <w:tc>
          <w:tcPr>
            <w:tcW w:type="dxa" w:w="2160"/>
          </w:tcPr>
          <w:p>
            <w:r>
              <w:rPr>
                <w:rFonts w:ascii="Times New Roman" w:hAnsi="Times New Roman"/>
                <w:sz w:val="18"/>
              </w:rPr>
              <w:t>Generic health recommender systems</w:t>
            </w:r>
          </w:p>
        </w:tc>
        <w:tc>
          <w:tcPr>
            <w:tcW w:type="dxa" w:w="2160"/>
          </w:tcPr>
          <w:p>
            <w:r>
              <w:rPr>
                <w:rFonts w:ascii="Times New Roman" w:hAnsi="Times New Roman"/>
                <w:sz w:val="18"/>
              </w:rPr>
              <w:t>Mature ranking and evaluation concepts</w:t>
            </w:r>
          </w:p>
        </w:tc>
        <w:tc>
          <w:tcPr>
            <w:tcW w:type="dxa" w:w="2160"/>
          </w:tcPr>
          <w:p>
            <w:r>
              <w:rPr>
                <w:rFonts w:ascii="Times New Roman" w:hAnsi="Times New Roman"/>
                <w:sz w:val="18"/>
              </w:rPr>
              <w:t>Frequently under-specify domain rules, provenance, and guardrails</w:t>
            </w:r>
          </w:p>
        </w:tc>
        <w:tc>
          <w:tcPr>
            <w:tcW w:type="dxa" w:w="2160"/>
          </w:tcPr>
          <w:p>
            <w:r>
              <w:rPr>
                <w:rFonts w:ascii="Times New Roman" w:hAnsi="Times New Roman"/>
                <w:sz w:val="18"/>
              </w:rPr>
              <w:t>Uses learning only after deterministic policy-aware simulation and safety-bucket construction</w:t>
            </w:r>
          </w:p>
        </w:tc>
      </w:tr>
    </w:tbl>
    <w:p>
      <w:pPr>
        <w:pStyle w:val="Heading2"/>
      </w:pPr>
      <w:r>
        <w:t>3. Materials and data sources</w:t>
      </w:r>
    </w:p>
    <w:p>
      <w:pPr>
        <w:pStyle w:val="Heading3"/>
      </w:pPr>
      <w:r>
        <w:t>3.1 Data provenance and study boundary</w:t>
      </w:r>
    </w:p>
    <w:p>
      <w:r>
        <w:t>The single most important data-provenance rule in this study is that the public artifact is based on public-quarterly CMS plan-design data, not on unrestricted beneficiary claims. The system combines three layers of input:</w:t>
      </w:r>
    </w:p>
    <w:p>
      <w:pPr>
        <w:pStyle w:val="ListNumber"/>
      </w:pPr>
      <w:r>
        <w:t>Public CMS quarterly plan-design files, which describe plan structure, formularies, pricing, pharmacy networks, geography, exclusions, and beneficiary cost rules [18].</w:t>
      </w:r>
    </w:p>
    <w:p>
      <w:pPr>
        <w:pStyle w:val="ListNumber"/>
      </w:pPr>
      <w:r>
        <w:t>Study-side reference enrichments, including RXCUI property pulls from the NLM RxNav/RxNorm API, ZIP geography attributes derived with the uszipcode Python library, and insulin reference mappings informed by the CMS CY 2021 Part D Senior Savings Model NDC list [34-36].</w:t>
      </w:r>
    </w:p>
    <w:p>
      <w:pPr>
        <w:pStyle w:val="ListNumber"/>
      </w:pPr>
      <w:r>
        <w:t>A PDE-compatible behavioral layer, implemented locally as pde.csv and bronze.pde_sample, whose field semantics are aligned to the ResDAC Part D Event data documentation and used for utilization defaults and mixed-source scenario generation rather than as public claims-ground-truth [37].</w:t>
      </w:r>
    </w:p>
    <w:p>
      <w:r>
        <w:t>Within the public replication boundary, the 2025-Q3 full build ingests the following CMS source families:</w:t>
      </w:r>
    </w:p>
    <w:p>
      <w:pPr>
        <w:pStyle w:val="ListBullet"/>
      </w:pPr>
      <w:r>
        <w:t>plan information;</w:t>
      </w:r>
    </w:p>
    <w:p>
      <w:pPr>
        <w:pStyle w:val="ListBullet"/>
      </w:pPr>
      <w:r>
        <w:t>basic formulary;</w:t>
      </w:r>
    </w:p>
    <w:p>
      <w:pPr>
        <w:pStyle w:val="ListBullet"/>
      </w:pPr>
      <w:r>
        <w:t>beneficiary cost;</w:t>
      </w:r>
    </w:p>
    <w:p>
      <w:pPr>
        <w:pStyle w:val="ListBullet"/>
      </w:pPr>
      <w:r>
        <w:t>insulin beneficiary cost;</w:t>
      </w:r>
    </w:p>
    <w:p>
      <w:pPr>
        <w:pStyle w:val="ListBullet"/>
      </w:pPr>
      <w:r>
        <w:t>quarterly drug pricing;</w:t>
      </w:r>
    </w:p>
    <w:p>
      <w:pPr>
        <w:pStyle w:val="ListBullet"/>
      </w:pPr>
      <w:r>
        <w:t>geographic locator;</w:t>
      </w:r>
    </w:p>
    <w:p>
      <w:pPr>
        <w:pStyle w:val="ListBullet"/>
      </w:pPr>
      <w:r>
        <w:t>excluded drugs;</w:t>
      </w:r>
    </w:p>
    <w:p>
      <w:pPr>
        <w:pStyle w:val="ListBullet"/>
      </w:pPr>
      <w:r>
        <w:t>indication coverage;</w:t>
      </w:r>
    </w:p>
    <w:p>
      <w:pPr>
        <w:pStyle w:val="ListBullet"/>
      </w:pPr>
      <w:r>
        <w:t>pharmacy network files.</w:t>
      </w:r>
    </w:p>
    <w:p>
      <w:r>
        <w:t>These files correspond to the public CMS Part D formulary, pharmacy network, and pricing release used for plan transparency and plan-comparison tooling [18]. Full CMS Part D claims and Prescription Drug Event data remain restricted, require CMS approval, and are not part of the public replication boundary for this manuscript [19,20]. Table 1 below summarizes these source families, their working grains, and the public-versus-local provenance boundary used throughout the study. The public manuscript therefore reports a recommendation system under incomplete observability rather than a claims-ground-truth optimizer.</w:t>
      </w:r>
    </w:p>
    <w:p>
      <w:pPr>
        <w:pStyle w:val="Heading3"/>
      </w:pPr>
      <w:r>
        <w:t>3.2 Study-side enrichments and PDE-compatible layer</w:t>
      </w:r>
    </w:p>
    <w:p>
      <w:r>
        <w:t>The system also uses study-side reference enrichments that are sourced separately from the public CMS plan-design release:</w:t>
      </w:r>
    </w:p>
    <w:p>
      <w:pPr>
        <w:pStyle w:val="ListBullet"/>
      </w:pPr>
      <w:r>
        <w:t>bronze.rxcui_properties and related drug-reference tables, materialized from local pulls against the NLM RxNav/RxNorm API, for medication naming, synonym resolution, and RXCUI-linked properties [34];</w:t>
      </w:r>
    </w:p>
    <w:p>
      <w:pPr>
        <w:pStyle w:val="ListBullet"/>
      </w:pPr>
      <w:r>
        <w:t>us_zipcode_geo.csv and bronze.us_zipcode_geo, derived with the uszipcode library, for ZIP latitude, longitude, county, and density attributes [35];</w:t>
      </w:r>
    </w:p>
    <w:p>
      <w:pPr>
        <w:pStyle w:val="ListBullet"/>
      </w:pPr>
      <w:r>
        <w:t>insulin_ref.csv and bronze.insulin_reference, informed by the CMS CY 2021 Part D Senior Savings Model NDC list, for insulin identification and insulin-specific handling [36].</w:t>
      </w:r>
    </w:p>
    <w:p>
      <w:r>
        <w:t>These references are not substitutes for CMS plan data. They are local enrichment layers used to improve medication matching, service-area resolution, pharmacy access summaries, and subgroup-sensitive explanation.</w:t>
      </w:r>
    </w:p>
    <w:p>
      <w:r>
        <w:t>The local file pde.csv is used as a PDE-compatible local sample, not as a claim that the public artifact contains full CMS Prescription Drug Event data. Its field semantics and event-style structure were aligned to the ResDAC Medicare Part D Event data documentation so that the local sample preserves a beneficiary-drug-event shape suitable for defaults and scenario templating [37]. In the current public study state, this layer is used to estimate medication quantity defaults, fills-per-year defaults, and PDE-like scenario templates. It is not treated as production beneficiary truth, and it is not necessary to understand the public plan-design pipeline itself.</w:t>
      </w:r>
    </w:p>
    <w:p>
      <w:r>
        <w:t>For submission purposes, this layer should be read as a restricted-compatible or synthetic/de-identified local analysis aid unless a separate governed data-use statement is attached. No result in this manuscript is presented as an estimate of actual beneficiary enrollment behavior, adherence, utilization, or claims adjudication. The shareable replication package should therefore include public CMS input instructions, schema definitions, synthetic fixtures, scenario manifests, and derived evaluation artifacts, while any non-shareable event-style file should be documented by provenance, field semantics, and replacement-fixture behavior rather than bundled as if it were open public data.</w:t>
      </w:r>
    </w:p>
    <w:p>
      <w:r>
        <w:t>This distinction is critical for reviewers. Study-side enrichments support drug matching, geography enrichment, scenario defaults, and insulin handling, but they do not alter the manuscript's public-versus-restricted claims. Public CMS quarterly plan files are open and reproducible [18], whereas full Part D claims and PDE data remain restricted [19,20].</w:t>
      </w:r>
    </w:p>
    <w:p>
      <w:pPr>
        <w:pStyle w:val="Heading3"/>
      </w:pPr>
      <w:r>
        <w:t>3.3 Data inputs and provenance summary</w:t>
      </w:r>
    </w:p>
    <w:p>
      <w:r>
        <w:rPr>
          <w:b/>
        </w:rPr>
        <w:t>Table 1. Data inputs and provenance.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Input family</w:t>
            </w:r>
          </w:p>
        </w:tc>
        <w:tc>
          <w:tcPr>
            <w:tcW w:type="dxa" w:w="1728"/>
          </w:tcPr>
          <w:p>
            <w:r>
              <w:rPr>
                <w:rFonts w:ascii="Times New Roman" w:hAnsi="Times New Roman"/>
                <w:b/>
                <w:sz w:val="18"/>
              </w:rPr>
              <w:t>Example local table/file</w:t>
            </w:r>
          </w:p>
        </w:tc>
        <w:tc>
          <w:tcPr>
            <w:tcW w:type="dxa" w:w="1728"/>
          </w:tcPr>
          <w:p>
            <w:r>
              <w:rPr>
                <w:rFonts w:ascii="Times New Roman" w:hAnsi="Times New Roman"/>
                <w:b/>
                <w:sz w:val="18"/>
              </w:rPr>
              <w:t>Main grain</w:t>
            </w:r>
          </w:p>
        </w:tc>
        <w:tc>
          <w:tcPr>
            <w:tcW w:type="dxa" w:w="1728"/>
          </w:tcPr>
          <w:p>
            <w:r>
              <w:rPr>
                <w:rFonts w:ascii="Times New Roman" w:hAnsi="Times New Roman"/>
                <w:b/>
                <w:sz w:val="18"/>
              </w:rPr>
              <w:t>Primary use</w:t>
            </w:r>
          </w:p>
        </w:tc>
        <w:tc>
          <w:tcPr>
            <w:tcW w:type="dxa" w:w="1728"/>
          </w:tcPr>
          <w:p>
            <w:r>
              <w:rPr>
                <w:rFonts w:ascii="Times New Roman" w:hAnsi="Times New Roman"/>
                <w:b/>
                <w:sz w:val="18"/>
              </w:rPr>
              <w:t>Public/restricted status</w:t>
            </w:r>
          </w:p>
        </w:tc>
      </w:tr>
      <w:tr>
        <w:tc>
          <w:tcPr>
            <w:tcW w:type="dxa" w:w="1728"/>
          </w:tcPr>
          <w:p>
            <w:r>
              <w:rPr>
                <w:rFonts w:ascii="Times New Roman" w:hAnsi="Times New Roman"/>
                <w:sz w:val="18"/>
              </w:rPr>
              <w:t>CMS plan-design public files</w:t>
            </w:r>
          </w:p>
        </w:tc>
        <w:tc>
          <w:tcPr>
            <w:tcW w:type="dxa" w:w="1728"/>
          </w:tcPr>
          <w:p>
            <w:r>
              <w:rPr>
                <w:rFonts w:ascii="Times New Roman" w:hAnsi="Times New Roman"/>
                <w:sz w:val="18"/>
              </w:rPr>
              <w:t>bronze.plan_information, bronze.basic_formulary, bronze.pricing, bronze.pharmacy_network</w:t>
            </w:r>
          </w:p>
        </w:tc>
        <w:tc>
          <w:tcPr>
            <w:tcW w:type="dxa" w:w="1728"/>
          </w:tcPr>
          <w:p>
            <w:r>
              <w:rPr>
                <w:rFonts w:ascii="Times New Roman" w:hAnsi="Times New Roman"/>
                <w:sz w:val="18"/>
              </w:rPr>
              <w:t>plan, formulary, plan-drug, plan-pharmacy</w:t>
            </w:r>
          </w:p>
        </w:tc>
        <w:tc>
          <w:tcPr>
            <w:tcW w:type="dxa" w:w="1728"/>
          </w:tcPr>
          <w:p>
            <w:r>
              <w:rPr>
                <w:rFonts w:ascii="Times New Roman" w:hAnsi="Times New Roman"/>
                <w:sz w:val="18"/>
              </w:rPr>
              <w:t>eligibility, coverage, cost basis, network features</w:t>
            </w:r>
          </w:p>
        </w:tc>
        <w:tc>
          <w:tcPr>
            <w:tcW w:type="dxa" w:w="1728"/>
          </w:tcPr>
          <w:p>
            <w:r>
              <w:rPr>
                <w:rFonts w:ascii="Times New Roman" w:hAnsi="Times New Roman"/>
                <w:sz w:val="18"/>
              </w:rPr>
              <w:t>Public</w:t>
            </w:r>
          </w:p>
        </w:tc>
      </w:tr>
      <w:tr>
        <w:tc>
          <w:tcPr>
            <w:tcW w:type="dxa" w:w="1728"/>
          </w:tcPr>
          <w:p>
            <w:r>
              <w:rPr>
                <w:rFonts w:ascii="Times New Roman" w:hAnsi="Times New Roman"/>
                <w:sz w:val="18"/>
              </w:rPr>
              <w:t>CMS cost-rule public files</w:t>
            </w:r>
          </w:p>
        </w:tc>
        <w:tc>
          <w:tcPr>
            <w:tcW w:type="dxa" w:w="1728"/>
          </w:tcPr>
          <w:p>
            <w:r>
              <w:rPr>
                <w:rFonts w:ascii="Times New Roman" w:hAnsi="Times New Roman"/>
                <w:sz w:val="18"/>
              </w:rPr>
              <w:t>bronze.beneficiary_cost, bronze.insulin_beneficiary_cost</w:t>
            </w:r>
          </w:p>
        </w:tc>
        <w:tc>
          <w:tcPr>
            <w:tcW w:type="dxa" w:w="1728"/>
          </w:tcPr>
          <w:p>
            <w:r>
              <w:rPr>
                <w:rFonts w:ascii="Times New Roman" w:hAnsi="Times New Roman"/>
                <w:sz w:val="18"/>
              </w:rPr>
              <w:t>plan-tier-channel-day supply</w:t>
            </w:r>
          </w:p>
        </w:tc>
        <w:tc>
          <w:tcPr>
            <w:tcW w:type="dxa" w:w="1728"/>
          </w:tcPr>
          <w:p>
            <w:r>
              <w:rPr>
                <w:rFonts w:ascii="Times New Roman" w:hAnsi="Times New Roman"/>
                <w:sz w:val="18"/>
              </w:rPr>
              <w:t>beneficiary cost simulation</w:t>
            </w:r>
          </w:p>
        </w:tc>
        <w:tc>
          <w:tcPr>
            <w:tcW w:type="dxa" w:w="1728"/>
          </w:tcPr>
          <w:p>
            <w:r>
              <w:rPr>
                <w:rFonts w:ascii="Times New Roman" w:hAnsi="Times New Roman"/>
                <w:sz w:val="18"/>
              </w:rPr>
              <w:t>Public</w:t>
            </w:r>
          </w:p>
        </w:tc>
      </w:tr>
      <w:tr>
        <w:tc>
          <w:tcPr>
            <w:tcW w:type="dxa" w:w="1728"/>
          </w:tcPr>
          <w:p>
            <w:r>
              <w:rPr>
                <w:rFonts w:ascii="Times New Roman" w:hAnsi="Times New Roman"/>
                <w:sz w:val="18"/>
              </w:rPr>
              <w:t>CMS geography public files</w:t>
            </w:r>
          </w:p>
        </w:tc>
        <w:tc>
          <w:tcPr>
            <w:tcW w:type="dxa" w:w="1728"/>
          </w:tcPr>
          <w:p>
            <w:r>
              <w:rPr>
                <w:rFonts w:ascii="Times New Roman" w:hAnsi="Times New Roman"/>
                <w:sz w:val="18"/>
              </w:rPr>
              <w:t>bronze.geographic_locator</w:t>
            </w:r>
          </w:p>
        </w:tc>
        <w:tc>
          <w:tcPr>
            <w:tcW w:type="dxa" w:w="1728"/>
          </w:tcPr>
          <w:p>
            <w:r>
              <w:rPr>
                <w:rFonts w:ascii="Times New Roman" w:hAnsi="Times New Roman"/>
                <w:sz w:val="18"/>
              </w:rPr>
              <w:t>ZIP/region/county bridge</w:t>
            </w:r>
          </w:p>
        </w:tc>
        <w:tc>
          <w:tcPr>
            <w:tcW w:type="dxa" w:w="1728"/>
          </w:tcPr>
          <w:p>
            <w:r>
              <w:rPr>
                <w:rFonts w:ascii="Times New Roman" w:hAnsi="Times New Roman"/>
                <w:sz w:val="18"/>
              </w:rPr>
              <w:t>service-area and geography resolution</w:t>
            </w:r>
          </w:p>
        </w:tc>
        <w:tc>
          <w:tcPr>
            <w:tcW w:type="dxa" w:w="1728"/>
          </w:tcPr>
          <w:p>
            <w:r>
              <w:rPr>
                <w:rFonts w:ascii="Times New Roman" w:hAnsi="Times New Roman"/>
                <w:sz w:val="18"/>
              </w:rPr>
              <w:t>Public</w:t>
            </w:r>
          </w:p>
        </w:tc>
      </w:tr>
      <w:tr>
        <w:tc>
          <w:tcPr>
            <w:tcW w:type="dxa" w:w="1728"/>
          </w:tcPr>
          <w:p>
            <w:r>
              <w:rPr>
                <w:rFonts w:ascii="Times New Roman" w:hAnsi="Times New Roman"/>
                <w:sz w:val="18"/>
              </w:rPr>
              <w:t>CMS exclusions and indication files</w:t>
            </w:r>
          </w:p>
        </w:tc>
        <w:tc>
          <w:tcPr>
            <w:tcW w:type="dxa" w:w="1728"/>
          </w:tcPr>
          <w:p>
            <w:r>
              <w:rPr>
                <w:rFonts w:ascii="Times New Roman" w:hAnsi="Times New Roman"/>
                <w:sz w:val="18"/>
              </w:rPr>
              <w:t>bronze.excluded_drugs, bronze.indication_coverage</w:t>
            </w:r>
          </w:p>
        </w:tc>
        <w:tc>
          <w:tcPr>
            <w:tcW w:type="dxa" w:w="1728"/>
          </w:tcPr>
          <w:p>
            <w:r>
              <w:rPr>
                <w:rFonts w:ascii="Times New Roman" w:hAnsi="Times New Roman"/>
                <w:sz w:val="18"/>
              </w:rPr>
              <w:t>drug or plan-drug</w:t>
            </w:r>
          </w:p>
        </w:tc>
        <w:tc>
          <w:tcPr>
            <w:tcW w:type="dxa" w:w="1728"/>
          </w:tcPr>
          <w:p>
            <w:r>
              <w:rPr>
                <w:rFonts w:ascii="Times New Roman" w:hAnsi="Times New Roman"/>
                <w:sz w:val="18"/>
              </w:rPr>
              <w:t>coverage and explanation logic</w:t>
            </w:r>
          </w:p>
        </w:tc>
        <w:tc>
          <w:tcPr>
            <w:tcW w:type="dxa" w:w="1728"/>
          </w:tcPr>
          <w:p>
            <w:r>
              <w:rPr>
                <w:rFonts w:ascii="Times New Roman" w:hAnsi="Times New Roman"/>
                <w:sz w:val="18"/>
              </w:rPr>
              <w:t>Public</w:t>
            </w:r>
          </w:p>
        </w:tc>
      </w:tr>
      <w:tr>
        <w:tc>
          <w:tcPr>
            <w:tcW w:type="dxa" w:w="1728"/>
          </w:tcPr>
          <w:p>
            <w:r>
              <w:rPr>
                <w:rFonts w:ascii="Times New Roman" w:hAnsi="Times New Roman"/>
                <w:sz w:val="18"/>
              </w:rPr>
              <w:t>RXCUI API-derived drug reference enrichment</w:t>
            </w:r>
          </w:p>
        </w:tc>
        <w:tc>
          <w:tcPr>
            <w:tcW w:type="dxa" w:w="1728"/>
          </w:tcPr>
          <w:p>
            <w:r>
              <w:rPr>
                <w:rFonts w:ascii="Times New Roman" w:hAnsi="Times New Roman"/>
                <w:sz w:val="18"/>
              </w:rPr>
              <w:t>bronze.rxcui_properties, silver.dim_drug_reference</w:t>
            </w:r>
          </w:p>
        </w:tc>
        <w:tc>
          <w:tcPr>
            <w:tcW w:type="dxa" w:w="1728"/>
          </w:tcPr>
          <w:p>
            <w:r>
              <w:rPr>
                <w:rFonts w:ascii="Times New Roman" w:hAnsi="Times New Roman"/>
                <w:sz w:val="18"/>
              </w:rPr>
              <w:t>NDC/RXCUI</w:t>
            </w:r>
          </w:p>
        </w:tc>
        <w:tc>
          <w:tcPr>
            <w:tcW w:type="dxa" w:w="1728"/>
          </w:tcPr>
          <w:p>
            <w:r>
              <w:rPr>
                <w:rFonts w:ascii="Times New Roman" w:hAnsi="Times New Roman"/>
                <w:sz w:val="18"/>
              </w:rPr>
              <w:t>drug identity, synonym resolution, and property lookup</w:t>
            </w:r>
          </w:p>
        </w:tc>
        <w:tc>
          <w:tcPr>
            <w:tcW w:type="dxa" w:w="1728"/>
          </w:tcPr>
          <w:p>
            <w:r>
              <w:rPr>
                <w:rFonts w:ascii="Times New Roman" w:hAnsi="Times New Roman"/>
                <w:sz w:val="18"/>
              </w:rPr>
              <w:t>Local enrichment</w:t>
            </w:r>
          </w:p>
        </w:tc>
      </w:tr>
      <w:tr>
        <w:tc>
          <w:tcPr>
            <w:tcW w:type="dxa" w:w="1728"/>
          </w:tcPr>
          <w:p>
            <w:r>
              <w:rPr>
                <w:rFonts w:ascii="Times New Roman" w:hAnsi="Times New Roman"/>
                <w:sz w:val="18"/>
              </w:rPr>
              <w:t>ZIP geography enrichment (uszipcode-derived)</w:t>
            </w:r>
          </w:p>
        </w:tc>
        <w:tc>
          <w:tcPr>
            <w:tcW w:type="dxa" w:w="1728"/>
          </w:tcPr>
          <w:p>
            <w:r>
              <w:rPr>
                <w:rFonts w:ascii="Times New Roman" w:hAnsi="Times New Roman"/>
                <w:sz w:val="18"/>
              </w:rPr>
              <w:t>bronze.us_zipcode_geo</w:t>
            </w:r>
          </w:p>
        </w:tc>
        <w:tc>
          <w:tcPr>
            <w:tcW w:type="dxa" w:w="1728"/>
          </w:tcPr>
          <w:p>
            <w:r>
              <w:rPr>
                <w:rFonts w:ascii="Times New Roman" w:hAnsi="Times New Roman"/>
                <w:sz w:val="18"/>
              </w:rPr>
              <w:t>ZIP code</w:t>
            </w:r>
          </w:p>
        </w:tc>
        <w:tc>
          <w:tcPr>
            <w:tcW w:type="dxa" w:w="1728"/>
          </w:tcPr>
          <w:p>
            <w:r>
              <w:rPr>
                <w:rFonts w:ascii="Times New Roman" w:hAnsi="Times New Roman"/>
                <w:sz w:val="18"/>
              </w:rPr>
              <w:t>density and distance proxy</w:t>
            </w:r>
          </w:p>
        </w:tc>
        <w:tc>
          <w:tcPr>
            <w:tcW w:type="dxa" w:w="1728"/>
          </w:tcPr>
          <w:p>
            <w:r>
              <w:rPr>
                <w:rFonts w:ascii="Times New Roman" w:hAnsi="Times New Roman"/>
                <w:sz w:val="18"/>
              </w:rPr>
              <w:t>Local enrichment</w:t>
            </w:r>
          </w:p>
        </w:tc>
      </w:tr>
      <w:tr>
        <w:tc>
          <w:tcPr>
            <w:tcW w:type="dxa" w:w="1728"/>
          </w:tcPr>
          <w:p>
            <w:r>
              <w:rPr>
                <w:rFonts w:ascii="Times New Roman" w:hAnsi="Times New Roman"/>
                <w:sz w:val="18"/>
              </w:rPr>
              <w:t>Insulin reference mapping (CMS Senior Savings Model-informed)</w:t>
            </w:r>
          </w:p>
        </w:tc>
        <w:tc>
          <w:tcPr>
            <w:tcW w:type="dxa" w:w="1728"/>
          </w:tcPr>
          <w:p>
            <w:r>
              <w:rPr>
                <w:rFonts w:ascii="Times New Roman" w:hAnsi="Times New Roman"/>
                <w:sz w:val="18"/>
              </w:rPr>
              <w:t>bronze.insulin_reference</w:t>
            </w:r>
          </w:p>
        </w:tc>
        <w:tc>
          <w:tcPr>
            <w:tcW w:type="dxa" w:w="1728"/>
          </w:tcPr>
          <w:p>
            <w:r>
              <w:rPr>
                <w:rFonts w:ascii="Times New Roman" w:hAnsi="Times New Roman"/>
                <w:sz w:val="18"/>
              </w:rPr>
              <w:t>NDC/RXCUI</w:t>
            </w:r>
          </w:p>
        </w:tc>
        <w:tc>
          <w:tcPr>
            <w:tcW w:type="dxa" w:w="1728"/>
          </w:tcPr>
          <w:p>
            <w:r>
              <w:rPr>
                <w:rFonts w:ascii="Times New Roman" w:hAnsi="Times New Roman"/>
                <w:sz w:val="18"/>
              </w:rPr>
              <w:t>insulin-specific classification</w:t>
            </w:r>
          </w:p>
        </w:tc>
        <w:tc>
          <w:tcPr>
            <w:tcW w:type="dxa" w:w="1728"/>
          </w:tcPr>
          <w:p>
            <w:r>
              <w:rPr>
                <w:rFonts w:ascii="Times New Roman" w:hAnsi="Times New Roman"/>
                <w:sz w:val="18"/>
              </w:rPr>
              <w:t>Local enrichment</w:t>
            </w:r>
          </w:p>
        </w:tc>
      </w:tr>
      <w:tr>
        <w:tc>
          <w:tcPr>
            <w:tcW w:type="dxa" w:w="1728"/>
          </w:tcPr>
          <w:p>
            <w:r>
              <w:rPr>
                <w:rFonts w:ascii="Times New Roman" w:hAnsi="Times New Roman"/>
                <w:sz w:val="18"/>
              </w:rPr>
              <w:t>PDE-compatible local sample aligned to PDE documentation</w:t>
            </w:r>
          </w:p>
        </w:tc>
        <w:tc>
          <w:tcPr>
            <w:tcW w:type="dxa" w:w="1728"/>
          </w:tcPr>
          <w:p>
            <w:r>
              <w:rPr>
                <w:rFonts w:ascii="Times New Roman" w:hAnsi="Times New Roman"/>
                <w:sz w:val="18"/>
              </w:rPr>
              <w:t>bronze.pde_sample, pde.csv</w:t>
            </w:r>
          </w:p>
        </w:tc>
        <w:tc>
          <w:tcPr>
            <w:tcW w:type="dxa" w:w="1728"/>
          </w:tcPr>
          <w:p>
            <w:r>
              <w:rPr>
                <w:rFonts w:ascii="Times New Roman" w:hAnsi="Times New Roman"/>
                <w:sz w:val="18"/>
              </w:rPr>
              <w:t>beneficiary-drug event compatible</w:t>
            </w:r>
          </w:p>
        </w:tc>
        <w:tc>
          <w:tcPr>
            <w:tcW w:type="dxa" w:w="1728"/>
          </w:tcPr>
          <w:p>
            <w:r>
              <w:rPr>
                <w:rFonts w:ascii="Times New Roman" w:hAnsi="Times New Roman"/>
                <w:sz w:val="18"/>
              </w:rPr>
              <w:t>defaults and scenario generation</w:t>
            </w:r>
          </w:p>
        </w:tc>
        <w:tc>
          <w:tcPr>
            <w:tcW w:type="dxa" w:w="1728"/>
          </w:tcPr>
          <w:p>
            <w:r>
              <w:rPr>
                <w:rFonts w:ascii="Times New Roman" w:hAnsi="Times New Roman"/>
                <w:sz w:val="18"/>
              </w:rPr>
              <w:t>Local sample / restricted-compatible</w:t>
            </w:r>
          </w:p>
        </w:tc>
      </w:tr>
    </w:tbl>
    <w:p>
      <w:r>
        <w:t>Table 1 therefore separates public CMS plan-design files from study-side reference enrichments and the PDE-compatible local sample so reviewers can see which inputs are directly reproducible from public CMS releases and which are local aids used to support matching, scenario construction, and explanation. Together, these source families define the executable input boundary for the pipeline described in Section 4.</w:t>
      </w:r>
    </w:p>
    <w:p>
      <w:pPr>
        <w:pStyle w:val="Heading2"/>
      </w:pPr>
      <w:r>
        <w:t>4. Methods</w:t>
      </w:r>
    </w:p>
    <w:p>
      <w:pPr>
        <w:pStyle w:val="Heading3"/>
      </w:pPr>
      <w:r>
        <w:t>4.1 Overall research flow</w:t>
      </w:r>
    </w:p>
    <w:p>
      <w:r>
        <w:t>CMS-MPD-Recommendation was designed as an end-to-end pipeline rather than as an isolated ranking model. The study begins with quarter-frozen source provenance, moves through deterministic data engineering and beneficiary-level recommendation logic, and only then introduces canonical scenario generation, replay-based weak-label supervision, constrained reranking, and held-out evaluation. This ordering is central to the manuscript because explanation and safety are created during the rules-first stages, not appended after model scoring.</w:t>
      </w:r>
    </w:p>
    <w:p>
      <w:r>
        <w:rPr>
          <w:rFonts w:ascii="Courier New" w:hAnsi="Courier New"/>
          <w:sz w:val="18"/>
        </w:rPr>
        <w:t>flowchart TD</w:t>
      </w:r>
    </w:p>
    <w:p>
      <w:r>
        <w:rPr>
          <w:rFonts w:ascii="Courier New" w:hAnsi="Courier New"/>
          <w:sz w:val="18"/>
        </w:rPr>
        <w:t>A["Phase 1: Study framing and source provenance</w:t>
      </w:r>
    </w:p>
    <w:p>
      <w:r>
        <w:rPr>
          <w:rFonts w:ascii="Courier New" w:hAnsi="Courier New"/>
          <w:sz w:val="18"/>
        </w:rPr>
        <w:t>public CMS files + local enrichments + PDE-compatible sample"] --&gt; B["Phase 2: Data extraction and medallion transformation</w:t>
      </w:r>
    </w:p>
    <w:p>
      <w:r>
        <w:rPr>
          <w:rFonts w:ascii="Courier New" w:hAnsi="Courier New"/>
          <w:sz w:val="18"/>
        </w:rPr>
        <w:t>extract -&gt; bronze -&gt; silver -&gt; gold"]</w:t>
      </w:r>
    </w:p>
    <w:p>
      <w:r>
        <w:rPr>
          <w:rFonts w:ascii="Courier New" w:hAnsi="Courier New"/>
          <w:sz w:val="18"/>
        </w:rPr>
        <w:t>B --&gt; C["Phase 3: Runtime recommendation and explanation generation</w:t>
      </w:r>
    </w:p>
    <w:p>
      <w:r>
        <w:rPr>
          <w:rFonts w:ascii="Courier New" w:hAnsi="Courier New"/>
          <w:sz w:val="18"/>
        </w:rPr>
        <w:t>medication resolution -&gt; ZIP-eligible plans -&gt; fill-level cost simulation -&gt; explanation groups"]</w:t>
      </w:r>
    </w:p>
    <w:p>
      <w:r>
        <w:rPr>
          <w:rFonts w:ascii="Courier New" w:hAnsi="Courier New"/>
          <w:sz w:val="18"/>
        </w:rPr>
        <w:t>B --&gt; D["Phase 4: Canonical scenario generation</w:t>
      </w:r>
    </w:p>
    <w:p>
      <w:r>
        <w:rPr>
          <w:rFonts w:ascii="Courier New" w:hAnsi="Courier New"/>
          <w:sz w:val="18"/>
        </w:rPr>
        <w:t>stratified ZIP sampling + drug pools + PDE, benchmark, and stress templates"]</w:t>
      </w:r>
    </w:p>
    <w:p>
      <w:r>
        <w:rPr>
          <w:rFonts w:ascii="Courier New" w:hAnsi="Courier New"/>
          <w:sz w:val="18"/>
        </w:rPr>
        <w:t>C --&gt; E["Phase 5: Scenario replay to feature rows</w:t>
      </w:r>
    </w:p>
    <w:p>
      <w:r>
        <w:rPr>
          <w:rFonts w:ascii="Courier New" w:hAnsi="Courier New"/>
          <w:sz w:val="18"/>
        </w:rPr>
        <w:t>rules-first recommendation replay -&gt; plan-scenario dataset"]</w:t>
      </w:r>
    </w:p>
    <w:p>
      <w:r>
        <w:rPr>
          <w:rFonts w:ascii="Courier New" w:hAnsi="Courier New"/>
          <w:sz w:val="18"/>
        </w:rPr>
        <w:t>D --&gt; E</w:t>
      </w:r>
    </w:p>
    <w:p>
      <w:r>
        <w:rPr>
          <w:rFonts w:ascii="Courier New" w:hAnsi="Courier New"/>
          <w:sz w:val="18"/>
        </w:rPr>
        <w:t>E --&gt; F["Phase 6: Weak-label construction and model training</w:t>
      </w:r>
    </w:p>
    <w:p>
      <w:r>
        <w:rPr>
          <w:rFonts w:ascii="Courier New" w:hAnsi="Courier New"/>
          <w:sz w:val="18"/>
        </w:rPr>
        <w:t>weak labels + heuristic baseline -&gt; linear and tree rerankers"]</w:t>
      </w:r>
    </w:p>
    <w:p>
      <w:r>
        <w:rPr>
          <w:rFonts w:ascii="Courier New" w:hAnsi="Courier New"/>
          <w:sz w:val="18"/>
        </w:rPr>
        <w:t>F --&gt; G["Phase 7: Held-out evaluation and reviewer-facing outputs</w:t>
      </w:r>
    </w:p>
    <w:p>
      <w:r>
        <w:rPr>
          <w:rFonts w:ascii="Courier New" w:hAnsi="Courier New"/>
          <w:sz w:val="18"/>
        </w:rPr>
        <w:t>scenario-held-out metrics + sample retrieval + manuscript tables and figures"]</w:t>
      </w:r>
    </w:p>
    <w:p>
      <w:r>
        <w:t>Read together with Table 1, this flow makes the study visible as a single executable pipeline: provenance-constrained inputs become auditable serving tables, serving tables support beneficiary-facing recommendations, and replay of those same recommendation mechanics supports reranker research and reviewer-facing evaluation. The same phase view also underlies the updated Figure 3 submission specification.</w:t>
      </w:r>
    </w:p>
    <w:p>
      <w:r>
        <w:t>The flow was also used as an audit checklist during manuscript preparation. Each phase has a concrete artifact and a quality check, which helps reviewers distinguish executable evidence from narrative description.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Research-flow phase</w:t>
            </w:r>
          </w:p>
        </w:tc>
        <w:tc>
          <w:tcPr>
            <w:tcW w:type="dxa" w:w="1728"/>
          </w:tcPr>
          <w:p>
            <w:r>
              <w:rPr>
                <w:rFonts w:ascii="Times New Roman" w:hAnsi="Times New Roman"/>
                <w:b/>
                <w:sz w:val="18"/>
              </w:rPr>
              <w:t>Input</w:t>
            </w:r>
          </w:p>
        </w:tc>
        <w:tc>
          <w:tcPr>
            <w:tcW w:type="dxa" w:w="1728"/>
          </w:tcPr>
          <w:p>
            <w:r>
              <w:rPr>
                <w:rFonts w:ascii="Times New Roman" w:hAnsi="Times New Roman"/>
                <w:b/>
                <w:sz w:val="18"/>
              </w:rPr>
              <w:t>Output artifact</w:t>
            </w:r>
          </w:p>
        </w:tc>
        <w:tc>
          <w:tcPr>
            <w:tcW w:type="dxa" w:w="1728"/>
          </w:tcPr>
          <w:p>
            <w:r>
              <w:rPr>
                <w:rFonts w:ascii="Times New Roman" w:hAnsi="Times New Roman"/>
                <w:b/>
                <w:sz w:val="18"/>
              </w:rPr>
              <w:t>Quality check</w:t>
            </w:r>
          </w:p>
        </w:tc>
        <w:tc>
          <w:tcPr>
            <w:tcW w:type="dxa" w:w="1728"/>
          </w:tcPr>
          <w:p>
            <w:r>
              <w:rPr>
                <w:rFonts w:ascii="Times New Roman" w:hAnsi="Times New Roman"/>
                <w:b/>
                <w:sz w:val="18"/>
              </w:rPr>
              <w:t>Manuscript evidence</w:t>
            </w:r>
          </w:p>
        </w:tc>
      </w:tr>
      <w:tr>
        <w:tc>
          <w:tcPr>
            <w:tcW w:type="dxa" w:w="1728"/>
          </w:tcPr>
          <w:p>
            <w:r>
              <w:rPr>
                <w:rFonts w:ascii="Times New Roman" w:hAnsi="Times New Roman"/>
                <w:sz w:val="18"/>
              </w:rPr>
              <w:t>Source provenance</w:t>
            </w:r>
          </w:p>
        </w:tc>
        <w:tc>
          <w:tcPr>
            <w:tcW w:type="dxa" w:w="1728"/>
          </w:tcPr>
          <w:p>
            <w:r>
              <w:rPr>
                <w:rFonts w:ascii="Times New Roman" w:hAnsi="Times New Roman"/>
                <w:sz w:val="18"/>
              </w:rPr>
              <w:t>Public CMS files, local enrichments, PDE-compatible sample</w:t>
            </w:r>
          </w:p>
        </w:tc>
        <w:tc>
          <w:tcPr>
            <w:tcW w:type="dxa" w:w="1728"/>
          </w:tcPr>
          <w:p>
            <w:r>
              <w:rPr>
                <w:rFonts w:ascii="Times New Roman" w:hAnsi="Times New Roman"/>
                <w:sz w:val="18"/>
              </w:rPr>
              <w:t>Source-family inventory</w:t>
            </w:r>
          </w:p>
        </w:tc>
        <w:tc>
          <w:tcPr>
            <w:tcW w:type="dxa" w:w="1728"/>
          </w:tcPr>
          <w:p>
            <w:r>
              <w:rPr>
                <w:rFonts w:ascii="Times New Roman" w:hAnsi="Times New Roman"/>
                <w:sz w:val="18"/>
              </w:rPr>
              <w:t>Public versus local boundary stated</w:t>
            </w:r>
          </w:p>
        </w:tc>
        <w:tc>
          <w:tcPr>
            <w:tcW w:type="dxa" w:w="1728"/>
          </w:tcPr>
          <w:p>
            <w:r>
              <w:rPr>
                <w:rFonts w:ascii="Times New Roman" w:hAnsi="Times New Roman"/>
                <w:sz w:val="18"/>
              </w:rPr>
              <w:t>Table 1</w:t>
            </w:r>
          </w:p>
        </w:tc>
      </w:tr>
      <w:tr>
        <w:tc>
          <w:tcPr>
            <w:tcW w:type="dxa" w:w="1728"/>
          </w:tcPr>
          <w:p>
            <w:r>
              <w:rPr>
                <w:rFonts w:ascii="Times New Roman" w:hAnsi="Times New Roman"/>
                <w:sz w:val="18"/>
              </w:rPr>
              <w:t>Medallion transformation</w:t>
            </w:r>
          </w:p>
        </w:tc>
        <w:tc>
          <w:tcPr>
            <w:tcW w:type="dxa" w:w="1728"/>
          </w:tcPr>
          <w:p>
            <w:r>
              <w:rPr>
                <w:rFonts w:ascii="Times New Roman" w:hAnsi="Times New Roman"/>
                <w:sz w:val="18"/>
              </w:rPr>
              <w:t>Raw source tables</w:t>
            </w:r>
          </w:p>
        </w:tc>
        <w:tc>
          <w:tcPr>
            <w:tcW w:type="dxa" w:w="1728"/>
          </w:tcPr>
          <w:p>
            <w:r>
              <w:rPr>
                <w:rFonts w:ascii="Times New Roman" w:hAnsi="Times New Roman"/>
                <w:sz w:val="18"/>
              </w:rPr>
              <w:t>Bronze, silver, and gold DuckDB tables</w:t>
            </w:r>
          </w:p>
        </w:tc>
        <w:tc>
          <w:tcPr>
            <w:tcW w:type="dxa" w:w="1728"/>
          </w:tcPr>
          <w:p>
            <w:r>
              <w:rPr>
                <w:rFonts w:ascii="Times New Roman" w:hAnsi="Times New Roman"/>
                <w:sz w:val="18"/>
              </w:rPr>
              <w:t>Canonical keys and serving grains preserved</w:t>
            </w:r>
          </w:p>
        </w:tc>
        <w:tc>
          <w:tcPr>
            <w:tcW w:type="dxa" w:w="1728"/>
          </w:tcPr>
          <w:p>
            <w:r>
              <w:rPr>
                <w:rFonts w:ascii="Times New Roman" w:hAnsi="Times New Roman"/>
                <w:sz w:val="18"/>
              </w:rPr>
              <w:t>Section 4.2</w:t>
            </w:r>
          </w:p>
        </w:tc>
      </w:tr>
      <w:tr>
        <w:tc>
          <w:tcPr>
            <w:tcW w:type="dxa" w:w="1728"/>
          </w:tcPr>
          <w:p>
            <w:r>
              <w:rPr>
                <w:rFonts w:ascii="Times New Roman" w:hAnsi="Times New Roman"/>
                <w:sz w:val="18"/>
              </w:rPr>
              <w:t>Runtime recommendation</w:t>
            </w:r>
          </w:p>
        </w:tc>
        <w:tc>
          <w:tcPr>
            <w:tcW w:type="dxa" w:w="1728"/>
          </w:tcPr>
          <w:p>
            <w:r>
              <w:rPr>
                <w:rFonts w:ascii="Times New Roman" w:hAnsi="Times New Roman"/>
                <w:sz w:val="18"/>
              </w:rPr>
              <w:t>Beneficiary profile and medications</w:t>
            </w:r>
          </w:p>
        </w:tc>
        <w:tc>
          <w:tcPr>
            <w:tcW w:type="dxa" w:w="1728"/>
          </w:tcPr>
          <w:p>
            <w:r>
              <w:rPr>
                <w:rFonts w:ascii="Times New Roman" w:hAnsi="Times New Roman"/>
                <w:sz w:val="18"/>
              </w:rPr>
              <w:t>Ranked plan rows with fill traces</w:t>
            </w:r>
          </w:p>
        </w:tc>
        <w:tc>
          <w:tcPr>
            <w:tcW w:type="dxa" w:w="1728"/>
          </w:tcPr>
          <w:p>
            <w:r>
              <w:rPr>
                <w:rFonts w:ascii="Times New Roman" w:hAnsi="Times New Roman"/>
                <w:sz w:val="18"/>
              </w:rPr>
              <w:t>ZIP eligibility, drug resolution, and priced fills</w:t>
            </w:r>
          </w:p>
        </w:tc>
        <w:tc>
          <w:tcPr>
            <w:tcW w:type="dxa" w:w="1728"/>
          </w:tcPr>
          <w:p>
            <w:r>
              <w:rPr>
                <w:rFonts w:ascii="Times New Roman" w:hAnsi="Times New Roman"/>
                <w:sz w:val="18"/>
              </w:rPr>
              <w:t>Section 4.3</w:t>
            </w:r>
          </w:p>
        </w:tc>
      </w:tr>
      <w:tr>
        <w:tc>
          <w:tcPr>
            <w:tcW w:type="dxa" w:w="1728"/>
          </w:tcPr>
          <w:p>
            <w:r>
              <w:rPr>
                <w:rFonts w:ascii="Times New Roman" w:hAnsi="Times New Roman"/>
                <w:sz w:val="18"/>
              </w:rPr>
              <w:t>Scenario generation</w:t>
            </w:r>
          </w:p>
        </w:tc>
        <w:tc>
          <w:tcPr>
            <w:tcW w:type="dxa" w:w="1728"/>
          </w:tcPr>
          <w:p>
            <w:r>
              <w:rPr>
                <w:rFonts w:ascii="Times New Roman" w:hAnsi="Times New Roman"/>
                <w:sz w:val="18"/>
              </w:rPr>
              <w:t>Gold drug catalog and ZIP service area</w:t>
            </w:r>
          </w:p>
        </w:tc>
        <w:tc>
          <w:tcPr>
            <w:tcW w:type="dxa" w:w="1728"/>
          </w:tcPr>
          <w:p>
            <w:r>
              <w:rPr>
                <w:rFonts w:ascii="Times New Roman" w:hAnsi="Times New Roman"/>
                <w:sz w:val="18"/>
              </w:rPr>
              <w:t>Canonical scenario tables and manifest</w:t>
            </w:r>
          </w:p>
        </w:tc>
        <w:tc>
          <w:tcPr>
            <w:tcW w:type="dxa" w:w="1728"/>
          </w:tcPr>
          <w:p>
            <w:r>
              <w:rPr>
                <w:rFonts w:ascii="Times New Roman" w:hAnsi="Times New Roman"/>
                <w:sz w:val="18"/>
              </w:rPr>
              <w:t>Bundle, source mix, ZIP, NDC, and validation counts</w:t>
            </w:r>
          </w:p>
        </w:tc>
        <w:tc>
          <w:tcPr>
            <w:tcW w:type="dxa" w:w="1728"/>
          </w:tcPr>
          <w:p>
            <w:r>
              <w:rPr>
                <w:rFonts w:ascii="Times New Roman" w:hAnsi="Times New Roman"/>
                <w:sz w:val="18"/>
              </w:rPr>
              <w:t>Section 4.5</w:t>
            </w:r>
          </w:p>
        </w:tc>
      </w:tr>
      <w:tr>
        <w:tc>
          <w:tcPr>
            <w:tcW w:type="dxa" w:w="1728"/>
          </w:tcPr>
          <w:p>
            <w:r>
              <w:rPr>
                <w:rFonts w:ascii="Times New Roman" w:hAnsi="Times New Roman"/>
                <w:sz w:val="18"/>
              </w:rPr>
              <w:t>Scenario replay</w:t>
            </w:r>
          </w:p>
        </w:tc>
        <w:tc>
          <w:tcPr>
            <w:tcW w:type="dxa" w:w="1728"/>
          </w:tcPr>
          <w:p>
            <w:r>
              <w:rPr>
                <w:rFonts w:ascii="Times New Roman" w:hAnsi="Times New Roman"/>
                <w:sz w:val="18"/>
              </w:rPr>
              <w:t>Canonical scenarios</w:t>
            </w:r>
          </w:p>
        </w:tc>
        <w:tc>
          <w:tcPr>
            <w:tcW w:type="dxa" w:w="1728"/>
          </w:tcPr>
          <w:p>
            <w:r>
              <w:rPr>
                <w:rFonts w:ascii="Times New Roman" w:hAnsi="Times New Roman"/>
                <w:sz w:val="18"/>
              </w:rPr>
              <w:t>Plan-scenario feature rows</w:t>
            </w:r>
          </w:p>
        </w:tc>
        <w:tc>
          <w:tcPr>
            <w:tcW w:type="dxa" w:w="1728"/>
          </w:tcPr>
          <w:p>
            <w:r>
              <w:rPr>
                <w:rFonts w:ascii="Times New Roman" w:hAnsi="Times New Roman"/>
                <w:sz w:val="18"/>
              </w:rPr>
              <w:t>Same rules engine replayed for each scenario</w:t>
            </w:r>
          </w:p>
        </w:tc>
        <w:tc>
          <w:tcPr>
            <w:tcW w:type="dxa" w:w="1728"/>
          </w:tcPr>
          <w:p>
            <w:r>
              <w:rPr>
                <w:rFonts w:ascii="Times New Roman" w:hAnsi="Times New Roman"/>
                <w:sz w:val="18"/>
              </w:rPr>
              <w:t>Section 4.4</w:t>
            </w:r>
          </w:p>
        </w:tc>
      </w:tr>
      <w:tr>
        <w:tc>
          <w:tcPr>
            <w:tcW w:type="dxa" w:w="1728"/>
          </w:tcPr>
          <w:p>
            <w:r>
              <w:rPr>
                <w:rFonts w:ascii="Times New Roman" w:hAnsi="Times New Roman"/>
                <w:sz w:val="18"/>
              </w:rPr>
              <w:t>Weak-label training</w:t>
            </w:r>
          </w:p>
        </w:tc>
        <w:tc>
          <w:tcPr>
            <w:tcW w:type="dxa" w:w="1728"/>
          </w:tcPr>
          <w:p>
            <w:r>
              <w:rPr>
                <w:rFonts w:ascii="Times New Roman" w:hAnsi="Times New Roman"/>
                <w:sz w:val="18"/>
              </w:rPr>
              <w:t>Feature rows and weak labels</w:t>
            </w:r>
          </w:p>
        </w:tc>
        <w:tc>
          <w:tcPr>
            <w:tcW w:type="dxa" w:w="1728"/>
          </w:tcPr>
          <w:p>
            <w:r>
              <w:rPr>
                <w:rFonts w:ascii="Times New Roman" w:hAnsi="Times New Roman"/>
                <w:sz w:val="18"/>
              </w:rPr>
              <w:t>Linear and tree reranker artifacts</w:t>
            </w:r>
          </w:p>
        </w:tc>
        <w:tc>
          <w:tcPr>
            <w:tcW w:type="dxa" w:w="1728"/>
          </w:tcPr>
          <w:p>
            <w:r>
              <w:rPr>
                <w:rFonts w:ascii="Times New Roman" w:hAnsi="Times New Roman"/>
                <w:sz w:val="18"/>
              </w:rPr>
              <w:t>student_safe feature policy and held-out split</w:t>
            </w:r>
          </w:p>
        </w:tc>
        <w:tc>
          <w:tcPr>
            <w:tcW w:type="dxa" w:w="1728"/>
          </w:tcPr>
          <w:p>
            <w:r>
              <w:rPr>
                <w:rFonts w:ascii="Times New Roman" w:hAnsi="Times New Roman"/>
                <w:sz w:val="18"/>
              </w:rPr>
              <w:t>Sections 4.4 and 5.2</w:t>
            </w:r>
          </w:p>
        </w:tc>
      </w:tr>
      <w:tr>
        <w:tc>
          <w:tcPr>
            <w:tcW w:type="dxa" w:w="1728"/>
          </w:tcPr>
          <w:p>
            <w:r>
              <w:rPr>
                <w:rFonts w:ascii="Times New Roman" w:hAnsi="Times New Roman"/>
                <w:sz w:val="18"/>
              </w:rPr>
              <w:t>Reviewer-facing outputs</w:t>
            </w:r>
          </w:p>
        </w:tc>
        <w:tc>
          <w:tcPr>
            <w:tcW w:type="dxa" w:w="1728"/>
          </w:tcPr>
          <w:p>
            <w:r>
              <w:rPr>
                <w:rFonts w:ascii="Times New Roman" w:hAnsi="Times New Roman"/>
                <w:sz w:val="18"/>
              </w:rPr>
              <w:t>Evaluation report and sample retrievals</w:t>
            </w:r>
          </w:p>
        </w:tc>
        <w:tc>
          <w:tcPr>
            <w:tcW w:type="dxa" w:w="1728"/>
          </w:tcPr>
          <w:p>
            <w:r>
              <w:rPr>
                <w:rFonts w:ascii="Times New Roman" w:hAnsi="Times New Roman"/>
                <w:sz w:val="18"/>
              </w:rPr>
              <w:t>Results tables, guardrails, and case traces</w:t>
            </w:r>
          </w:p>
        </w:tc>
        <w:tc>
          <w:tcPr>
            <w:tcW w:type="dxa" w:w="1728"/>
          </w:tcPr>
          <w:p>
            <w:r>
              <w:rPr>
                <w:rFonts w:ascii="Times New Roman" w:hAnsi="Times New Roman"/>
                <w:sz w:val="18"/>
              </w:rPr>
              <w:t>Ranking metrics plus concrete recommendation traces</w:t>
            </w:r>
          </w:p>
        </w:tc>
        <w:tc>
          <w:tcPr>
            <w:tcW w:type="dxa" w:w="1728"/>
          </w:tcPr>
          <w:p>
            <w:r>
              <w:rPr>
                <w:rFonts w:ascii="Times New Roman" w:hAnsi="Times New Roman"/>
                <w:sz w:val="18"/>
              </w:rPr>
              <w:t>Sections 5.2-5.7</w:t>
            </w:r>
          </w:p>
        </w:tc>
      </w:tr>
    </w:tbl>
    <w:p>
      <w:pPr>
        <w:pStyle w:val="Heading3"/>
      </w:pPr>
      <w:r>
        <w:t>4.2 Reproducible artifact and data-engineering foundation</w:t>
      </w:r>
    </w:p>
    <w:p>
      <w:r>
        <w:t>The study was run from the CMS-MPD-Recommendation workspace in sandbox, with a quarter-frozen 2025-Q3 full build and pinned runtime dependencies listed in requirements.txt: DuckDB 1.5.1, NumPy 2.3.4, pandas 2.3.3, Streamlit 1.55.0, and pytest 9.0.2. The locked experiment identifiers for the current artifact are:</w:t>
      </w:r>
    </w:p>
    <w:p>
      <w:pPr>
        <w:pStyle w:val="ListBullet"/>
      </w:pPr>
      <w:r>
        <w:t>snapshot_quarter = 2025-Q3</w:t>
      </w:r>
    </w:p>
    <w:p>
      <w:pPr>
        <w:pStyle w:val="ListBullet"/>
      </w:pPr>
      <w:r>
        <w:t>build_profile = full</w:t>
      </w:r>
    </w:p>
    <w:p>
      <w:pPr>
        <w:pStyle w:val="ListBullet"/>
      </w:pPr>
      <w:r>
        <w:t>dataset_schema_version = request_features_v4</w:t>
      </w:r>
    </w:p>
    <w:p>
      <w:pPr>
        <w:pStyle w:val="ListBullet"/>
      </w:pPr>
      <w:r>
        <w:t>feature_version = research_v4</w:t>
      </w:r>
    </w:p>
    <w:p>
      <w:pPr>
        <w:pStyle w:val="ListBullet"/>
      </w:pPr>
      <w:r>
        <w:t>weak_label_version = weak_label_v2</w:t>
      </w:r>
    </w:p>
    <w:p>
      <w:pPr>
        <w:pStyle w:val="ListBullet"/>
      </w:pPr>
      <w:r>
        <w:t>generation_version = scenario_generation_v1</w:t>
      </w:r>
    </w:p>
    <w:p>
      <w:pPr>
        <w:pStyle w:val="ListBullet"/>
      </w:pPr>
      <w:r>
        <w:t>teacher_feature_policy = student_safe</w:t>
      </w:r>
    </w:p>
    <w:p>
      <w:pPr>
        <w:pStyle w:val="ListBullet"/>
      </w:pPr>
      <w:r>
        <w:t>generator_seed = 42</w:t>
      </w:r>
    </w:p>
    <w:p>
      <w:r>
        <w:t>For internal manuscript preparation, the locked software state is the local workspace snapshot associated with this 2026-04-17 reviewer revision. Before external submission, this exact state should be archived under a release tag and DOI and cited as the formal software release. The important methodological point is that the manuscript, dataset metadata, and code constants are synchronized to the same schema and weak-label versions.</w:t>
      </w:r>
    </w:p>
    <w:p>
      <w:pPr>
        <w:pStyle w:val="Heading4"/>
      </w:pPr>
      <w:r>
        <w:t>Medallion data engineering architecture</w:t>
      </w:r>
    </w:p>
    <w:p>
      <w:r>
        <w:t>CMS-MPD-Recommendation uses a bronze-silver-gold medallion pipeline implemented in DuckDB.</w:t>
      </w:r>
    </w:p>
    <w:p>
      <w:r>
        <w:t>Bronze preserves raw source inputs with lineage fields (source_file, snapshot_quarter, load_ts). The bronze layer is intentionally permissive because public CMS flat files can vary in formatting. Pharmacy-network ingestion is fault tolerant so malformed split-file rows do not abort the build.</w:t>
      </w:r>
    </w:p>
    <w:p>
      <w:r>
        <w:t>Silver normalizes business entities and canonical keys. It includes:</w:t>
      </w:r>
    </w:p>
    <w:p>
      <w:pPr>
        <w:pStyle w:val="ListBullet"/>
      </w:pPr>
      <w:r>
        <w:t>silver.dim_plan</w:t>
      </w:r>
    </w:p>
    <w:p>
      <w:pPr>
        <w:pStyle w:val="ListBullet"/>
      </w:pPr>
      <w:r>
        <w:t>silver.dim_zipcode</w:t>
      </w:r>
    </w:p>
    <w:p>
      <w:pPr>
        <w:pStyle w:val="ListBullet"/>
      </w:pPr>
      <w:r>
        <w:t>silver.bridge_plan_service_area</w:t>
      </w:r>
    </w:p>
    <w:p>
      <w:pPr>
        <w:pStyle w:val="ListBullet"/>
      </w:pPr>
      <w:r>
        <w:t>silver.dim_drug_reference</w:t>
      </w:r>
    </w:p>
    <w:p>
      <w:pPr>
        <w:pStyle w:val="ListBullet"/>
      </w:pPr>
      <w:r>
        <w:t>silver.drug_utilization_defaults</w:t>
      </w:r>
    </w:p>
    <w:p>
      <w:pPr>
        <w:pStyle w:val="ListBullet"/>
      </w:pPr>
      <w:r>
        <w:t>silver.fact_plan_drug_coverage</w:t>
      </w:r>
    </w:p>
    <w:p>
      <w:pPr>
        <w:pStyle w:val="ListBullet"/>
      </w:pPr>
      <w:r>
        <w:t>silver.fact_plan_pharmacy</w:t>
      </w:r>
    </w:p>
    <w:p>
      <w:pPr>
        <w:pStyle w:val="ListBullet"/>
      </w:pPr>
      <w:r>
        <w:t>silver.plan_beneficiary_cost_rules</w:t>
      </w:r>
    </w:p>
    <w:p>
      <w:pPr>
        <w:pStyle w:val="ListBullet"/>
      </w:pPr>
      <w:r>
        <w:t>silver.plan_insulin_cost_rules</w:t>
      </w:r>
    </w:p>
    <w:p>
      <w:r>
        <w:t>Gold materializes runtime-serving tables used directly by recommendation and modeling:</w:t>
      </w:r>
    </w:p>
    <w:p>
      <w:pPr>
        <w:pStyle w:val="ListBullet"/>
      </w:pPr>
      <w:r>
        <w:t>gold.plan_service_area</w:t>
      </w:r>
    </w:p>
    <w:p>
      <w:pPr>
        <w:pStyle w:val="ListBullet"/>
      </w:pPr>
      <w:r>
        <w:t>gold.plan_channel_summary</w:t>
      </w:r>
    </w:p>
    <w:p>
      <w:pPr>
        <w:pStyle w:val="ListBullet"/>
      </w:pPr>
      <w:r>
        <w:t>gold.plan_preferred_pharmacy_locations</w:t>
      </w:r>
    </w:p>
    <w:p>
      <w:pPr>
        <w:pStyle w:val="ListBullet"/>
      </w:pPr>
      <w:r>
        <w:t>gold.plan_formulary_summary</w:t>
      </w:r>
    </w:p>
    <w:p>
      <w:pPr>
        <w:pStyle w:val="ListBullet"/>
      </w:pPr>
      <w:r>
        <w:t>gold.plan_network_summary</w:t>
      </w:r>
    </w:p>
    <w:p>
      <w:pPr>
        <w:pStyle w:val="ListBullet"/>
      </w:pPr>
      <w:r>
        <w:t>gold.plan_drug_cost_basis</w:t>
      </w:r>
    </w:p>
    <w:p>
      <w:pPr>
        <w:pStyle w:val="ListBullet"/>
      </w:pPr>
      <w:r>
        <w:t>gold.plan_summary</w:t>
      </w:r>
    </w:p>
    <w:p>
      <w:pPr>
        <w:pStyle w:val="ListBullet"/>
      </w:pPr>
      <w:r>
        <w:t>gold.drug_input_defaults</w:t>
      </w:r>
    </w:p>
    <w:p>
      <w:pPr>
        <w:pStyle w:val="ListBullet"/>
      </w:pPr>
      <w:r>
        <w:t>gold.recommendation_features</w:t>
      </w:r>
    </w:p>
    <w:p>
      <w:r>
        <w:t>This architecture matters methodologically because it separates raw source preservation from business normalization and runtime serving. Reviewers can therefore ask not only "what was the final metric?" but also "what exact transformed facts supported that metric?"</w:t>
      </w:r>
    </w:p>
    <w:p>
      <w:pPr>
        <w:pStyle w:val="Heading4"/>
      </w:pPr>
      <w:r>
        <w:t>Canonical keys and data contracts</w:t>
      </w:r>
    </w:p>
    <w:p>
      <w:r>
        <w:t>The study uses canonical keys to avoid ambiguous joins across public CMS file families:</w:t>
      </w:r>
    </w:p>
    <w:p>
      <w:pPr>
        <w:pStyle w:val="ListBullet"/>
      </w:pPr>
      <w:r>
        <w:t>plan_key = CONTRACT_ID + PLAN_ID + SEGMENT_ID, with blank segment mapped to 000;</w:t>
      </w:r>
    </w:p>
    <w:p>
      <w:pPr>
        <w:pStyle w:val="ListBullet"/>
      </w:pPr>
      <w:r>
        <w:t>contract_plan_key = CONTRACT_ID + PLAN_ID for segment-less joins;</w:t>
      </w:r>
    </w:p>
    <w:p>
      <w:pPr>
        <w:pStyle w:val="ListBullet"/>
      </w:pPr>
      <w:r>
        <w:t>formulary_id for plan-formulary linkage;</w:t>
      </w:r>
    </w:p>
    <w:p>
      <w:pPr>
        <w:pStyle w:val="ListBullet"/>
      </w:pPr>
      <w:r>
        <w:t>normalized 5-digit zip_code;</w:t>
      </w:r>
    </w:p>
    <w:p>
      <w:pPr>
        <w:pStyle w:val="ListBullet"/>
      </w:pPr>
      <w:r>
        <w:t>CMS county_code;</w:t>
      </w:r>
    </w:p>
    <w:p>
      <w:pPr>
        <w:pStyle w:val="ListBullet"/>
      </w:pPr>
      <w:r>
        <w:t>normalized 11-digit ndc;</w:t>
      </w:r>
    </w:p>
    <w:p>
      <w:pPr>
        <w:pStyle w:val="ListBullet"/>
      </w:pPr>
      <w:r>
        <w:t>normalized rxcui;</w:t>
      </w:r>
    </w:p>
    <w:p>
      <w:pPr>
        <w:pStyle w:val="ListBullet"/>
      </w:pPr>
      <w:r>
        <w:t>normalized days_supply in {30, 60, 90};</w:t>
      </w:r>
    </w:p>
    <w:p>
      <w:pPr>
        <w:pStyle w:val="ListBullet"/>
      </w:pPr>
      <w:r>
        <w:t>beneficiary-cost coverage_level;</w:t>
      </w:r>
    </w:p>
    <w:p>
      <w:pPr>
        <w:pStyle w:val="ListBullet"/>
      </w:pPr>
      <w:r>
        <w:t>integer tier_level_value.</w:t>
      </w:r>
    </w:p>
    <w:p>
      <w:r>
        <w:t>These data contracts are not implementation trivia. They are core methodological choices. If they are wrong, the system can assign the wrong formularies, the wrong geography, or the wrong beneficiary cost logic to a plan.</w:t>
      </w:r>
    </w:p>
    <w:p>
      <w:pPr>
        <w:pStyle w:val="Heading4"/>
      </w:pPr>
      <w:r>
        <w:t>Mathematical view of transformation logic</w:t>
      </w:r>
    </w:p>
    <w:p>
      <w:r>
        <w:t>Let the raw input family be:</w:t>
      </w:r>
    </w:p>
    <w:p>
      <w:r>
        <w:t>$$</w:t>
      </w:r>
    </w:p>
    <w:p>
      <w:r>
        <w:t>\mathcal{R} = \{R_1, R_2, \dots, R_n\},</w:t>
      </w:r>
    </w:p>
    <w:p>
      <w:r>
        <w:t>$$</w:t>
      </w:r>
    </w:p>
    <w:p>
      <w:r>
        <w:t>where each $R_i$ is a public CMS or local reference source table. The medallion pipeline can be written as a composition of deterministic transformation operators:</w:t>
      </w:r>
    </w:p>
    <w:p>
      <w:r>
        <w:t>$$</w:t>
      </w:r>
    </w:p>
    <w:p>
      <w:r>
        <w:t>\mathcal{R}</w:t>
      </w:r>
    </w:p>
    <w:p>
      <w:r>
        <w:t>\xrightarrow{\mathcal{B}}</w:t>
      </w:r>
    </w:p>
    <w:p>
      <w:r>
        <w:t>\mathcal{B}(\mathcal{R})</w:t>
      </w:r>
    </w:p>
    <w:p>
      <w:r>
        <w:t>\xrightarrow{\mathcal{S}}</w:t>
      </w:r>
    </w:p>
    <w:p>
      <w:r>
        <w:t>\mathcal{S}(\mathcal{B}(\mathcal{R}))</w:t>
      </w:r>
    </w:p>
    <w:p>
      <w:r>
        <w:t>\xrightarrow{\mathcal{G}}</w:t>
      </w:r>
    </w:p>
    <w:p>
      <w:r>
        <w:t>\mathcal{G}(\mathcal{S}(\mathcal{B}(\mathcal{R}))).</w:t>
      </w:r>
    </w:p>
    <w:p>
      <w:r>
        <w:t>$$</w:t>
      </w:r>
    </w:p>
    <w:p>
      <w:r>
        <w:t>Here, $\mathcal{B}$ denotes bronze ingestion with lineage preservation, $\mathcal{S}$ denotes silver normalization onto canonical keys, and $\mathcal{G}$ denotes gold serving-layer materialization. At a table level, the core plan-drug fact can be expressed as:</w:t>
      </w:r>
    </w:p>
    <w:p>
      <w:r>
        <w:t>$$</w:t>
      </w:r>
    </w:p>
    <w:p>
      <w:r>
        <w:t>\text{SilverCoverage}</w:t>
      </w:r>
    </w:p>
    <w:p>
      <w:r>
        <w:t>=</w:t>
      </w:r>
    </w:p>
    <w:p>
      <w:r>
        <w:t>\gamma_{plan\_key,ndc,s}</w:t>
      </w:r>
    </w:p>
    <w:p>
      <w:r>
        <w:t>\Big(</w:t>
      </w:r>
    </w:p>
    <w:p>
      <w:r>
        <w:t>\text{DimPlan}</w:t>
      </w:r>
    </w:p>
    <w:p>
      <w:r>
        <w:t>\bowtie_{formulary\_id}</w:t>
      </w:r>
    </w:p>
    <w:p>
      <w:r>
        <w:t>\text{Formulary}</w:t>
      </w:r>
    </w:p>
    <w:p>
      <w:r>
        <w:t>\bowtie_{plan\_key,ndc,s}</w:t>
      </w:r>
    </w:p>
    <w:p>
      <w:r>
        <w:t>\text{Pricing}</w:t>
      </w:r>
    </w:p>
    <w:p>
      <w:r>
        <w:t>\overset{\text{left}}{\bowtie}</w:t>
      </w:r>
    </w:p>
    <w:p>
      <w:r>
        <w:t>\text{Exclusions}</w:t>
      </w:r>
    </w:p>
    <w:p>
      <w:r>
        <w:t>\overset{\text{left}}{\bowtie}</w:t>
      </w:r>
    </w:p>
    <w:p>
      <w:r>
        <w:t>\text{IndicationCoverage}</w:t>
      </w:r>
    </w:p>
    <w:p>
      <w:r>
        <w:t>\overset{\text{left}}{\bowtie}</w:t>
      </w:r>
    </w:p>
    <w:p>
      <w:r>
        <w:t>\text{DrugReference}</w:t>
      </w:r>
    </w:p>
    <w:p>
      <w:r>
        <w:t>\Big),</w:t>
      </w:r>
    </w:p>
    <w:p>
      <w:r>
        <w:t>$$</w:t>
      </w:r>
    </w:p>
    <w:p>
      <w:r>
        <w:t>where $s$ denotes normalized day supply and $\gamma$ denotes projection and aggregation to the plan x drug x day-supply grain. The runtime cost basis is then:</w:t>
      </w:r>
    </w:p>
    <w:p>
      <w:r>
        <w:t>$$</w:t>
      </w:r>
    </w:p>
    <w:p>
      <w:r>
        <w:t>\text{GoldCostBasis}</w:t>
      </w:r>
    </w:p>
    <w:p>
      <w:r>
        <w:t>=</w:t>
      </w:r>
    </w:p>
    <w:p>
      <w:r>
        <w:t>\text{SilverCoverage}</w:t>
      </w:r>
    </w:p>
    <w:p>
      <w:r>
        <w:t>\overset{\text{left}}{\bowtie}</w:t>
      </w:r>
    </w:p>
    <w:p>
      <w:r>
        <w:t>\text{BenefitRules}</w:t>
      </w:r>
    </w:p>
    <w:p>
      <w:r>
        <w:t>\overset{\text{left}}{\bowtie}</w:t>
      </w:r>
    </w:p>
    <w:p>
      <w:r>
        <w:t>\text{InsulinRules}.</w:t>
      </w:r>
    </w:p>
    <w:p>
      <w:r>
        <w:t>$$</w:t>
      </w:r>
    </w:p>
    <w:p>
      <w:r>
        <w:t>Service-area eligibility is also represented as a deterministic relation. Let $A(z,p)=1$ when ZIP code $z$ is served by plan $p$. Then:</w:t>
      </w:r>
    </w:p>
    <w:p>
      <w:r>
        <w:t>$$</w:t>
      </w:r>
    </w:p>
    <w:p>
      <w:r>
        <w:t>A(z,p)=1</w:t>
      </w:r>
    </w:p>
    <w:p>
      <w:r>
        <w:t>\iff</w:t>
      </w:r>
    </w:p>
    <w:p>
      <w:r>
        <w:t>\exists c \; : \; (z,c)\in \text{ZipCountyBridge}</w:t>
      </w:r>
    </w:p>
    <w:p>
      <w:r>
        <w:t>\wedge</w:t>
      </w:r>
    </w:p>
    <w:p>
      <w:r>
        <w:t>(p,c)\in \text{PlanCountyBridge}.</w:t>
      </w:r>
    </w:p>
    <w:p>
      <w:r>
        <w:t>$$</w:t>
      </w:r>
    </w:p>
    <w:p>
      <w:r>
        <w:t>These expressions are useful because they make the manuscript's main systems claim explicit: recommendation-time evidence is not produced by opaque feature synthesis alone. It is produced by a sequence of key-preserving relational transformations from public plan-design data into executable plan, geography, network, and cost objects. This reproducible data-engineering foundation produces the serving tables and canonical keys that make the runtime recommendation workflow executable rather than purely conceptual.</w:t>
      </w:r>
    </w:p>
    <w:p>
      <w:pPr>
        <w:pStyle w:val="Heading3"/>
      </w:pPr>
      <w:r>
        <w:t>4.3 Runtime recommendation workflow</w:t>
      </w:r>
    </w:p>
    <w:p>
      <w:r>
        <w:t>The runtime path follows the same order shown in the overall research flow: beneficiary input, medication resolution, ZIP-eligible candidate plans, fill-level cost simulation, and explanation generation. Because this sequence is deterministic and auditable, the recommendation layer is both a decision-support system and the upstream evidence generator for the later research pipeline.</w:t>
      </w:r>
    </w:p>
    <w:p>
      <w:pPr>
        <w:pStyle w:val="Heading4"/>
      </w:pPr>
      <w:r>
        <w:t>Beneficiary request schema and medication resolution</w:t>
      </w:r>
    </w:p>
    <w:p>
      <w:r>
        <w:t>The runtime request schema includes beneficiary ZIP code, age band, low-income subsidy status, chronic-condition flags, pharmacy preference, user role, decision focus, and a medication list. Each medication can be provided by drug name, RXCUI, or NDC, with optional quantity and annual-fill overrides.</w:t>
      </w:r>
    </w:p>
    <w:p>
      <w:r>
        <w:t>Medication resolution follows a strict order:</w:t>
      </w:r>
    </w:p>
    <w:p>
      <w:pPr>
        <w:pStyle w:val="ListNumber"/>
      </w:pPr>
      <w:r>
        <w:t>exact NDC;</w:t>
      </w:r>
    </w:p>
    <w:p>
      <w:pPr>
        <w:pStyle w:val="ListNumber"/>
      </w:pPr>
      <w:r>
        <w:t>exact RXCUI;</w:t>
      </w:r>
    </w:p>
    <w:p>
      <w:pPr>
        <w:pStyle w:val="ListNumber"/>
      </w:pPr>
      <w:r>
        <w:t>exact preferred name;</w:t>
      </w:r>
    </w:p>
    <w:p>
      <w:pPr>
        <w:pStyle w:val="ListNumber"/>
      </w:pPr>
      <w:r>
        <w:t>exact synonym;</w:t>
      </w:r>
    </w:p>
    <w:p>
      <w:pPr>
        <w:pStyle w:val="ListNumber"/>
      </w:pPr>
      <w:r>
        <w:t>prefix match on preferred name or synonym.</w:t>
      </w:r>
    </w:p>
    <w:p>
      <w:r>
        <w:t>Approximate matches are retained as explicit evidence gaps rather than silently treated as exact matches. This design follows the logic of medication-terminology infrastructure: RxNorm provides normalized clinical-drug concepts and normalized NDC-to-RXCUI associations where supported, while the FDA NDC Directory identifies listed drug packages but does not itself establish coverage or reimbursement [27,28]. The recommender therefore treats drug identity and plan coverage as two separate checks.</w:t>
      </w:r>
    </w:p>
    <w:p>
      <w:pPr>
        <w:pStyle w:val="Heading4"/>
      </w:pPr>
      <w:r>
        <w:t>Public CMS ingestion and normalization into serving facts</w:t>
      </w:r>
    </w:p>
    <w:p>
      <w:r>
        <w:t>The extraction and build workflow is:</w:t>
      </w:r>
    </w:p>
    <w:p>
      <w:pPr>
        <w:pStyle w:val="ListNumber"/>
      </w:pPr>
      <w:r>
        <w:t>locate quarter-frozen CMS source files and local references;</w:t>
      </w:r>
    </w:p>
    <w:p>
      <w:pPr>
        <w:pStyle w:val="ListNumber"/>
      </w:pPr>
      <w:r>
        <w:t>extract archive members into data/staging/&lt;snapshot&gt;/raw;</w:t>
      </w:r>
    </w:p>
    <w:p>
      <w:pPr>
        <w:pStyle w:val="ListNumber"/>
      </w:pPr>
      <w:r>
        <w:t>load bronze tables with lineage columns;</w:t>
      </w:r>
    </w:p>
    <w:p>
      <w:pPr>
        <w:pStyle w:val="ListNumber"/>
      </w:pPr>
      <w:r>
        <w:t>normalize plan, geography, drug, pharmacy, and cost-rule entities into silver tables;</w:t>
      </w:r>
    </w:p>
    <w:p>
      <w:pPr>
        <w:pStyle w:val="ListNumber"/>
      </w:pPr>
      <w:r>
        <w:t>materialize gold serving tables for runtime recommendation and model dataset generation.</w:t>
      </w:r>
    </w:p>
    <w:p>
      <w:r>
        <w:t>The gold serving layer is the operational contract of the software. In particular, gold.plan_drug_cost_basis joins plan-drug coverage, tier, UM flags, exclusions, indication limits, pricing basis, deductible applicability, standard beneficiary-cost rules, and insulin overrides into a runtime-ready plan-drug-day-supply table.</w:t>
      </w:r>
    </w:p>
    <w:p>
      <w:pPr>
        <w:pStyle w:val="Heading4"/>
      </w:pPr>
      <w:r>
        <w:t>Recommendation and cost-simulation method</w:t>
      </w:r>
    </w:p>
    <w:p>
      <w:r>
        <w:t>For a request scenario s, the engine first limits candidate plans to plans serving the beneficiary ZIP code. It then resolves medication defaults and, for each candidate plan and medication, retrieves plan-drug cost basis, coverage status, restriction flags, pricing inputs, and channel availability.</w:t>
      </w:r>
    </w:p>
    <w:p>
      <w:r>
        <w:t>Annual beneficiary out-of-pocket cost is simulated at fill level. The engine:</w:t>
      </w:r>
    </w:p>
    <w:p>
      <w:pPr>
        <w:pStyle w:val="ListBullet"/>
      </w:pPr>
      <w:r>
        <w:t>normalizes day supply to 30, 60, or 90 days;</w:t>
      </w:r>
    </w:p>
    <w:p>
      <w:pPr>
        <w:pStyle w:val="ListBullet"/>
      </w:pPr>
      <w:r>
        <w:t>applies contract-year-aware benefit design selection;</w:t>
      </w:r>
    </w:p>
    <w:p>
      <w:pPr>
        <w:pStyle w:val="ListBullet"/>
      </w:pPr>
      <w:r>
        <w:t>supports automatic use of 2025_redesign for current data and explicit 2024_standard historical modeling when needed;</w:t>
      </w:r>
    </w:p>
    <w:p>
      <w:pPr>
        <w:pStyle w:val="ListBullet"/>
      </w:pPr>
      <w:r>
        <w:t>applies insulin-specific overrides where present;</w:t>
      </w:r>
    </w:p>
    <w:p>
      <w:pPr>
        <w:pStyle w:val="ListBullet"/>
      </w:pPr>
      <w:r>
        <w:t>applies low-income subsidy adjustments after base liability is computed;</w:t>
      </w:r>
    </w:p>
    <w:p>
      <w:pPr>
        <w:pStyle w:val="ListBullet"/>
      </w:pPr>
      <w:r>
        <w:t>aggregates fill-level results into annual premium, annual drug out-of-pocket cost, and annual total cost.</w:t>
      </w:r>
    </w:p>
    <w:p>
      <w:r>
        <w:t>The runtime engine therefore produces beneficiary-facing economic outputs rather than only relative model scores.</w:t>
      </w:r>
    </w:p>
    <w:p>
      <w:r>
        <w:t>For a concrete trace, consider a one-drug request for lisinopril 40 mg using exact NDC 43547035611, 30-day supply, and quantity 30 in ZIP 90001. The resolver maps the NDC to the local drug-reference record and then restricts plans to the ZIP-specific service area. For the top hybrid plan in the current artifact, the engine retrieves the plan-drug-day-supply row from gold.plan_drug_cost_basis, selects the feasible preferred-mail channel, schedules 13 fills across the benefit year, and simulates each fill under the 2025_redesign branch. In the retrieved trace, the annual negotiated-price proxy across the scheduled fills was 6.63, deductible applied was 0.00, LIS-adjusted beneficiary liability was 0.00, final beneficiary drug OOP was 0.00, and no OOP cap was triggered. The reported annual total cost was therefore annual premium plus final simulated beneficiary drug OOP, or 0.00 in that top-plan trace. This example illustrates the interpretation of the sample results: negotiated-price evidence and beneficiary liability are stored separately, and the displayed beneficiary cost is a simulated public-file estimate rather than a guaranteed pharmacy transaction price.</w:t>
      </w:r>
    </w:p>
    <w:p>
      <w:pPr>
        <w:pStyle w:val="Heading4"/>
      </w:pPr>
      <w:r>
        <w:t>Mathematical view of the recommendation workflow</w:t>
      </w:r>
    </w:p>
    <w:p>
      <w:r>
        <w:t>Let a beneficiary request scenario be:</w:t>
      </w:r>
    </w:p>
    <w:p>
      <w:r>
        <w:t>$$</w:t>
      </w:r>
    </w:p>
    <w:p>
      <w:r>
        <w:t>s = (z, M, \ell, h, r, f),</w:t>
      </w:r>
    </w:p>
    <w:p>
      <w:r>
        <w:t>$$</w:t>
      </w:r>
    </w:p>
    <w:p>
      <w:r>
        <w:t>where $z$ is ZIP code, $M$ is the medication set, $\ell$ is low-income subsidy status, $h$ is pharmacy preference, $r$ is user role, and $f$ is decision focus. The eligible plan set is:</w:t>
      </w:r>
    </w:p>
    <w:p>
      <w:r>
        <w:t>$$</w:t>
      </w:r>
    </w:p>
    <w:p>
      <w:r>
        <w:t>P(z)=\{p : A(z,p)=1\}.</w:t>
      </w:r>
    </w:p>
    <w:p>
      <w:r>
        <w:t>$$</w:t>
      </w:r>
    </w:p>
    <w:p>
      <w:r>
        <w:t>For each medication $m \in M$, the resolver applies an ordered matching function $\rho(m)$ across NDC, RXCUI, preferred name, synonym, and prefix matches. The resolved medication record contains normalized day supply, quantity, and annual fill count. If $n_m$ annual fills are assigned to medication $m$, the fill-event set is:</w:t>
      </w:r>
    </w:p>
    <w:p>
      <w:r>
        <w:t>$$</w:t>
      </w:r>
    </w:p>
    <w:p>
      <w:r>
        <w:t>E_m=\left\{\left(k,\operatorname{round}\left((k-1)\frac{365}{n_m}\right)\right) : k=1,\dots,n_m\right\}.</w:t>
      </w:r>
    </w:p>
    <w:p>
      <w:r>
        <w:t>$$</w:t>
      </w:r>
    </w:p>
    <w:p>
      <w:r>
        <w:t>For plan $p$, drug $m$, fill $k$, and feasible channel $c$, the allowed-cost proxy is:</w:t>
      </w:r>
    </w:p>
    <w:p>
      <w:r>
        <w:t>$$</w:t>
      </w:r>
    </w:p>
    <w:p>
      <w:r>
        <w:t>g_{pmkc}=\max(u_{pms}q_{mk} + f_{pc\tau s}, \phi_{pc}),</w:t>
      </w:r>
    </w:p>
    <w:p>
      <w:r>
        <w:t>$$</w:t>
      </w:r>
    </w:p>
    <w:p>
      <w:r>
        <w:t>where $u_{pms}$ is unit cost for plan $p$, medication $m$, and normalized day supply $s$; $q_{mk}$ is fill quantity; $f_{pc\tau s}$ is a channel-specific fee term by channel $c$, tier family $\tau$, and day supply $s$; and $\phi_{pc}$ is any channel floor price.</w:t>
      </w:r>
    </w:p>
    <w:p>
      <w:r>
        <w:t>The base beneficiary liability for a fill is then computed through a policy-year-aware rule operator:</w:t>
      </w:r>
    </w:p>
    <w:p>
      <w:r>
        <w:t>$$</w:t>
      </w:r>
    </w:p>
    <w:p>
      <w:r>
        <w:t>c^{base}_{pmkc,y}=\chi_y(g_{pmkc}, \tau, d, \iota, \ell, c),</w:t>
      </w:r>
    </w:p>
    <w:p>
      <w:r>
        <w:t>$$</w:t>
      </w:r>
    </w:p>
    <w:p>
      <w:r>
        <w:t>where $y$ is contract year, $d$ is deductible applicability, and $\iota$ is an insulin override indicator. The annual out-of-pocket contribution for the fill is:</w:t>
      </w:r>
    </w:p>
    <w:p>
      <w:r>
        <w:t>$$</w:t>
      </w:r>
    </w:p>
    <w:p>
      <w:r>
        <w:t>o_{pmkc,y}=\min\left(c^{base}_{pmkc,y}, \; cap_y - O_{k-1}\right),</w:t>
      </w:r>
    </w:p>
    <w:p>
      <w:r>
        <w:t>$$</w:t>
      </w:r>
    </w:p>
    <w:p>
      <w:r>
        <w:t>with $cap_{2025}=2000$ under the 2025 redesign branch and $O_{k-1}$ denoting accumulated beneficiary out-of-pocket cost before fill $k$. The annual plan-level total used in ranking is:</w:t>
      </w:r>
    </w:p>
    <w:p>
      <w:r>
        <w:t>$$</w:t>
      </w:r>
    </w:p>
    <w:p>
      <w:r>
        <w:t>T_p(s)=Premium_p+\sum_{m \in M}\sum_{k \in E_m}\min_{c \in C_{pmk}} o_{pmkc,y},</w:t>
      </w:r>
    </w:p>
    <w:p>
      <w:r>
        <w:t>$$</w:t>
      </w:r>
    </w:p>
    <w:p>
      <w:r>
        <w:t>where $C_{pmk}$ is the feasible channel set for plan $p$, medication $m$, and fill $k$.</w:t>
      </w:r>
    </w:p>
    <w:p>
      <w:r>
        <w:t>To preserve coverage safety, the rules engine does not rank solely by a scalar score. It constructs a lexicographic key:</w:t>
      </w:r>
    </w:p>
    <w:p>
      <w:r>
        <w:t>$$</w:t>
      </w:r>
    </w:p>
    <w:p>
      <w:r>
        <w:t>K_p =</w:t>
      </w:r>
    </w:p>
    <w:p>
      <w:r>
        <w:t>\left(</w:t>
      </w:r>
    </w:p>
    <w:p>
      <w:r>
        <w:t>b_p,</w:t>
      </w:r>
    </w:p>
    <w:p>
      <w:r>
        <w:t>-q_p,</w:t>
      </w:r>
    </w:p>
    <w:p>
      <w:r>
        <w:t>-F_p,</w:t>
      </w:r>
    </w:p>
    <w:p>
      <w:r>
        <w:t>T_p,</w:t>
      </w:r>
    </w:p>
    <w:p>
      <w:r>
        <w:t>U_p,</w:t>
      </w:r>
    </w:p>
    <w:p>
      <w:r>
        <w:t>H_p,</w:t>
      </w:r>
    </w:p>
    <w:p>
      <w:r>
        <w:t>N_p</w:t>
      </w:r>
    </w:p>
    <w:p>
      <w:r>
        <w:t>\right),</w:t>
      </w:r>
    </w:p>
    <w:p>
      <w:r>
        <w:t>$$</w:t>
      </w:r>
    </w:p>
    <w:p>
      <w:r>
        <w:t>where $b_p$ is the coverage bucket, $q_p$ is the priced-drug count, $F_p$ is the fit score, $U_p$ is uncovered-drug burden, $H_p$ is restriction burden, and $N_p$ is network-risk burden. Plans are ordered lexicographically by $K_p$, which formalizes the implementation choice that coverage completeness and priceability are first-order ordering decisions rather than soft penalties.</w:t>
      </w:r>
    </w:p>
    <w:p>
      <w:pPr>
        <w:pStyle w:val="Heading4"/>
      </w:pPr>
      <w:r>
        <w:t>Explainability outputs</w:t>
      </w:r>
    </w:p>
    <w:p>
      <w:r>
        <w:t>Each recommendation includes structured explanation groups for:</w:t>
      </w:r>
    </w:p>
    <w:p>
      <w:pPr>
        <w:pStyle w:val="ListBullet"/>
      </w:pPr>
      <w:r>
        <w:t>coverage fit and uncovered drugs;</w:t>
      </w:r>
    </w:p>
    <w:p>
      <w:pPr>
        <w:pStyle w:val="ListBullet"/>
      </w:pPr>
      <w:r>
        <w:t>utilization management, including prior authorization, step therapy, and quantity limits;</w:t>
      </w:r>
    </w:p>
    <w:p>
      <w:pPr>
        <w:pStyle w:val="ListBullet"/>
      </w:pPr>
      <w:r>
        <w:t>insulin-specific affordability risks;</w:t>
      </w:r>
    </w:p>
    <w:p>
      <w:pPr>
        <w:pStyle w:val="ListBullet"/>
      </w:pPr>
      <w:r>
        <w:t>deductible exposure;</w:t>
      </w:r>
    </w:p>
    <w:p>
      <w:pPr>
        <w:pStyle w:val="ListBullet"/>
      </w:pPr>
      <w:r>
        <w:t>preferred retail, nonpreferred retail, and mail-order access;</w:t>
      </w:r>
    </w:p>
    <w:p>
      <w:pPr>
        <w:pStyle w:val="ListBullet"/>
      </w:pPr>
      <w:r>
        <w:t>estimated annual out-of-pocket cost;</w:t>
      </w:r>
    </w:p>
    <w:p>
      <w:pPr>
        <w:pStyle w:val="ListBullet"/>
      </w:pPr>
      <w:r>
        <w:t>medication-match confidence and other data-quality gaps.</w:t>
      </w:r>
    </w:p>
    <w:p>
      <w:r>
        <w:t>Operationally, each explanation group is derived from the same evidence fields used for ranking rather than from a separate narrative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Explanation group</w:t>
            </w:r>
          </w:p>
        </w:tc>
        <w:tc>
          <w:tcPr>
            <w:tcW w:type="dxa" w:w="2880"/>
          </w:tcPr>
          <w:p>
            <w:r>
              <w:rPr>
                <w:rFonts w:ascii="Times New Roman" w:hAnsi="Times New Roman"/>
                <w:b/>
                <w:sz w:val="18"/>
              </w:rPr>
              <w:t>Source evidence</w:t>
            </w:r>
          </w:p>
        </w:tc>
        <w:tc>
          <w:tcPr>
            <w:tcW w:type="dxa" w:w="2880"/>
          </w:tcPr>
          <w:p>
            <w:r>
              <w:rPr>
                <w:rFonts w:ascii="Times New Roman" w:hAnsi="Times New Roman"/>
                <w:b/>
                <w:sz w:val="18"/>
              </w:rPr>
              <w:t>Output interpretation</w:t>
            </w:r>
          </w:p>
        </w:tc>
      </w:tr>
      <w:tr>
        <w:tc>
          <w:tcPr>
            <w:tcW w:type="dxa" w:w="2880"/>
          </w:tcPr>
          <w:p>
            <w:r>
              <w:rPr>
                <w:rFonts w:ascii="Times New Roman" w:hAnsi="Times New Roman"/>
                <w:sz w:val="18"/>
              </w:rPr>
              <w:t>Coverage fit</w:t>
            </w:r>
          </w:p>
        </w:tc>
        <w:tc>
          <w:tcPr>
            <w:tcW w:type="dxa" w:w="2880"/>
          </w:tcPr>
          <w:p>
            <w:r>
              <w:rPr>
                <w:rFonts w:ascii="Times New Roman" w:hAnsi="Times New Roman"/>
                <w:sz w:val="18"/>
              </w:rPr>
              <w:t>Covered, uncovered, excluded, and missing-price drug counts</w:t>
            </w:r>
          </w:p>
        </w:tc>
        <w:tc>
          <w:tcPr>
            <w:tcW w:type="dxa" w:w="2880"/>
          </w:tcPr>
          <w:p>
            <w:r>
              <w:rPr>
                <w:rFonts w:ascii="Times New Roman" w:hAnsi="Times New Roman"/>
                <w:sz w:val="18"/>
              </w:rPr>
              <w:t>Whether the plan can support the requested regimen</w:t>
            </w:r>
          </w:p>
        </w:tc>
      </w:tr>
      <w:tr>
        <w:tc>
          <w:tcPr>
            <w:tcW w:type="dxa" w:w="2880"/>
          </w:tcPr>
          <w:p>
            <w:r>
              <w:rPr>
                <w:rFonts w:ascii="Times New Roman" w:hAnsi="Times New Roman"/>
                <w:sz w:val="18"/>
              </w:rPr>
              <w:t>Utilization management</w:t>
            </w:r>
          </w:p>
        </w:tc>
        <w:tc>
          <w:tcPr>
            <w:tcW w:type="dxa" w:w="2880"/>
          </w:tcPr>
          <w:p>
            <w:r>
              <w:rPr>
                <w:rFonts w:ascii="Times New Roman" w:hAnsi="Times New Roman"/>
                <w:sz w:val="18"/>
              </w:rPr>
              <w:t>Prior authorization, step therapy, quantity limit, and restriction counts</w:t>
            </w:r>
          </w:p>
        </w:tc>
        <w:tc>
          <w:tcPr>
            <w:tcW w:type="dxa" w:w="2880"/>
          </w:tcPr>
          <w:p>
            <w:r>
              <w:rPr>
                <w:rFonts w:ascii="Times New Roman" w:hAnsi="Times New Roman"/>
                <w:sz w:val="18"/>
              </w:rPr>
              <w:t>Friction that may delay or block access even when covered</w:t>
            </w:r>
          </w:p>
        </w:tc>
      </w:tr>
      <w:tr>
        <w:tc>
          <w:tcPr>
            <w:tcW w:type="dxa" w:w="2880"/>
          </w:tcPr>
          <w:p>
            <w:r>
              <w:rPr>
                <w:rFonts w:ascii="Times New Roman" w:hAnsi="Times New Roman"/>
                <w:sz w:val="18"/>
              </w:rPr>
              <w:t>Insulin handling</w:t>
            </w:r>
          </w:p>
        </w:tc>
        <w:tc>
          <w:tcPr>
            <w:tcW w:type="dxa" w:w="2880"/>
          </w:tcPr>
          <w:p>
            <w:r>
              <w:rPr>
                <w:rFonts w:ascii="Times New Roman" w:hAnsi="Times New Roman"/>
                <w:sz w:val="18"/>
              </w:rPr>
              <w:t>Insulin flag, insulin cost-rule rows, and nonpreferred-channel dependence</w:t>
            </w:r>
          </w:p>
        </w:tc>
        <w:tc>
          <w:tcPr>
            <w:tcW w:type="dxa" w:w="2880"/>
          </w:tcPr>
          <w:p>
            <w:r>
              <w:rPr>
                <w:rFonts w:ascii="Times New Roman" w:hAnsi="Times New Roman"/>
                <w:sz w:val="18"/>
              </w:rPr>
              <w:t>Whether insulin-specific affordability logic or channel risk applies</w:t>
            </w:r>
          </w:p>
        </w:tc>
      </w:tr>
      <w:tr>
        <w:tc>
          <w:tcPr>
            <w:tcW w:type="dxa" w:w="2880"/>
          </w:tcPr>
          <w:p>
            <w:r>
              <w:rPr>
                <w:rFonts w:ascii="Times New Roman" w:hAnsi="Times New Roman"/>
                <w:sz w:val="18"/>
              </w:rPr>
              <w:t>Deductible and benefit phase</w:t>
            </w:r>
          </w:p>
        </w:tc>
        <w:tc>
          <w:tcPr>
            <w:tcW w:type="dxa" w:w="2880"/>
          </w:tcPr>
          <w:p>
            <w:r>
              <w:rPr>
                <w:rFonts w:ascii="Times New Roman" w:hAnsi="Times New Roman"/>
                <w:sz w:val="18"/>
              </w:rPr>
              <w:t>Deductible applicability, fill trace phase, deductible before/after</w:t>
            </w:r>
          </w:p>
        </w:tc>
        <w:tc>
          <w:tcPr>
            <w:tcW w:type="dxa" w:w="2880"/>
          </w:tcPr>
          <w:p>
            <w:r>
              <w:rPr>
                <w:rFonts w:ascii="Times New Roman" w:hAnsi="Times New Roman"/>
                <w:sz w:val="18"/>
              </w:rPr>
              <w:t>How the fill path moves through the benefit design</w:t>
            </w:r>
          </w:p>
        </w:tc>
      </w:tr>
      <w:tr>
        <w:tc>
          <w:tcPr>
            <w:tcW w:type="dxa" w:w="2880"/>
          </w:tcPr>
          <w:p>
            <w:r>
              <w:rPr>
                <w:rFonts w:ascii="Times New Roman" w:hAnsi="Times New Roman"/>
                <w:sz w:val="18"/>
              </w:rPr>
              <w:t>Pharmacy access</w:t>
            </w:r>
          </w:p>
        </w:tc>
        <w:tc>
          <w:tcPr>
            <w:tcW w:type="dxa" w:w="2880"/>
          </w:tcPr>
          <w:p>
            <w:r>
              <w:rPr>
                <w:rFonts w:ascii="Times New Roman" w:hAnsi="Times New Roman"/>
                <w:sz w:val="18"/>
              </w:rPr>
              <w:t>Preferred retail count, mail availability, network flag, nearest preferred distance</w:t>
            </w:r>
          </w:p>
        </w:tc>
        <w:tc>
          <w:tcPr>
            <w:tcW w:type="dxa" w:w="2880"/>
          </w:tcPr>
          <w:p>
            <w:r>
              <w:rPr>
                <w:rFonts w:ascii="Times New Roman" w:hAnsi="Times New Roman"/>
                <w:sz w:val="18"/>
              </w:rPr>
              <w:t>Whether the plan is practical for the beneficiary's channel preference</w:t>
            </w:r>
          </w:p>
        </w:tc>
      </w:tr>
      <w:tr>
        <w:tc>
          <w:tcPr>
            <w:tcW w:type="dxa" w:w="2880"/>
          </w:tcPr>
          <w:p>
            <w:r>
              <w:rPr>
                <w:rFonts w:ascii="Times New Roman" w:hAnsi="Times New Roman"/>
                <w:sz w:val="18"/>
              </w:rPr>
              <w:t>Cost estimate</w:t>
            </w:r>
          </w:p>
        </w:tc>
        <w:tc>
          <w:tcPr>
            <w:tcW w:type="dxa" w:w="2880"/>
          </w:tcPr>
          <w:p>
            <w:r>
              <w:rPr>
                <w:rFonts w:ascii="Times New Roman" w:hAnsi="Times New Roman"/>
                <w:sz w:val="18"/>
              </w:rPr>
              <w:t>Annual premium, drug OOP, total cost, negotiated-price proxy, OOP cap flag</w:t>
            </w:r>
          </w:p>
        </w:tc>
        <w:tc>
          <w:tcPr>
            <w:tcW w:type="dxa" w:w="2880"/>
          </w:tcPr>
          <w:p>
            <w:r>
              <w:rPr>
                <w:rFonts w:ascii="Times New Roman" w:hAnsi="Times New Roman"/>
                <w:sz w:val="18"/>
              </w:rPr>
              <w:t>How the displayed annual estimate was assembled</w:t>
            </w:r>
          </w:p>
        </w:tc>
      </w:tr>
      <w:tr>
        <w:tc>
          <w:tcPr>
            <w:tcW w:type="dxa" w:w="2880"/>
          </w:tcPr>
          <w:p>
            <w:r>
              <w:rPr>
                <w:rFonts w:ascii="Times New Roman" w:hAnsi="Times New Roman"/>
                <w:sz w:val="18"/>
              </w:rPr>
              <w:t>Medication identity</w:t>
            </w:r>
          </w:p>
        </w:tc>
        <w:tc>
          <w:tcPr>
            <w:tcW w:type="dxa" w:w="2880"/>
          </w:tcPr>
          <w:p>
            <w:r>
              <w:rPr>
                <w:rFonts w:ascii="Times New Roman" w:hAnsi="Times New Roman"/>
                <w:sz w:val="18"/>
              </w:rPr>
              <w:t>Match source, confidence, exact/approximate flags, review-required flag</w:t>
            </w:r>
          </w:p>
        </w:tc>
        <w:tc>
          <w:tcPr>
            <w:tcW w:type="dxa" w:w="2880"/>
          </w:tcPr>
          <w:p>
            <w:r>
              <w:rPr>
                <w:rFonts w:ascii="Times New Roman" w:hAnsi="Times New Roman"/>
                <w:sz w:val="18"/>
              </w:rPr>
              <w:t>Whether ranking is safe to proceed without manual drug review</w:t>
            </w:r>
          </w:p>
        </w:tc>
      </w:tr>
      <w:tr>
        <w:tc>
          <w:tcPr>
            <w:tcW w:type="dxa" w:w="2880"/>
          </w:tcPr>
          <w:p>
            <w:r>
              <w:rPr>
                <w:rFonts w:ascii="Times New Roman" w:hAnsi="Times New Roman"/>
                <w:sz w:val="18"/>
              </w:rPr>
              <w:t>Missing-data signals</w:t>
            </w:r>
          </w:p>
        </w:tc>
        <w:tc>
          <w:tcPr>
            <w:tcW w:type="dxa" w:w="2880"/>
          </w:tcPr>
          <w:p>
            <w:r>
              <w:rPr>
                <w:rFonts w:ascii="Times New Roman" w:hAnsi="Times New Roman"/>
                <w:sz w:val="18"/>
              </w:rPr>
              <w:t>Unknown network flag, channel unavailable, missing price, unsafe reasons</w:t>
            </w:r>
          </w:p>
        </w:tc>
        <w:tc>
          <w:tcPr>
            <w:tcW w:type="dxa" w:w="2880"/>
          </w:tcPr>
          <w:p>
            <w:r>
              <w:rPr>
                <w:rFonts w:ascii="Times New Roman" w:hAnsi="Times New Roman"/>
                <w:sz w:val="18"/>
              </w:rPr>
              <w:t>Evidence gaps that should temper confidence in the output</w:t>
            </w:r>
          </w:p>
        </w:tc>
      </w:tr>
    </w:tbl>
    <w:p>
      <w:r>
        <w:t>The explanation layer is generated alongside the recommendation rather than appended later. This enables reviewer inspection of why a plan ranked highly and whether that ranking is safe to trust. The runtime workflow therefore does two jobs at once: it generates beneficiary-facing recommendation outputs and produces the plan-level evidence rows that are later replayed for weak-label supervision and constrained reranking research.</w:t>
      </w:r>
    </w:p>
    <w:p>
      <w:pPr>
        <w:pStyle w:val="Heading3"/>
      </w:pPr>
      <w:r>
        <w:t>4.4 Scoring, feature design, and constrained reranking</w:t>
      </w:r>
    </w:p>
    <w:p>
      <w:r>
        <w:t>Once runtime recommendation rows exist, the study adds a second methodological layer: explicit scoring for research supervision, replay-dataset feature construction, and constrained reranking at inference. The key design choice is that machine learning is permitted to reorder already simulated plans, but not to replace the deterministic evidence model.</w:t>
      </w:r>
    </w:p>
    <w:p>
      <w:pPr>
        <w:pStyle w:val="Heading4"/>
      </w:pPr>
      <w:r>
        <w:t>Scoring, constraints, and reranking</w:t>
      </w:r>
    </w:p>
    <w:p>
      <w:r>
        <w:t>The recommendation process is deliberately layered.</w:t>
      </w:r>
    </w:p>
    <w:p>
      <w:r>
        <w:t>First, the rules engine computes deterministic evidence and a rules-first rank. The rules layer prioritizes:</w:t>
      </w:r>
    </w:p>
    <w:p>
      <w:pPr>
        <w:pStyle w:val="ListBullet"/>
      </w:pPr>
      <w:r>
        <w:t>complete medication coverage;</w:t>
      </w:r>
    </w:p>
    <w:p>
      <w:pPr>
        <w:pStyle w:val="ListBullet"/>
      </w:pPr>
      <w:r>
        <w:t>lower annual total cost;</w:t>
      </w:r>
    </w:p>
    <w:p>
      <w:pPr>
        <w:pStyle w:val="ListBullet"/>
      </w:pPr>
      <w:r>
        <w:t>lower restriction burden;</w:t>
      </w:r>
    </w:p>
    <w:p>
      <w:pPr>
        <w:pStyle w:val="ListBullet"/>
      </w:pPr>
      <w:r>
        <w:t>better pharmacy fit;</w:t>
      </w:r>
    </w:p>
    <w:p>
      <w:pPr>
        <w:pStyle w:val="ListBullet"/>
      </w:pPr>
      <w:r>
        <w:t>insulin safety;</w:t>
      </w:r>
    </w:p>
    <w:p>
      <w:pPr>
        <w:pStyle w:val="ListBullet"/>
      </w:pPr>
      <w:r>
        <w:t>fewer evidence gaps.</w:t>
      </w:r>
    </w:p>
    <w:p>
      <w:r>
        <w:t>Second, for research supervision, replayed plan-scenario rows are assigned a weak-label target that makes the study's preference structure explicit. That target is derived from the already simulated coverage, cost, restriction, network, and evidence-quality fields rather than from an external enrollment or outcome label.</w:t>
      </w:r>
    </w:p>
    <w:p>
      <w:r>
        <w:t>Third, optional learned reranking uses only those already simulated candidate rows as input. The model cannot invent eligibility, coverage, cost, or geography facts. It can only reorder rows that were already produced by the deterministic engine.</w:t>
      </w:r>
    </w:p>
    <w:p>
      <w:r>
        <w:t>At inference, hybrid reranking is constrained to three safety-preserving buckets: plans with full coverage and full priceability, plans with at least one priced medication but incomplete priceability, and fallback or unpriceable plans. Within each bucket, ordering is determined first by predicted model score, then by priced-drug count, then by rules score, then by annual total cost, then by uncovered-drug burden, and finally by restriction burden. This constraint is important for regulated decision support because it means the learned layer changes presentation order, not the underlying plan evidence.</w:t>
      </w:r>
    </w:p>
    <w:p>
      <w:pPr>
        <w:pStyle w:val="Heading4"/>
      </w:pPr>
      <w:r>
        <w:t>Feature schema and model feature groups</w:t>
      </w:r>
    </w:p>
    <w:p>
      <w:r>
        <w:t>The reranking dataset combines both human-interpretable scoring signals and richer plan-scenario descriptors. Numeric features include current rules rank and score, fit sub-scores, annual premium, annual drug out-of-pocket cost, annual total cost, covered and uncovered drug counts and shares, restriction counts, deductible and initial-coverage exposure, negotiated-price totals, insulin flags, medication-match counts, network counts, formulary rates, geography proxies, and missing-data indicators. Categorical features include coverage status, network flag, LIS status, age band, pharmacy preference, ZIP density category, scenario bundle, scenario profile, and fallback group.</w:t>
      </w:r>
    </w:p>
    <w:p>
      <w:r>
        <w:t>For reviewer readability, these can be grouped as follows.</w:t>
      </w:r>
    </w:p>
    <w:p>
      <w:r>
        <w:rPr>
          <w:b/>
        </w:rPr>
        <w:t>Table 2. Feature groups used in modeling and ablation.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Feature group</w:t>
            </w:r>
          </w:p>
        </w:tc>
        <w:tc>
          <w:tcPr>
            <w:tcW w:type="dxa" w:w="2880"/>
          </w:tcPr>
          <w:p>
            <w:r>
              <w:rPr>
                <w:rFonts w:ascii="Times New Roman" w:hAnsi="Times New Roman"/>
                <w:b/>
                <w:sz w:val="18"/>
              </w:rPr>
              <w:t>Example variables</w:t>
            </w:r>
          </w:p>
        </w:tc>
        <w:tc>
          <w:tcPr>
            <w:tcW w:type="dxa" w:w="2880"/>
          </w:tcPr>
          <w:p>
            <w:r>
              <w:rPr>
                <w:rFonts w:ascii="Times New Roman" w:hAnsi="Times New Roman"/>
                <w:b/>
                <w:sz w:val="18"/>
              </w:rPr>
              <w:t>Why included</w:t>
            </w:r>
          </w:p>
        </w:tc>
      </w:tr>
      <w:tr>
        <w:tc>
          <w:tcPr>
            <w:tcW w:type="dxa" w:w="2880"/>
          </w:tcPr>
          <w:p>
            <w:r>
              <w:rPr>
                <w:rFonts w:ascii="Times New Roman" w:hAnsi="Times New Roman"/>
                <w:sz w:val="18"/>
              </w:rPr>
              <w:t>Rules-engine summary</w:t>
            </w:r>
          </w:p>
        </w:tc>
        <w:tc>
          <w:tcPr>
            <w:tcW w:type="dxa" w:w="2880"/>
          </w:tcPr>
          <w:p>
            <w:r>
              <w:rPr>
                <w:rFonts w:ascii="Times New Roman" w:hAnsi="Times New Roman"/>
                <w:sz w:val="18"/>
              </w:rPr>
              <w:t>current_rules_rank, current_rules_score, fit_score, coverage_score, access_score</w:t>
            </w:r>
          </w:p>
        </w:tc>
        <w:tc>
          <w:tcPr>
            <w:tcW w:type="dxa" w:w="2880"/>
          </w:tcPr>
          <w:p>
            <w:r>
              <w:rPr>
                <w:rFonts w:ascii="Times New Roman" w:hAnsi="Times New Roman"/>
                <w:sz w:val="18"/>
              </w:rPr>
              <w:t>Preserve deterministic ranking context for dataset analysis and teacher-feature ablations</w:t>
            </w:r>
          </w:p>
        </w:tc>
      </w:tr>
      <w:tr>
        <w:tc>
          <w:tcPr>
            <w:tcW w:type="dxa" w:w="2880"/>
          </w:tcPr>
          <w:p>
            <w:r>
              <w:rPr>
                <w:rFonts w:ascii="Times New Roman" w:hAnsi="Times New Roman"/>
                <w:sz w:val="18"/>
              </w:rPr>
              <w:t>Cost and liability</w:t>
            </w:r>
          </w:p>
        </w:tc>
        <w:tc>
          <w:tcPr>
            <w:tcW w:type="dxa" w:w="2880"/>
          </w:tcPr>
          <w:p>
            <w:r>
              <w:rPr>
                <w:rFonts w:ascii="Times New Roman" w:hAnsi="Times New Roman"/>
                <w:sz w:val="18"/>
              </w:rPr>
              <w:t>annual_premium, annual_drug_oop, annual_total_cost, deductible_exposure_total, lis_adjusted_oop_total, negotiated_price_total</w:t>
            </w:r>
          </w:p>
        </w:tc>
        <w:tc>
          <w:tcPr>
            <w:tcW w:type="dxa" w:w="2880"/>
          </w:tcPr>
          <w:p>
            <w:r>
              <w:rPr>
                <w:rFonts w:ascii="Times New Roman" w:hAnsi="Times New Roman"/>
                <w:sz w:val="18"/>
              </w:rPr>
              <w:t>Reflect beneficiary-facing economic burden</w:t>
            </w:r>
          </w:p>
        </w:tc>
      </w:tr>
      <w:tr>
        <w:tc>
          <w:tcPr>
            <w:tcW w:type="dxa" w:w="2880"/>
          </w:tcPr>
          <w:p>
            <w:r>
              <w:rPr>
                <w:rFonts w:ascii="Times New Roman" w:hAnsi="Times New Roman"/>
                <w:sz w:val="18"/>
              </w:rPr>
              <w:t>Coverage and exclusions</w:t>
            </w:r>
          </w:p>
        </w:tc>
        <w:tc>
          <w:tcPr>
            <w:tcW w:type="dxa" w:w="2880"/>
          </w:tcPr>
          <w:p>
            <w:r>
              <w:rPr>
                <w:rFonts w:ascii="Times New Roman" w:hAnsi="Times New Roman"/>
                <w:sz w:val="18"/>
              </w:rPr>
              <w:t>coverage_status, covered_drug_share, uncovered_drug_count, excluded_drug_count, missing_price_drug_count</w:t>
            </w:r>
          </w:p>
        </w:tc>
        <w:tc>
          <w:tcPr>
            <w:tcW w:type="dxa" w:w="2880"/>
          </w:tcPr>
          <w:p>
            <w:r>
              <w:rPr>
                <w:rFonts w:ascii="Times New Roman" w:hAnsi="Times New Roman"/>
                <w:sz w:val="18"/>
              </w:rPr>
              <w:t>Preserve medication-safety and coverage completeness</w:t>
            </w:r>
          </w:p>
        </w:tc>
      </w:tr>
      <w:tr>
        <w:tc>
          <w:tcPr>
            <w:tcW w:type="dxa" w:w="2880"/>
          </w:tcPr>
          <w:p>
            <w:r>
              <w:rPr>
                <w:rFonts w:ascii="Times New Roman" w:hAnsi="Times New Roman"/>
                <w:sz w:val="18"/>
              </w:rPr>
              <w:t>Restriction burden</w:t>
            </w:r>
          </w:p>
        </w:tc>
        <w:tc>
          <w:tcPr>
            <w:tcW w:type="dxa" w:w="2880"/>
          </w:tcPr>
          <w:p>
            <w:r>
              <w:rPr>
                <w:rFonts w:ascii="Times New Roman" w:hAnsi="Times New Roman"/>
                <w:sz w:val="18"/>
              </w:rPr>
              <w:t>restriction_count, pa_rate, st_rate, ql_rate, channel_unavailable_count</w:t>
            </w:r>
          </w:p>
        </w:tc>
        <w:tc>
          <w:tcPr>
            <w:tcW w:type="dxa" w:w="2880"/>
          </w:tcPr>
          <w:p>
            <w:r>
              <w:rPr>
                <w:rFonts w:ascii="Times New Roman" w:hAnsi="Times New Roman"/>
                <w:sz w:val="18"/>
              </w:rPr>
              <w:t>Capture clinically and operationally relevant friction</w:t>
            </w:r>
          </w:p>
        </w:tc>
      </w:tr>
      <w:tr>
        <w:tc>
          <w:tcPr>
            <w:tcW w:type="dxa" w:w="2880"/>
          </w:tcPr>
          <w:p>
            <w:r>
              <w:rPr>
                <w:rFonts w:ascii="Times New Roman" w:hAnsi="Times New Roman"/>
                <w:sz w:val="18"/>
              </w:rPr>
              <w:t>Network and access</w:t>
            </w:r>
          </w:p>
        </w:tc>
        <w:tc>
          <w:tcPr>
            <w:tcW w:type="dxa" w:w="2880"/>
          </w:tcPr>
          <w:p>
            <w:r>
              <w:rPr>
                <w:rFonts w:ascii="Times New Roman" w:hAnsi="Times New Roman"/>
                <w:sz w:val="18"/>
              </w:rPr>
              <w:t>network_flag, network_risk_score, preferred_retail_count, preferred_mail_count, nearest_preferred_distance_bucket</w:t>
            </w:r>
          </w:p>
        </w:tc>
        <w:tc>
          <w:tcPr>
            <w:tcW w:type="dxa" w:w="2880"/>
          </w:tcPr>
          <w:p>
            <w:r>
              <w:rPr>
                <w:rFonts w:ascii="Times New Roman" w:hAnsi="Times New Roman"/>
                <w:sz w:val="18"/>
              </w:rPr>
              <w:t>Represent pharmacy usability and access risk</w:t>
            </w:r>
          </w:p>
        </w:tc>
      </w:tr>
      <w:tr>
        <w:tc>
          <w:tcPr>
            <w:tcW w:type="dxa" w:w="2880"/>
          </w:tcPr>
          <w:p>
            <w:r>
              <w:rPr>
                <w:rFonts w:ascii="Times New Roman" w:hAnsi="Times New Roman"/>
                <w:sz w:val="18"/>
              </w:rPr>
              <w:t>Medication identity and evidence quality</w:t>
            </w:r>
          </w:p>
        </w:tc>
        <w:tc>
          <w:tcPr>
            <w:tcW w:type="dxa" w:w="2880"/>
          </w:tcPr>
          <w:p>
            <w:r>
              <w:rPr>
                <w:rFonts w:ascii="Times New Roman" w:hAnsi="Times New Roman"/>
                <w:sz w:val="18"/>
              </w:rPr>
              <w:t>approximate_match_count, exact_match_count, match_review_required_flag, unknown_network_data_flag, unsafe_reason_count</w:t>
            </w:r>
          </w:p>
        </w:tc>
        <w:tc>
          <w:tcPr>
            <w:tcW w:type="dxa" w:w="2880"/>
          </w:tcPr>
          <w:p>
            <w:r>
              <w:rPr>
                <w:rFonts w:ascii="Times New Roman" w:hAnsi="Times New Roman"/>
                <w:sz w:val="18"/>
              </w:rPr>
              <w:t>Prevent false confidence when evidence is weak</w:t>
            </w:r>
          </w:p>
        </w:tc>
      </w:tr>
      <w:tr>
        <w:tc>
          <w:tcPr>
            <w:tcW w:type="dxa" w:w="2880"/>
          </w:tcPr>
          <w:p>
            <w:r>
              <w:rPr>
                <w:rFonts w:ascii="Times New Roman" w:hAnsi="Times New Roman"/>
                <w:sz w:val="18"/>
              </w:rPr>
              <w:t>Beneficiary and scenario context</w:t>
            </w:r>
          </w:p>
        </w:tc>
        <w:tc>
          <w:tcPr>
            <w:tcW w:type="dxa" w:w="2880"/>
          </w:tcPr>
          <w:p>
            <w:r>
              <w:rPr>
                <w:rFonts w:ascii="Times New Roman" w:hAnsi="Times New Roman"/>
                <w:sz w:val="18"/>
              </w:rPr>
              <w:t>lis_status, age_band, pharmacy_preference, scenario_bundle, scenario_profile, beneficiary_chronic_condition_count</w:t>
            </w:r>
          </w:p>
        </w:tc>
        <w:tc>
          <w:tcPr>
            <w:tcW w:type="dxa" w:w="2880"/>
          </w:tcPr>
          <w:p>
            <w:r>
              <w:rPr>
                <w:rFonts w:ascii="Times New Roman" w:hAnsi="Times New Roman"/>
                <w:sz w:val="18"/>
              </w:rPr>
              <w:t>Preserve context and subgroup sensitivity</w:t>
            </w:r>
          </w:p>
        </w:tc>
      </w:tr>
    </w:tbl>
    <w:p>
      <w:r>
        <w:t>The current study trains two reranker families on this feature frame. Both are deliberately modest tabular models because the research question is not whether a high-capacity model can infer beneficiary utility from hidden behavior. The question is whether an auditable model can improve the ordering of already simulated plan rows while preserving coverage and priceability constraints. This makes linear ridge regression and a shallow residual tree ensemble appropriate: the former gives a stable additive baseline, and the latter captures low-order interactions among coverage, cost, restrictions, LIS status, network risk, and scenario type without creating an opaque recommender [38-40].</w:t>
      </w:r>
    </w:p>
    <w:p>
      <w:r>
        <w:t>Let $\phi(x_{s,p})$ denote the encoded feature vector for scenario $s$ and plan $p$. Numeric variables are zero-filled when absent and standardized for the linear model; categorical variables are one-hot encoded. The linear reranker estimates:</w:t>
      </w:r>
    </w:p>
    <w:p>
      <w:r>
        <w:t>$$</w:t>
      </w:r>
    </w:p>
    <w:p>
      <w:r>
        <w:t>\hat{W}_{s,p}^{linear}</w:t>
      </w:r>
    </w:p>
    <w:p>
      <w:r>
        <w:t>=</w:t>
      </w:r>
    </w:p>
    <w:p>
      <w:r>
        <w:t>\beta_0+\phi(x_{s,p})^\top\beta,</w:t>
      </w:r>
    </w:p>
    <w:p>
      <w:r>
        <w:t>$$</w:t>
      </w:r>
    </w:p>
    <w:p>
      <w:r>
        <w:t>with ridge objective:</w:t>
      </w:r>
    </w:p>
    <w:p>
      <w:r>
        <w:t>$$</w:t>
      </w:r>
    </w:p>
    <w:p>
      <w:r>
        <w:t>\min_{\beta_0,\beta}</w:t>
      </w:r>
    </w:p>
    <w:p>
      <w:r>
        <w:t>\sum_{(s,p)}</w:t>
      </w:r>
    </w:p>
    <w:p>
      <w:r>
        <w:t>\left(</w:t>
      </w:r>
    </w:p>
    <w:p>
      <w:r>
        <w:t>W_{s,p}-\beta_0-\phi(x_{s,p})^\top\beta</w:t>
      </w:r>
    </w:p>
    <w:p>
      <w:r>
        <w:t>\right)^2</w:t>
      </w:r>
    </w:p>
    <w:p>
      <w:r>
        <w:t>+</w:t>
      </w:r>
    </w:p>
    <w:p>
      <w:r>
        <w:t>\alpha\lVert\beta\rVert_2^2,</w:t>
      </w:r>
    </w:p>
    <w:p>
      <w:r>
        <w:t>\qquad</w:t>
      </w:r>
    </w:p>
    <w:p>
      <w:r>
        <w:t>\alpha=5.0.</w:t>
      </w:r>
    </w:p>
    <w:p>
      <w:r>
        <w:t>$$</w:t>
      </w:r>
    </w:p>
    <w:p>
      <w:r>
        <w:t>The intercept is not penalized. This model is used as a transparent baseline because ridge coefficient shrinkage is well suited to sparse one-hot variables and correlated cost features [38].</w:t>
      </w:r>
    </w:p>
    <w:p>
      <w:r>
        <w:t>The tree reranker is implemented as a small additive residual ensemble, following the same broad stagewise residual-fitting logic used by gradient boosting methods [39]. Starting from the mean weak-label target, each shallow tree is fit to the current residual:</w:t>
      </w:r>
    </w:p>
    <w:p>
      <w:r>
        <w:t>$$</w:t>
      </w:r>
    </w:p>
    <w:p>
      <w:r>
        <w:t>F_0(x)=\bar{W},</w:t>
      </w:r>
    </w:p>
    <w:p>
      <w:r>
        <w:t>\qquad</w:t>
      </w:r>
    </w:p>
    <w:p>
      <w:r>
        <w:t>r_i^{(m)}=W_i-F_{m-1}(x_i),</w:t>
      </w:r>
    </w:p>
    <w:p>
      <w:r>
        <w:t>\qquad</w:t>
      </w:r>
    </w:p>
    <w:p>
      <w:r>
        <w:t>F_m(x)=F_{m-1}(x)+\eta h_m(x).</w:t>
      </w:r>
    </w:p>
    <w:p>
      <w:r>
        <w:t>$$</w:t>
      </w:r>
    </w:p>
    <w:p>
      <w:r>
        <w:t>The deployed tree score is $\hat{W}_{s,p}^{tree}=F_M(x_{s,p})$. The default settings are learning_rate = 0.12, n_estimators = 40, max_depth = 3, and min_samples_leaf = 5. These values intentionally restrict model capacity: depth 3 permits interactions such as coverage-by-cost or restriction-by-network, while the minimum leaf size prevents isolated plan-scenario fragments from dominating a split.</w:t>
      </w:r>
    </w:p>
    <w:p>
      <w:r>
        <w:t>The default trained artifact uses the student_safe policy. Under that policy, the dataset still records teacher-style rules summary fields such as current_rules_rank, current_rules_score, fit_score, cost_score, premium_score, coverage_score, access_score, and stability_score for audit and ablation analysis, but those numeric teacher features are excluded from the default student feature matrix used in training. Reviewers should therefore distinguish between columns present in the replay dataset and the smaller default feature subset actually exposed to the trained student artifact.</w:t>
      </w:r>
    </w:p>
    <w:p>
      <w:r>
        <w:t>Formally, if $T$ is the set of teacher-style columns, the default student matrix is:</w:t>
      </w:r>
    </w:p>
    <w:p>
      <w:r>
        <w:t>$$</w:t>
      </w:r>
    </w:p>
    <w:p>
      <w:r>
        <w:t>X_{student}=X_{full}\setminus T.</w:t>
      </w:r>
    </w:p>
    <w:p>
      <w:r>
        <w:t>$$</w:t>
      </w:r>
    </w:p>
    <w:p>
      <w:r>
        <w:t>The alternative teacher_features policy keeps $X_{full}$ and is useful for diagnostic or upper-bound ablations, but it is not the default reviewer-facing policy because it allows the model to learn directly from the deterministic teacher's rank and score outputs. Missingness is not hidden in either policy: variables such as missing price, unknown network data, channel unavailability, and match-review flags are retained as explicit features because incomplete observability is part of the decision-support problem.</w:t>
      </w:r>
    </w:p>
    <w:p>
      <w:pPr>
        <w:pStyle w:val="Heading4"/>
      </w:pPr>
      <w:r>
        <w:t>Dataset generation and weak-label construction</w:t>
      </w:r>
    </w:p>
    <w:p>
      <w:r>
        <w:t>The training dataset is generated by replaying canonical scenarios through the same recommendation engine used at runtime. Each row is a plan under a specific scenario. In this flow, weak labels are the bridge between deterministic recommendation replay and supervised reranker training. They are not treated as a clinical gold standard. Instead, they encode the study's recommendation preference structure by rewarding safer and more useful plan rows according to coverage, cost, restrictions, network risk, and evidence quality. This use of explicit programmatic supervision follows the broader weak-supervision motivation of creating auditable training labels when hand-curated or outcome-ground-truth labels are unavailable [42].</w:t>
      </w:r>
    </w:p>
    <w:p>
      <w:r>
        <w:t>Weak labels serve three roles in the pipeline. First, they convert plan-scenario replay rows into an ordered supervision target. Second, they make the study's preference structure explicit and auditable because every reward and penalty term is visible. Third, they enable held-out-by-scenario evaluation when real enrollment, switching, or outcome labels are unavailable.</w:t>
      </w:r>
    </w:p>
    <w:p>
      <w:r>
        <w:t>This design makes the evaluation honest about what it measures. Agreement with the weak label indicates alignment with the study's stated decision logic, not proof of downstream beneficiary outcomes.</w:t>
      </w:r>
    </w:p>
    <w:p>
      <w:r>
        <w:t>The weak-label construction is deliberately conservative. Coverage and priceability terms dominate because a lower-cost plan is not useful if a requested drug is uncovered, excluded, unpriceable, or available only through an unusable channel. Restriction, network, insulin, mail-order, and approximate-match penalties then refine the ordering among otherwise plausible plans. This makes the label useful for internal ranking research while preserving a clear boundary: it evaluates whether the model follows the study's encoded decision logic, not whether beneficiaries would actually enroll, adhere, save money, or report higher satisfaction after using the tool.</w:t>
      </w:r>
    </w:p>
    <w:p>
      <w:pPr>
        <w:pStyle w:val="Heading4"/>
      </w:pPr>
      <w:r>
        <w:t>Mathematical view of weak-label and reranking logic</w:t>
      </w:r>
    </w:p>
    <w:p>
      <w:r>
        <w:t>The weak-label target used for reranking is intentionally domain-shaped rather than neutral. For plan $p$, the current implementation can be summarized as:</w:t>
      </w:r>
    </w:p>
    <w:p>
      <w:r>
        <w:t>$$</w:t>
      </w:r>
    </w:p>
    <w:p>
      <w:r>
        <w:t>W_p =</w:t>
      </w:r>
    </w:p>
    <w:p>
      <w:r>
        <w:t>1000 \cdot \mathbf{1}\{\text{coverage\_status}_p = full\}</w:t>
      </w:r>
    </w:p>
    <w:p>
      <w:r>
        <w:t>+ R_p</w:t>
      </w:r>
    </w:p>
    <w:p>
      <w:pPr>
        <w:pStyle w:val="ListBullet"/>
      </w:pPr>
      <w:r>
        <w:t>T_p</w:t>
      </w:r>
    </w:p>
    <w:p>
      <w:pPr>
        <w:pStyle w:val="ListBullet"/>
      </w:pPr>
      <w:r>
        <w:t>250U_p</w:t>
      </w:r>
    </w:p>
    <w:p>
      <w:pPr>
        <w:pStyle w:val="ListBullet"/>
      </w:pPr>
      <w:r>
        <w:t>125E_p</w:t>
      </w:r>
    </w:p>
    <w:p>
      <w:pPr>
        <w:pStyle w:val="ListBullet"/>
      </w:pPr>
      <w:r>
        <w:t>110M_p</w:t>
      </w:r>
    </w:p>
    <w:p>
      <w:pPr>
        <w:pStyle w:val="ListBullet"/>
      </w:pPr>
      <w:r>
        <w:t>90C_p</w:t>
      </w:r>
    </w:p>
    <w:p>
      <w:pPr>
        <w:pStyle w:val="ListBullet"/>
      </w:pPr>
      <w:r>
        <w:t>25H_p</w:t>
      </w:r>
    </w:p>
    <w:p>
      <w:pPr>
        <w:pStyle w:val="ListBullet"/>
      </w:pPr>
      <w:r>
        <w:t>20A_p</w:t>
      </w:r>
    </w:p>
    <w:p>
      <w:pPr>
        <w:pStyle w:val="ListBullet"/>
      </w:pPr>
      <w:r>
        <w:t>18Mail_p</w:t>
      </w:r>
    </w:p>
    <w:p>
      <w:pPr>
        <w:pStyle w:val="ListBullet"/>
      </w:pPr>
      <w:r>
        <w:t>15Ins_p</w:t>
      </w:r>
    </w:p>
    <w:p>
      <w:pPr>
        <w:pStyle w:val="ListBullet"/>
      </w:pPr>
      <w:r>
        <w:t>12InsNP_p</w:t>
      </w:r>
    </w:p>
    <w:p>
      <w:pPr>
        <w:pStyle w:val="ListBullet"/>
      </w:pPr>
      <w:r>
        <w:t>20Net_p,</w:t>
      </w:r>
    </w:p>
    <w:p>
      <w:r>
        <w:t>$$</w:t>
      </w:r>
    </w:p>
    <w:p>
      <w:r>
        <w:t>where:</w:t>
      </w:r>
    </w:p>
    <w:p>
      <w:pPr>
        <w:pStyle w:val="ListBullet"/>
      </w:pPr>
      <w:r>
        <w:t>$R_p$ is the current rules score;</w:t>
      </w:r>
    </w:p>
    <w:p>
      <w:pPr>
        <w:pStyle w:val="ListBullet"/>
      </w:pPr>
      <w:r>
        <w:t>$T_p$ is annual total cost;</w:t>
      </w:r>
    </w:p>
    <w:p>
      <w:pPr>
        <w:pStyle w:val="ListBullet"/>
      </w:pPr>
      <w:r>
        <w:t>$U_p$ is uncovered-drug count;</w:t>
      </w:r>
    </w:p>
    <w:p>
      <w:pPr>
        <w:pStyle w:val="ListBullet"/>
      </w:pPr>
      <w:r>
        <w:t>$E_p$ is excluded-drug count;</w:t>
      </w:r>
    </w:p>
    <w:p>
      <w:pPr>
        <w:pStyle w:val="ListBullet"/>
      </w:pPr>
      <w:r>
        <w:t>$M_p$ is missing-price burden;</w:t>
      </w:r>
    </w:p>
    <w:p>
      <w:pPr>
        <w:pStyle w:val="ListBullet"/>
      </w:pPr>
      <w:r>
        <w:t>$C_p$ is channel-unavailable burden;</w:t>
      </w:r>
    </w:p>
    <w:p>
      <w:pPr>
        <w:pStyle w:val="ListBullet"/>
      </w:pPr>
      <w:r>
        <w:t>$H_p$ is restriction count;</w:t>
      </w:r>
    </w:p>
    <w:p>
      <w:pPr>
        <w:pStyle w:val="ListBullet"/>
      </w:pPr>
      <w:r>
        <w:t>$A_p$ is approximate-match burden;</w:t>
      </w:r>
    </w:p>
    <w:p>
      <w:pPr>
        <w:pStyle w:val="ListBullet"/>
      </w:pPr>
      <w:r>
        <w:t>$Mail_p$ is mail-order dependency burden;</w:t>
      </w:r>
    </w:p>
    <w:p>
      <w:pPr>
        <w:pStyle w:val="ListBullet"/>
      </w:pPr>
      <w:r>
        <w:t>$Ins_p$ is insulin-risk burden;</w:t>
      </w:r>
    </w:p>
    <w:p>
      <w:pPr>
        <w:pStyle w:val="ListBullet"/>
      </w:pPr>
      <w:r>
        <w:t>$InsNP_p$ is insulin dependence on non-preferred channels;</w:t>
      </w:r>
    </w:p>
    <w:p>
      <w:pPr>
        <w:pStyle w:val="ListBullet"/>
      </w:pPr>
      <w:r>
        <w:t>$Net_p$ is network-risk burden.</w:t>
      </w:r>
    </w:p>
    <w:p>
      <w:r>
        <w:t>The coefficient structure is intentionally shaped so that coverage failures dominate ordinary cost differences. The full-coverage bonus rewards plans that keep the medication set intact. The uncovered, excluded, and missing-price penalties discourage recommendations that look inexpensive only because part of the regimen is not reliably priceable. The channel-unavailable and restriction penalties represent operational friction. The approximate-match penalty reduces confidence in rows built from weak medication identity. The mail-order, insulin-risk, insulin-nonpreferred, and network-risk penalties preserve clinically and operationally important access burdens that would be easy to hide inside a single cost score.</w:t>
      </w:r>
    </w:p>
    <w:p>
      <w:r>
        <w:t>The simpler heuristic comparator is:</w:t>
      </w:r>
    </w:p>
    <w:p>
      <w:r>
        <w:t>$$</w:t>
      </w:r>
    </w:p>
    <w:p>
      <w:r>
        <w:t>H_p =</w:t>
      </w:r>
    </w:p>
    <w:p>
      <w:r>
        <w:t>500 \cdot \mathbf{1}\{\text{coverage\_status}_p = full\}</w:t>
      </w:r>
    </w:p>
    <w:p>
      <w:r>
        <w:t>+ R_p</w:t>
      </w:r>
    </w:p>
    <w:p>
      <w:pPr>
        <w:pStyle w:val="ListBullet"/>
      </w:pPr>
      <w:r>
        <w:t>T_p</w:t>
      </w:r>
    </w:p>
    <w:p>
      <w:pPr>
        <w:pStyle w:val="ListBullet"/>
      </w:pPr>
      <w:r>
        <w:t>200U_p</w:t>
      </w:r>
    </w:p>
    <w:p>
      <w:pPr>
        <w:pStyle w:val="ListBullet"/>
      </w:pPr>
      <w:r>
        <w:t>30H_p</w:t>
      </w:r>
    </w:p>
    <w:p>
      <w:pPr>
        <w:pStyle w:val="ListBullet"/>
      </w:pPr>
      <w:r>
        <w:t>10Net_p.</w:t>
      </w:r>
    </w:p>
    <w:p>
      <w:r>
        <w:t>$$</w:t>
      </w:r>
    </w:p>
    <w:p>
      <w:r>
        <w:t>The constrained reranker then estimates a model score $\hat{W}_p$, but only within safety-preserving buckets. If $\beta(p)$ maps each plan to a coverage-priceability bucket, hybrid ordering is:</w:t>
      </w:r>
    </w:p>
    <w:p>
      <w:r>
        <w:t>$$</w:t>
      </w:r>
    </w:p>
    <w:p>
      <w:r>
        <w:t>\pi^{hybrid}(p) = \left(\beta(p), -\hat{W}_p\right),</w:t>
      </w:r>
    </w:p>
    <w:p>
      <w:r>
        <w:t>$$</w:t>
      </w:r>
    </w:p>
    <w:p>
      <w:r>
        <w:t>with no cross-bucket promotion. In practical terms, a weak-coverage or unpriceable plan cannot leap ahead of a fully covered and fully priceable plan solely because of model score. This is the central mathematical expression of the system's safety constraint and the main reason weak-label alignment should be interpreted as internal ranking validity rather than external clinical validity. This reranking layer depends on canonical scenario replay and weak-label supervision, which is why the next subsection focuses on scenario generation and evaluation design rather than on model fitting alone.</w:t>
      </w:r>
    </w:p>
    <w:p>
      <w:pPr>
        <w:pStyle w:val="Heading3"/>
      </w:pPr>
      <w:r>
        <w:t>4.5 Scenario generation and evaluation design</w:t>
      </w:r>
    </w:p>
    <w:p>
      <w:r>
        <w:t>The research workflow no longer depends on ad hoc synthetic cases. Instead, it materializes canonical mixed-source scenarios first, then replays them through the same rules-first recommendation path used at runtime. This design keeps the modeling task tied to realistic beneficiary-like inputs and makes held-out evaluation more defensible. The approach is consistent with synthetic patient-data evaluation work that treats generated cases as useful for software testing, model development, and method evaluation when real patient-level data are limited or restricted [43].</w:t>
      </w:r>
    </w:p>
    <w:p>
      <w:pPr>
        <w:pStyle w:val="Heading4"/>
      </w:pPr>
      <w:r>
        <w:t>Scenario generation</w:t>
      </w:r>
    </w:p>
    <w:p>
      <w:r>
        <w:t>The current full artifact uses mixed-source canonical scenarios. The generation flow is intentionally structured so that model training begins from beneficiary-like requests rather than from disconnected plan rows. The pipeline:</w:t>
      </w:r>
    </w:p>
    <w:p>
      <w:pPr>
        <w:pStyle w:val="ListNumber"/>
      </w:pPr>
      <w:r>
        <w:t>draws a stratified sample of service-area ZIP codes so the scenario set spans the geographic density mix present in gold.plan_service_area;</w:t>
      </w:r>
    </w:p>
    <w:p>
      <w:pPr>
        <w:pStyle w:val="ListNumber"/>
      </w:pPr>
      <w:r>
        <w:t>builds drug pools from the gold catalog, including generic, brand, insulin, specialty, restricted, and lower-cost pools;</w:t>
      </w:r>
    </w:p>
    <w:p>
      <w:pPr>
        <w:pStyle w:val="ListNumber"/>
      </w:pPr>
      <w:r>
        <w:t>assembles local PDE-compatible regimen pools when event-style templates are available;</w:t>
      </w:r>
    </w:p>
    <w:p>
      <w:pPr>
        <w:pStyle w:val="ListNumber"/>
      </w:pPr>
      <w:r>
        <w:t>generates benchmark and stress regimens from the catalog pools when a local PDE-compatible template is unavailable or when harder edge cases are needed;</w:t>
      </w:r>
    </w:p>
    <w:p>
      <w:pPr>
        <w:pStyle w:val="ListNumber"/>
      </w:pPr>
      <w:r>
        <w:t>assigns mixed-source scenarios across the canonical bundles and source kinds (pde, benchmark, stress);</w:t>
      </w:r>
    </w:p>
    <w:p>
      <w:pPr>
        <w:pStyle w:val="ListNumber"/>
      </w:pPr>
      <w:r>
        <w:t>validates each generated scenario against its intended bundle/profile before accepting it into the canonical set;</w:t>
      </w:r>
    </w:p>
    <w:p>
      <w:pPr>
        <w:pStyle w:val="ListNumber"/>
      </w:pPr>
      <w:r>
        <w:t>materializes a scenario manifest that records bundle counts, source mix, regimen-signature counts, unique NDC and RXCUI counts, and validation rates.</w:t>
      </w:r>
    </w:p>
    <w:p>
      <w:r>
        <w:t>In implementation terms, each evaluation scenario is a tuple:</w:t>
      </w:r>
    </w:p>
    <w:p>
      <w:r>
        <w:t>$$</w:t>
      </w:r>
    </w:p>
    <w:p>
      <w:r>
        <w:t>s_i=</w:t>
      </w:r>
    </w:p>
    <w:p>
      <w:r>
        <w:t>(z_i,\;b_i,\;M_i,\;q_i,\;\ell_i,\;g_i,\;u_i),</w:t>
      </w:r>
    </w:p>
    <w:p>
      <w:r>
        <w:t>$$</w:t>
      </w:r>
    </w:p>
    <w:p>
      <w:r>
        <w:t>where $z_i$ is ZIP code, $b_i$ is the intended scenario bundle, $M_i$ is the medication set, $q_i$ is pharmacy preference, $\ell_i$ is LIS status, $g_i$ is the regimen signature, and $u_i$ is the source kind (pde, benchmark, or stress). ZIPs are sampled from service-area ZIPs using density-stratified sampling from gold.plan_service_area joined to silver.dim_zipcode; the full profile targets 100 ZIPs. This stratification is used to preserve geographic-density representation rather than drawing only from the most frequent ZIP contexts [44]. Drug pools are built from gold.plan_drug_cost_basis grouped by NDC with RXCUI, drug name, tier family, day supply, insulin and utilization-management flags, coverable-plan count, and median unit cost. When local PDE-compatible regimen templates are available, they are grouped into event-style medication bundles; otherwise the generator falls back to benchmark catalog pools. Stress scenarios deliberately include harder patterns such as low coverability, ambiguous names, access sensitivity, restriction burden, and high-cost therapy. The manifest therefore makes scenario generation inspectable rather than a hidden data augmentation step.</w:t>
      </w:r>
    </w:p>
    <w:p>
      <w:r>
        <w:t>Six scenario bundles are represented:</w:t>
      </w:r>
    </w:p>
    <w:p>
      <w:pPr>
        <w:pStyle w:val="ListBullet"/>
      </w:pPr>
      <w:r>
        <w:t>access-sensitive</w:t>
      </w:r>
    </w:p>
    <w:p>
      <w:pPr>
        <w:pStyle w:val="ListBullet"/>
      </w:pPr>
      <w:r>
        <w:t>insulin-chronic</w:t>
      </w:r>
    </w:p>
    <w:p>
      <w:pPr>
        <w:pStyle w:val="ListBullet"/>
      </w:pPr>
      <w:r>
        <w:t>low-utilizer</w:t>
      </w:r>
    </w:p>
    <w:p>
      <w:pPr>
        <w:pStyle w:val="ListBullet"/>
      </w:pPr>
      <w:r>
        <w:t>maintenance-generic</w:t>
      </w:r>
    </w:p>
    <w:p>
      <w:pPr>
        <w:pStyle w:val="ListBullet"/>
      </w:pPr>
      <w:r>
        <w:t>mixed-restriction</w:t>
      </w:r>
    </w:p>
    <w:p>
      <w:pPr>
        <w:pStyle w:val="ListBullet"/>
      </w:pPr>
      <w:r>
        <w:t>specialty-high-cost</w:t>
      </w:r>
    </w:p>
    <w:p>
      <w:r>
        <w:t>The bundles were chosen to make clinically and operationally different recommendation stresses visible.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Scenario bundle</w:t>
            </w:r>
          </w:p>
        </w:tc>
        <w:tc>
          <w:tcPr>
            <w:tcW w:type="dxa" w:w="1728"/>
          </w:tcPr>
          <w:p>
            <w:r>
              <w:rPr>
                <w:rFonts w:ascii="Times New Roman" w:hAnsi="Times New Roman"/>
                <w:b/>
                <w:sz w:val="18"/>
              </w:rPr>
              <w:t>Real-world stress represented</w:t>
            </w:r>
          </w:p>
        </w:tc>
        <w:tc>
          <w:tcPr>
            <w:tcW w:type="dxa" w:w="1728"/>
          </w:tcPr>
          <w:p>
            <w:r>
              <w:rPr>
                <w:rFonts w:ascii="Times New Roman" w:hAnsi="Times New Roman"/>
                <w:b/>
                <w:sz w:val="18"/>
              </w:rPr>
              <w:t>Typical medication pattern</w:t>
            </w:r>
          </w:p>
        </w:tc>
        <w:tc>
          <w:tcPr>
            <w:tcW w:type="dxa" w:w="1728"/>
          </w:tcPr>
          <w:p>
            <w:r>
              <w:rPr>
                <w:rFonts w:ascii="Times New Roman" w:hAnsi="Times New Roman"/>
                <w:b/>
                <w:sz w:val="18"/>
              </w:rPr>
              <w:t>Main risk exposed</w:t>
            </w:r>
          </w:p>
        </w:tc>
        <w:tc>
          <w:tcPr>
            <w:tcW w:type="dxa" w:w="1728"/>
          </w:tcPr>
          <w:p>
            <w:r>
              <w:rPr>
                <w:rFonts w:ascii="Times New Roman" w:hAnsi="Times New Roman"/>
                <w:b/>
                <w:sz w:val="18"/>
              </w:rPr>
              <w:t>Why included</w:t>
            </w:r>
          </w:p>
        </w:tc>
      </w:tr>
      <w:tr>
        <w:tc>
          <w:tcPr>
            <w:tcW w:type="dxa" w:w="1728"/>
          </w:tcPr>
          <w:p>
            <w:r>
              <w:rPr>
                <w:rFonts w:ascii="Times New Roman" w:hAnsi="Times New Roman"/>
                <w:sz w:val="18"/>
              </w:rPr>
              <w:t>Access-sensitive</w:t>
            </w:r>
          </w:p>
        </w:tc>
        <w:tc>
          <w:tcPr>
            <w:tcW w:type="dxa" w:w="1728"/>
          </w:tcPr>
          <w:p>
            <w:r>
              <w:rPr>
                <w:rFonts w:ascii="Times New Roman" w:hAnsi="Times New Roman"/>
                <w:sz w:val="18"/>
              </w:rPr>
              <w:t>Pharmacy usability and channel fit</w:t>
            </w:r>
          </w:p>
        </w:tc>
        <w:tc>
          <w:tcPr>
            <w:tcW w:type="dxa" w:w="1728"/>
          </w:tcPr>
          <w:p>
            <w:r>
              <w:rPr>
                <w:rFonts w:ascii="Times New Roman" w:hAnsi="Times New Roman"/>
                <w:sz w:val="18"/>
              </w:rPr>
              <w:t>Brand or generic drugs where retail/mail access matters</w:t>
            </w:r>
          </w:p>
        </w:tc>
        <w:tc>
          <w:tcPr>
            <w:tcW w:type="dxa" w:w="1728"/>
          </w:tcPr>
          <w:p>
            <w:r>
              <w:rPr>
                <w:rFonts w:ascii="Times New Roman" w:hAnsi="Times New Roman"/>
                <w:sz w:val="18"/>
              </w:rPr>
              <w:t>Preferred retail gaps or mail dependence</w:t>
            </w:r>
          </w:p>
        </w:tc>
        <w:tc>
          <w:tcPr>
            <w:tcW w:type="dxa" w:w="1728"/>
          </w:tcPr>
          <w:p>
            <w:r>
              <w:rPr>
                <w:rFonts w:ascii="Times New Roman" w:hAnsi="Times New Roman"/>
                <w:sz w:val="18"/>
              </w:rPr>
              <w:t>Tests whether ranking preserves access explanations</w:t>
            </w:r>
          </w:p>
        </w:tc>
      </w:tr>
      <w:tr>
        <w:tc>
          <w:tcPr>
            <w:tcW w:type="dxa" w:w="1728"/>
          </w:tcPr>
          <w:p>
            <w:r>
              <w:rPr>
                <w:rFonts w:ascii="Times New Roman" w:hAnsi="Times New Roman"/>
                <w:sz w:val="18"/>
              </w:rPr>
              <w:t>Insulin-chronic</w:t>
            </w:r>
          </w:p>
        </w:tc>
        <w:tc>
          <w:tcPr>
            <w:tcW w:type="dxa" w:w="1728"/>
          </w:tcPr>
          <w:p>
            <w:r>
              <w:rPr>
                <w:rFonts w:ascii="Times New Roman" w:hAnsi="Times New Roman"/>
                <w:sz w:val="18"/>
              </w:rPr>
              <w:t>Diabetes and insulin affordability</w:t>
            </w:r>
          </w:p>
        </w:tc>
        <w:tc>
          <w:tcPr>
            <w:tcW w:type="dxa" w:w="1728"/>
          </w:tcPr>
          <w:p>
            <w:r>
              <w:rPr>
                <w:rFonts w:ascii="Times New Roman" w:hAnsi="Times New Roman"/>
                <w:sz w:val="18"/>
              </w:rPr>
              <w:t>Insulin plus chronic companion drugs</w:t>
            </w:r>
          </w:p>
        </w:tc>
        <w:tc>
          <w:tcPr>
            <w:tcW w:type="dxa" w:w="1728"/>
          </w:tcPr>
          <w:p>
            <w:r>
              <w:rPr>
                <w:rFonts w:ascii="Times New Roman" w:hAnsi="Times New Roman"/>
                <w:sz w:val="18"/>
              </w:rPr>
              <w:t>Insulin rules, channel dependence, UM flags</w:t>
            </w:r>
          </w:p>
        </w:tc>
        <w:tc>
          <w:tcPr>
            <w:tcW w:type="dxa" w:w="1728"/>
          </w:tcPr>
          <w:p>
            <w:r>
              <w:rPr>
                <w:rFonts w:ascii="Times New Roman" w:hAnsi="Times New Roman"/>
                <w:sz w:val="18"/>
              </w:rPr>
              <w:t>Tests policy-sensitive affordability handling</w:t>
            </w:r>
          </w:p>
        </w:tc>
      </w:tr>
      <w:tr>
        <w:tc>
          <w:tcPr>
            <w:tcW w:type="dxa" w:w="1728"/>
          </w:tcPr>
          <w:p>
            <w:r>
              <w:rPr>
                <w:rFonts w:ascii="Times New Roman" w:hAnsi="Times New Roman"/>
                <w:sz w:val="18"/>
              </w:rPr>
              <w:t>Low-utilizer</w:t>
            </w:r>
          </w:p>
        </w:tc>
        <w:tc>
          <w:tcPr>
            <w:tcW w:type="dxa" w:w="1728"/>
          </w:tcPr>
          <w:p>
            <w:r>
              <w:rPr>
                <w:rFonts w:ascii="Times New Roman" w:hAnsi="Times New Roman"/>
                <w:sz w:val="18"/>
              </w:rPr>
              <w:t>Simple one-drug or low-drug use</w:t>
            </w:r>
          </w:p>
        </w:tc>
        <w:tc>
          <w:tcPr>
            <w:tcW w:type="dxa" w:w="1728"/>
          </w:tcPr>
          <w:p>
            <w:r>
              <w:rPr>
                <w:rFonts w:ascii="Times New Roman" w:hAnsi="Times New Roman"/>
                <w:sz w:val="18"/>
              </w:rPr>
              <w:t>One low-cost generic or sparse regimen</w:t>
            </w:r>
          </w:p>
        </w:tc>
        <w:tc>
          <w:tcPr>
            <w:tcW w:type="dxa" w:w="1728"/>
          </w:tcPr>
          <w:p>
            <w:r>
              <w:rPr>
                <w:rFonts w:ascii="Times New Roman" w:hAnsi="Times New Roman"/>
                <w:sz w:val="18"/>
              </w:rPr>
              <w:t>Overfitting to complex regimens</w:t>
            </w:r>
          </w:p>
        </w:tc>
        <w:tc>
          <w:tcPr>
            <w:tcW w:type="dxa" w:w="1728"/>
          </w:tcPr>
          <w:p>
            <w:r>
              <w:rPr>
                <w:rFonts w:ascii="Times New Roman" w:hAnsi="Times New Roman"/>
                <w:sz w:val="18"/>
              </w:rPr>
              <w:t>Confirms the model handles low-friction cases cleanly</w:t>
            </w:r>
          </w:p>
        </w:tc>
      </w:tr>
      <w:tr>
        <w:tc>
          <w:tcPr>
            <w:tcW w:type="dxa" w:w="1728"/>
          </w:tcPr>
          <w:p>
            <w:r>
              <w:rPr>
                <w:rFonts w:ascii="Times New Roman" w:hAnsi="Times New Roman"/>
                <w:sz w:val="18"/>
              </w:rPr>
              <w:t>Maintenance-generic</w:t>
            </w:r>
          </w:p>
        </w:tc>
        <w:tc>
          <w:tcPr>
            <w:tcW w:type="dxa" w:w="1728"/>
          </w:tcPr>
          <w:p>
            <w:r>
              <w:rPr>
                <w:rFonts w:ascii="Times New Roman" w:hAnsi="Times New Roman"/>
                <w:sz w:val="18"/>
              </w:rPr>
              <w:t>Common chronic generic management</w:t>
            </w:r>
          </w:p>
        </w:tc>
        <w:tc>
          <w:tcPr>
            <w:tcW w:type="dxa" w:w="1728"/>
          </w:tcPr>
          <w:p>
            <w:r>
              <w:rPr>
                <w:rFonts w:ascii="Times New Roman" w:hAnsi="Times New Roman"/>
                <w:sz w:val="18"/>
              </w:rPr>
              <w:t>Multiple 90-day generic fills</w:t>
            </w:r>
          </w:p>
        </w:tc>
        <w:tc>
          <w:tcPr>
            <w:tcW w:type="dxa" w:w="1728"/>
          </w:tcPr>
          <w:p>
            <w:r>
              <w:rPr>
                <w:rFonts w:ascii="Times New Roman" w:hAnsi="Times New Roman"/>
                <w:sz w:val="18"/>
              </w:rPr>
              <w:t>Premium versus low drug OOP trade-offs</w:t>
            </w:r>
          </w:p>
        </w:tc>
        <w:tc>
          <w:tcPr>
            <w:tcW w:type="dxa" w:w="1728"/>
          </w:tcPr>
          <w:p>
            <w:r>
              <w:rPr>
                <w:rFonts w:ascii="Times New Roman" w:hAnsi="Times New Roman"/>
                <w:sz w:val="18"/>
              </w:rPr>
              <w:t>Represents frequent counseling cases</w:t>
            </w:r>
          </w:p>
        </w:tc>
      </w:tr>
      <w:tr>
        <w:tc>
          <w:tcPr>
            <w:tcW w:type="dxa" w:w="1728"/>
          </w:tcPr>
          <w:p>
            <w:r>
              <w:rPr>
                <w:rFonts w:ascii="Times New Roman" w:hAnsi="Times New Roman"/>
                <w:sz w:val="18"/>
              </w:rPr>
              <w:t>Mixed-restriction</w:t>
            </w:r>
          </w:p>
        </w:tc>
        <w:tc>
          <w:tcPr>
            <w:tcW w:type="dxa" w:w="1728"/>
          </w:tcPr>
          <w:p>
            <w:r>
              <w:rPr>
                <w:rFonts w:ascii="Times New Roman" w:hAnsi="Times New Roman"/>
                <w:sz w:val="18"/>
              </w:rPr>
              <w:t>Multi-drug chronic regimen with restrictions</w:t>
            </w:r>
          </w:p>
        </w:tc>
        <w:tc>
          <w:tcPr>
            <w:tcW w:type="dxa" w:w="1728"/>
          </w:tcPr>
          <w:p>
            <w:r>
              <w:rPr>
                <w:rFonts w:ascii="Times New Roman" w:hAnsi="Times New Roman"/>
                <w:sz w:val="18"/>
              </w:rPr>
              <w:t>Brands, generics, PA/ST/QL drugs</w:t>
            </w:r>
          </w:p>
        </w:tc>
        <w:tc>
          <w:tcPr>
            <w:tcW w:type="dxa" w:w="1728"/>
          </w:tcPr>
          <w:p>
            <w:r>
              <w:rPr>
                <w:rFonts w:ascii="Times New Roman" w:hAnsi="Times New Roman"/>
                <w:sz w:val="18"/>
              </w:rPr>
              <w:t>Friction hidden behind coverage status</w:t>
            </w:r>
          </w:p>
        </w:tc>
        <w:tc>
          <w:tcPr>
            <w:tcW w:type="dxa" w:w="1728"/>
          </w:tcPr>
          <w:p>
            <w:r>
              <w:rPr>
                <w:rFonts w:ascii="Times New Roman" w:hAnsi="Times New Roman"/>
                <w:sz w:val="18"/>
              </w:rPr>
              <w:t>Tests restriction-aware ranking</w:t>
            </w:r>
          </w:p>
        </w:tc>
      </w:tr>
      <w:tr>
        <w:tc>
          <w:tcPr>
            <w:tcW w:type="dxa" w:w="1728"/>
          </w:tcPr>
          <w:p>
            <w:r>
              <w:rPr>
                <w:rFonts w:ascii="Times New Roman" w:hAnsi="Times New Roman"/>
                <w:sz w:val="18"/>
              </w:rPr>
              <w:t>Specialty-high-cost</w:t>
            </w:r>
          </w:p>
        </w:tc>
        <w:tc>
          <w:tcPr>
            <w:tcW w:type="dxa" w:w="1728"/>
          </w:tcPr>
          <w:p>
            <w:r>
              <w:rPr>
                <w:rFonts w:ascii="Times New Roman" w:hAnsi="Times New Roman"/>
                <w:sz w:val="18"/>
              </w:rPr>
              <w:t>Biologics, anticoagulants, and rare high-cost therapies</w:t>
            </w:r>
          </w:p>
        </w:tc>
        <w:tc>
          <w:tcPr>
            <w:tcW w:type="dxa" w:w="1728"/>
          </w:tcPr>
          <w:p>
            <w:r>
              <w:rPr>
                <w:rFonts w:ascii="Times New Roman" w:hAnsi="Times New Roman"/>
                <w:sz w:val="18"/>
              </w:rPr>
              <w:t>Specialty or high negotiated-price drugs</w:t>
            </w:r>
          </w:p>
        </w:tc>
        <w:tc>
          <w:tcPr>
            <w:tcW w:type="dxa" w:w="1728"/>
          </w:tcPr>
          <w:p>
            <w:r>
              <w:rPr>
                <w:rFonts w:ascii="Times New Roman" w:hAnsi="Times New Roman"/>
                <w:sz w:val="18"/>
              </w:rPr>
              <w:t>Sparse coverage, restrictions, OOP-cap exposure</w:t>
            </w:r>
          </w:p>
        </w:tc>
        <w:tc>
          <w:tcPr>
            <w:tcW w:type="dxa" w:w="1728"/>
          </w:tcPr>
          <w:p>
            <w:r>
              <w:rPr>
                <w:rFonts w:ascii="Times New Roman" w:hAnsi="Times New Roman"/>
                <w:sz w:val="18"/>
              </w:rPr>
              <w:t>Tests edge cases where explanations are essential</w:t>
            </w:r>
          </w:p>
        </w:tc>
      </w:tr>
    </w:tbl>
    <w:p>
      <w:r>
        <w:t>Each bundle contains 100 scenarios. The overall source mix is 180 benchmark scenarios, 300 local PDE-compatible scenarios, and 120 stress scenarios. The canonical generator version is scenario_generation_v1. For evaluation, the scenario is the unit of splitting because replaying one scenario creates many plan rows that share the same beneficiary ZIP, regimen, LIS status, and pharmacy preference. A row-random split would therefore leak scenario context from training into testing. The held-out-by-scenario split instead asks whether the learned reranker generalizes to new beneficiary-like requests.</w:t>
      </w:r>
    </w:p>
    <w:p>
      <w:r>
        <w:t>This design benefits the reranker in several ways. It broadens training coverage beyond only common medication combinations, preserves representation across clinically and operationally important bundles, adds harder stress cases so the reranker sees edge conditions, and keeps the training data close to runtime behavior because the same recommendation engine is replayed to build feature rows. In effect, scenario generation produces beneficiary-like inputs, and replay through the rules engine turns those inputs into the same evidence rows used at recommendation time. The learned model is therefore a reranker over realistic simulated plan comparisons rather than over disconnected synthetic labels.</w:t>
      </w:r>
    </w:p>
    <w:p>
      <w:pPr>
        <w:pStyle w:val="Heading4"/>
      </w:pPr>
      <w:r>
        <w:t>Experimental design and comparators</w:t>
      </w:r>
    </w:p>
    <w:p>
      <w:r>
        <w:t>Evaluation is performed with a held-out-by-scenario split rather than row-random splitting. The training set contains 420 scenarios and 23,384 plan-scenario rows. The test set contains 180 scenarios and 10,577 rows. This design reduces leakage from repeated plan rows associated with the same beneficiary request. The implementation also produces held-out-by-ZIP and held-out-by-regimen-signature reports to probe geographic and medication-regimen novelty, but the primary manuscript results use held-out-by-scenario evaluation because it is the closest analogue to future unseen counseling cases.</w:t>
      </w:r>
    </w:p>
    <w:p>
      <w:r>
        <w:t>The evaluated systems are:</w:t>
      </w:r>
    </w:p>
    <w:p>
      <w:pPr>
        <w:pStyle w:val="ListBullet"/>
      </w:pPr>
      <w:r>
        <w:t>rules-only ranking;</w:t>
      </w:r>
    </w:p>
    <w:p>
      <w:pPr>
        <w:pStyle w:val="ListBullet"/>
      </w:pPr>
      <w:r>
        <w:t>heuristic baseline;</w:t>
      </w:r>
    </w:p>
    <w:p>
      <w:pPr>
        <w:pStyle w:val="ListBullet"/>
      </w:pPr>
      <w:r>
        <w:t>linear reranker;</w:t>
      </w:r>
    </w:p>
    <w:p>
      <w:pPr>
        <w:pStyle w:val="ListBullet"/>
      </w:pPr>
      <w:r>
        <w:t>tree reranker;</w:t>
      </w:r>
    </w:p>
    <w:p>
      <w:pPr>
        <w:pStyle w:val="ListBullet"/>
      </w:pPr>
      <w:r>
        <w:t>ablation systems using cost-only, cost-plus-restrictions, cost-plus-restrictions-plus-network, and full feature sets.</w:t>
      </w:r>
    </w:p>
    <w:p>
      <w:r>
        <w:t>The heuristic baseline is reported explicitly as an operational comparator. A fully frozen external Medicare Plan Finder comparator for the exact same quarter and medication cases was not yet packaged into this public artifact. Rather than imply comparability that does not yet exist, the manuscript reports transparent internal comparators that can be reproduced from the same frozen quarter and code state.</w:t>
      </w:r>
    </w:p>
    <w:p>
      <w:pPr>
        <w:pStyle w:val="Heading4"/>
      </w:pPr>
      <w:r>
        <w:t>Primary metrics and guardrails</w:t>
      </w:r>
    </w:p>
    <w:p>
      <w:r>
        <w:t>Primary metrics were chosen to separate ranking agreement from operational safety and follow standard learning-to-rank evaluation practice [40,41]. Let $\mathcal{S}_{test}$ be the held-out scenario set, $\mathcal{P}_s$ the candidate plans for scenario $s$, $\pi_s^m$ the ordering produced by method $m$, and $\pi_s^\star$ the weak-label reference ordering:</w:t>
      </w:r>
    </w:p>
    <w:p>
      <w:r>
        <w:t>$$</w:t>
      </w:r>
    </w:p>
    <w:p>
      <w:r>
        <w:t>\pi_s^\star</w:t>
      </w:r>
    </w:p>
    <w:p>
      <w:r>
        <w:t>=</w:t>
      </w:r>
    </w:p>
    <w:p>
      <w:r>
        <w:t>\operatorname{sort}_{p\in\mathcal{P}_s}</w:t>
      </w:r>
    </w:p>
    <w:p>
      <w:r>
        <w:t>(-W_{s,p},T_{s,p}),</w:t>
      </w:r>
    </w:p>
    <w:p>
      <w:r>
        <w:t>$$</w:t>
      </w:r>
    </w:p>
    <w:p>
      <w:r>
        <w:t>where $W_{s,p}$ is the weak-label score and $T_{s,p}$ is annual total cost. Top-1 agreement is:</w:t>
      </w:r>
    </w:p>
    <w:p>
      <w:r>
        <w:t>$$</w:t>
      </w:r>
    </w:p>
    <w:p>
      <w:r>
        <w:t>\operatorname{Top1}(m)</w:t>
      </w:r>
    </w:p>
    <w:p>
      <w:r>
        <w:t>=</w:t>
      </w:r>
    </w:p>
    <w:p>
      <w:r>
        <w:t>\frac{1}{|\mathcal{S}_{test}|}</w:t>
      </w:r>
    </w:p>
    <w:p>
      <w:r>
        <w:t>\sum_{s\in\mathcal{S}_{test}}</w:t>
      </w:r>
    </w:p>
    <w:p>
      <w:r>
        <w:t>\mathbf{1}\{\pi_s^m(1)=\pi_s^\star(1)\}.</w:t>
      </w:r>
    </w:p>
    <w:p>
      <w:r>
        <w:t>$$</w:t>
      </w:r>
    </w:p>
    <w:p>
      <w:r>
        <w:t>Top-$k$ overlap measures shortlist agreement:</w:t>
      </w:r>
    </w:p>
    <w:p>
      <w:r>
        <w:t>$$</w:t>
      </w:r>
    </w:p>
    <w:p>
      <w:r>
        <w:t>\operatorname{Overlap}_k(m)</w:t>
      </w:r>
    </w:p>
    <w:p>
      <w:r>
        <w:t>=</w:t>
      </w:r>
    </w:p>
    <w:p>
      <w:r>
        <w:t>\frac{1}{|\mathcal{S}_{test}|}</w:t>
      </w:r>
    </w:p>
    <w:p>
      <w:r>
        <w:t>\sum_{s\in\mathcal{S}_{test}}</w:t>
      </w:r>
    </w:p>
    <w:p>
      <w:r>
        <w:t>\frac{</w:t>
      </w:r>
    </w:p>
    <w:tbl>
      <w:tblPr>
        <w:tblStyle w:val="TableGrid"/>
        <w:tblW w:type="auto" w:w="0"/>
        <w:tblLook w:firstColumn="1" w:firstRow="1" w:lastColumn="0" w:lastRow="0" w:noHBand="0" w:noVBand="1" w:val="04A0"/>
      </w:tblPr>
      <w:tblGrid>
        <w:gridCol w:w="8640"/>
      </w:tblGrid>
      <w:tr>
        <w:tc>
          <w:tcPr>
            <w:tcW w:type="dxa" w:w="8640"/>
          </w:tcPr>
          <w:p>
            <w:r>
              <w:rPr>
                <w:rFonts w:ascii="Times New Roman" w:hAnsi="Times New Roman"/>
                <w:b/>
                <w:sz w:val="18"/>
              </w:rPr>
              <w:t>\operatorname{Top}_k(\pi_s^m)\cap\operatorname{Top}_k(\pi_s^\star)</w:t>
            </w:r>
          </w:p>
        </w:tc>
      </w:tr>
    </w:tbl>
    <w:p>
      <w:r>
        <w:t>}{</w:t>
      </w:r>
    </w:p>
    <w:p>
      <w:r>
        <w:t>\min(k,|\mathcal{P}_s|)</w:t>
      </w:r>
    </w:p>
    <w:p>
      <w:r>
        <w:t>}.</w:t>
      </w:r>
    </w:p>
    <w:p>
      <w:r>
        <w:t>$$</w:t>
      </w:r>
    </w:p>
    <w:p>
      <w:r>
        <w:t>For graded ranking quality, the weak-label rank is converted to relevance:</w:t>
      </w:r>
    </w:p>
    <w:p>
      <w:r>
        <w:t>$$</w:t>
      </w:r>
    </w:p>
    <w:p>
      <w:r>
        <w:t>rel_{s,p}</w:t>
      </w:r>
    </w:p>
    <w:p>
      <w:r>
        <w:t>=</w:t>
      </w:r>
    </w:p>
    <w:p>
      <w:r>
        <w:t>\max(0,\;6-\operatorname{rank}_s^\star(p)).</w:t>
      </w:r>
    </w:p>
    <w:p>
      <w:r>
        <w:t>$$</w:t>
      </w:r>
    </w:p>
    <w:p>
      <w:r>
        <w:t>Thus the reference top five plans receive relevance values 5 through 1. Discounted cumulative gain is:</w:t>
      </w:r>
    </w:p>
    <w:p>
      <w:r>
        <w:t>$$</w:t>
      </w:r>
    </w:p>
    <w:p>
      <w:r>
        <w:t>\operatorname{DCG}@k(s,m)</w:t>
      </w:r>
    </w:p>
    <w:p>
      <w:r>
        <w:t>=</w:t>
      </w:r>
    </w:p>
    <w:p>
      <w:r>
        <w:t>\sum_{i=1}^k</w:t>
      </w:r>
    </w:p>
    <w:p>
      <w:r>
        <w:t>\frac{2^{rel_{s,\pi_s^m(i)}}-1}{\log_2(i+1)},</w:t>
      </w:r>
    </w:p>
    <w:p>
      <w:r>
        <w:t>\qquad</w:t>
      </w:r>
    </w:p>
    <w:p>
      <w:r>
        <w:t>\operatorname{NDCG}@k(s,m)</w:t>
      </w:r>
    </w:p>
    <w:p>
      <w:r>
        <w:t>=</w:t>
      </w:r>
    </w:p>
    <w:p>
      <w:r>
        <w:t>\frac{\operatorname{DCG}@k(s,m)}{\operatorname{IDCG}@k(s)}.</w:t>
      </w:r>
    </w:p>
    <w:p>
      <w:r>
        <w:t>$$</w:t>
      </w:r>
    </w:p>
    <w:p>
      <w:r>
        <w:t>Safety and usability metrics are computed on the same top-$k$ lists. The top-$k$ full-coverage rate is:</w:t>
      </w:r>
    </w:p>
    <w:p>
      <w:r>
        <w:t>$$</w:t>
      </w:r>
    </w:p>
    <w:p>
      <w:r>
        <w:t>\operatorname{FullCoverageRate}_k(s,m)</w:t>
      </w:r>
    </w:p>
    <w:p>
      <w:r>
        <w:t>=</w:t>
      </w:r>
    </w:p>
    <w:p>
      <w:r>
        <w:t>\frac{1}{k_s}</w:t>
      </w:r>
    </w:p>
    <w:p>
      <w:r>
        <w:t>\sum_{i=1}^{k_s}</w:t>
      </w:r>
    </w:p>
    <w:p>
      <w:r>
        <w:t>\mathbf{1}\{\operatorname{coverage}_{s,\pi_s^m(i)}=\mathrm{full}\},</w:t>
      </w:r>
    </w:p>
    <w:p>
      <w:r>
        <w:t>\qquad</w:t>
      </w:r>
    </w:p>
    <w:p>
      <w:r>
        <w:t>k_s=\min(k,|\mathcal{P}_s|).</w:t>
      </w:r>
    </w:p>
    <w:p>
      <w:r>
        <w:t>$$</w:t>
      </w:r>
    </w:p>
    <w:p>
      <w:r>
        <w:t>Average top-$k$ total cost and uncovered-drug burden are:</w:t>
      </w:r>
    </w:p>
    <w:p>
      <w:r>
        <w:t>$$</w:t>
      </w:r>
    </w:p>
    <w:p>
      <w:r>
        <w:t>\operatorname{AvgCost}_k(s,m)</w:t>
      </w:r>
    </w:p>
    <w:p>
      <w:r>
        <w:t>=</w:t>
      </w:r>
    </w:p>
    <w:p>
      <w:r>
        <w:t>\frac{1}{k_s}</w:t>
      </w:r>
    </w:p>
    <w:p>
      <w:r>
        <w:t>\sum_{i=1}^{k_s}</w:t>
      </w:r>
    </w:p>
    <w:p>
      <w:r>
        <w:t>T_{s,\pi_s^m(i)},</w:t>
      </w:r>
    </w:p>
    <w:p>
      <w:r>
        <w:t>\qquad</w:t>
      </w:r>
    </w:p>
    <w:p>
      <w:r>
        <w:t>\operatorname{AvgUncovered}_k(s,m)</w:t>
      </w:r>
    </w:p>
    <w:p>
      <w:r>
        <w:t>=</w:t>
      </w:r>
    </w:p>
    <w:p>
      <w:r>
        <w:t>\frac{1}{k_s}</w:t>
      </w:r>
    </w:p>
    <w:p>
      <w:r>
        <w:t>\sum_{i=1}^{k_s}</w:t>
      </w:r>
    </w:p>
    <w:p>
      <w:r>
        <w:t>U_{s,\pi_s^m(i)}.</w:t>
      </w:r>
    </w:p>
    <w:p>
      <w:r>
        <w:t>$$</w:t>
      </w:r>
    </w:p>
    <w:p>
      <w:r>
        <w:t>When no full-coverage plan exists in the reference set, blocker-classification precision checks whether the method's top plan belongs to the same fallback group as the reference top plan:</w:t>
      </w:r>
    </w:p>
    <w:p>
      <w:r>
        <w:t>$$</w:t>
      </w:r>
    </w:p>
    <w:p>
      <w:r>
        <w:t>\operatorname{BlockerPrecision}(s,m)</w:t>
      </w:r>
    </w:p>
    <w:p>
      <w:r>
        <w:t>=</w:t>
      </w:r>
    </w:p>
    <w:p>
      <w:r>
        <w:t>\mathbf{1}\{</w:t>
      </w:r>
    </w:p>
    <w:p>
      <w:r>
        <w:t>fallback_{s,\pi_s^m(1)}</w:t>
      </w:r>
    </w:p>
    <w:p>
      <w:r>
        <w:t>=</w:t>
      </w:r>
    </w:p>
    <w:p>
      <w:r>
        <w:t>fallback_{s,\pi_s^\star(1)}</w:t>
      </w:r>
    </w:p>
    <w:p>
      <w:r>
        <w:t>\}.</w:t>
      </w:r>
    </w:p>
    <w:p>
      <w:r>
        <w:t>$$</w:t>
      </w:r>
    </w:p>
    <w:p>
      <w:r>
        <w:t>The review-trigger rate summarizes manual-review or uncertain-match signals in the top five, and missing-data behavior records plans dropped because of incomplete evidence and scenarios containing unknown network data. These metrics are reported alongside ranking agreement because, in this domain, a better NDCG score is not sufficient if the top list increases uncovered-medication burden or hides evidence gaps.</w:t>
      </w:r>
    </w:p>
    <w:p>
      <w:r>
        <w:t>Guardrails were defined prospectively:</w:t>
      </w:r>
    </w:p>
    <w:p>
      <w:pPr>
        <w:pStyle w:val="ListBullet"/>
      </w:pPr>
      <w:r>
        <w:t>top-5 ranking should improve;</w:t>
      </w:r>
    </w:p>
    <w:p>
      <w:pPr>
        <w:pStyle w:val="ListBullet"/>
      </w:pPr>
      <w:r>
        <w:t>top-10 ranking should improve;</w:t>
      </w:r>
    </w:p>
    <w:p>
      <w:pPr>
        <w:pStyle w:val="ListBullet"/>
      </w:pPr>
      <w:r>
        <w:t>uncovered-medication burden should not worsen.</w:t>
      </w:r>
    </w:p>
    <w:p>
      <w:r>
        <w:t>The last guardrail is especially important because improved ranking agreement is not clinically or operationally meaningful if it increases exposure to uncovered drugs. These aggregate evaluation procedures are complemented by concrete prescription-case retrieval, which makes the phase-by-phase flow visible to reviewers in terms of actual recommendation outputs rather than only summary metrics.</w:t>
      </w:r>
    </w:p>
    <w:p>
      <w:pPr>
        <w:pStyle w:val="Heading3"/>
      </w:pPr>
      <w:r>
        <w:t>4.6 Multi-case retrieval protocol</w:t>
      </w:r>
    </w:p>
    <w:p>
      <w:r>
        <w:t>To make the overall research flow concrete for readers, we ran eight prescription samples through the current local recommendation engine. These cases were designed as functional probes of the pipeline shown in Section 4.1 rather than as clinical recommendations. They vary scenario profile, drug count, ZIP, pharmacy preference, LIS status, drug cost intensity, restriction burden, and network sensitivity. All cases used age band 65-74, user role counselor, automatic 2025 benefit-design selection, and both rules-only and hybrid ranking.</w:t>
      </w:r>
    </w:p>
    <w:p>
      <w:r>
        <w:t>The cases were selected to stress different parts of the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Case</w:t>
            </w:r>
          </w:p>
        </w:tc>
        <w:tc>
          <w:tcPr>
            <w:tcW w:type="dxa" w:w="2160"/>
          </w:tcPr>
          <w:p>
            <w:r>
              <w:rPr>
                <w:rFonts w:ascii="Times New Roman" w:hAnsi="Times New Roman"/>
                <w:b/>
                <w:sz w:val="18"/>
              </w:rPr>
              <w:t>Intended workflow stress test</w:t>
            </w:r>
          </w:p>
        </w:tc>
        <w:tc>
          <w:tcPr>
            <w:tcW w:type="dxa" w:w="2160"/>
          </w:tcPr>
          <w:p>
            <w:r>
              <w:rPr>
                <w:rFonts w:ascii="Times New Roman" w:hAnsi="Times New Roman"/>
                <w:b/>
                <w:sz w:val="18"/>
              </w:rPr>
              <w:t>Request context</w:t>
            </w:r>
          </w:p>
        </w:tc>
        <w:tc>
          <w:tcPr>
            <w:tcW w:type="dxa" w:w="2160"/>
          </w:tcPr>
          <w:p>
            <w:r>
              <w:rPr>
                <w:rFonts w:ascii="Times New Roman" w:hAnsi="Times New Roman"/>
                <w:b/>
                <w:sz w:val="18"/>
              </w:rPr>
              <w:t>Medication inputs</w:t>
            </w:r>
          </w:p>
        </w:tc>
      </w:tr>
      <w:tr>
        <w:tc>
          <w:tcPr>
            <w:tcW w:type="dxa" w:w="2160"/>
          </w:tcPr>
          <w:p>
            <w:r>
              <w:rPr>
                <w:rFonts w:ascii="Times New Roman" w:hAnsi="Times New Roman"/>
                <w:sz w:val="18"/>
              </w:rPr>
              <w:t>Case 1: maintenance generics</w:t>
            </w:r>
          </w:p>
        </w:tc>
        <w:tc>
          <w:tcPr>
            <w:tcW w:type="dxa" w:w="2160"/>
          </w:tcPr>
          <w:p>
            <w:r>
              <w:rPr>
                <w:rFonts w:ascii="Times New Roman" w:hAnsi="Times New Roman"/>
                <w:sz w:val="18"/>
              </w:rPr>
              <w:t>Low-cost chronic generics and 90-day fills</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atorvastatin NDC 60505257908; amlodipine NDC 82009002710; tamsulosin NDC 68382013201</w:t>
            </w:r>
          </w:p>
        </w:tc>
      </w:tr>
      <w:tr>
        <w:tc>
          <w:tcPr>
            <w:tcW w:type="dxa" w:w="2160"/>
          </w:tcPr>
          <w:p>
            <w:r>
              <w:rPr>
                <w:rFonts w:ascii="Times New Roman" w:hAnsi="Times New Roman"/>
                <w:sz w:val="18"/>
              </w:rPr>
              <w:t>Case 2: insulin plus GLP-1</w:t>
            </w:r>
          </w:p>
        </w:tc>
        <w:tc>
          <w:tcPr>
            <w:tcW w:type="dxa" w:w="2160"/>
          </w:tcPr>
          <w:p>
            <w:r>
              <w:rPr>
                <w:rFonts w:ascii="Times New Roman" w:hAnsi="Times New Roman"/>
                <w:sz w:val="18"/>
              </w:rPr>
              <w:t>Exact NDC resolution, insulin handling, high-cost brand therapy, UM flags</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Toujeo NDC 00024586903; Ozempic NDC 00169418113</w:t>
            </w:r>
          </w:p>
        </w:tc>
      </w:tr>
      <w:tr>
        <w:tc>
          <w:tcPr>
            <w:tcW w:type="dxa" w:w="2160"/>
          </w:tcPr>
          <w:p>
            <w:r>
              <w:rPr>
                <w:rFonts w:ascii="Times New Roman" w:hAnsi="Times New Roman"/>
                <w:sz w:val="18"/>
              </w:rPr>
              <w:t>Case 3: specialty plus anticoagulant</w:t>
            </w:r>
          </w:p>
        </w:tc>
        <w:tc>
          <w:tcPr>
            <w:tcW w:type="dxa" w:w="2160"/>
          </w:tcPr>
          <w:p>
            <w:r>
              <w:rPr>
                <w:rFonts w:ascii="Times New Roman" w:hAnsi="Times New Roman"/>
                <w:sz w:val="18"/>
              </w:rPr>
              <w:t>Specialty drug handling, high-cost biologic, brand anticoagulant, network trade-offs</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Humira NDC 00074012402; Eliquis NDC 00003089421</w:t>
            </w:r>
          </w:p>
        </w:tc>
      </w:tr>
      <w:tr>
        <w:tc>
          <w:tcPr>
            <w:tcW w:type="dxa" w:w="2160"/>
          </w:tcPr>
          <w:p>
            <w:r>
              <w:rPr>
                <w:rFonts w:ascii="Times New Roman" w:hAnsi="Times New Roman"/>
                <w:sz w:val="18"/>
              </w:rPr>
              <w:t>Case 4: low-utilizer generic</w:t>
            </w:r>
          </w:p>
        </w:tc>
        <w:tc>
          <w:tcPr>
            <w:tcW w:type="dxa" w:w="2160"/>
          </w:tcPr>
          <w:p>
            <w:r>
              <w:rPr>
                <w:rFonts w:ascii="Times New Roman" w:hAnsi="Times New Roman"/>
                <w:sz w:val="18"/>
              </w:rPr>
              <w:t>Single-drug low-utilizer behavior</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lisinopril NDC 43547035611</w:t>
            </w:r>
          </w:p>
        </w:tc>
      </w:tr>
      <w:tr>
        <w:tc>
          <w:tcPr>
            <w:tcW w:type="dxa" w:w="2160"/>
          </w:tcPr>
          <w:p>
            <w:r>
              <w:rPr>
                <w:rFonts w:ascii="Times New Roman" w:hAnsi="Times New Roman"/>
                <w:sz w:val="18"/>
              </w:rPr>
              <w:t>Case 5: access-sensitive respiratory/retail</w:t>
            </w:r>
          </w:p>
        </w:tc>
        <w:tc>
          <w:tcPr>
            <w:tcW w:type="dxa" w:w="2160"/>
          </w:tcPr>
          <w:p>
            <w:r>
              <w:rPr>
                <w:rFonts w:ascii="Times New Roman" w:hAnsi="Times New Roman"/>
                <w:sz w:val="18"/>
              </w:rPr>
              <w:t>Retail preference and respiratory-medication access</w:t>
            </w:r>
          </w:p>
        </w:tc>
        <w:tc>
          <w:tcPr>
            <w:tcW w:type="dxa" w:w="2160"/>
          </w:tcPr>
          <w:p>
            <w:r>
              <w:rPr>
                <w:rFonts w:ascii="Times New Roman" w:hAnsi="Times New Roman"/>
                <w:sz w:val="18"/>
              </w:rPr>
              <w:t>ZIP 93543, LIS none, pharmacy retail</w:t>
            </w:r>
          </w:p>
        </w:tc>
        <w:tc>
          <w:tcPr>
            <w:tcW w:type="dxa" w:w="2160"/>
          </w:tcPr>
          <w:p>
            <w:r>
              <w:rPr>
                <w:rFonts w:ascii="Times New Roman" w:hAnsi="Times New Roman"/>
                <w:sz w:val="18"/>
              </w:rPr>
              <w:t>albuterol NDC 76204020025; omeprazole NDC 55111015810</w:t>
            </w:r>
          </w:p>
        </w:tc>
      </w:tr>
      <w:tr>
        <w:tc>
          <w:tcPr>
            <w:tcW w:type="dxa" w:w="2160"/>
          </w:tcPr>
          <w:p>
            <w:r>
              <w:rPr>
                <w:rFonts w:ascii="Times New Roman" w:hAnsi="Times New Roman"/>
                <w:sz w:val="18"/>
              </w:rPr>
              <w:t>Case 6: mixed-restriction cardiometabolic</w:t>
            </w:r>
          </w:p>
        </w:tc>
        <w:tc>
          <w:tcPr>
            <w:tcW w:type="dxa" w:w="2160"/>
          </w:tcPr>
          <w:p>
            <w:r>
              <w:rPr>
                <w:rFonts w:ascii="Times New Roman" w:hAnsi="Times New Roman"/>
                <w:sz w:val="18"/>
              </w:rPr>
              <w:t>Brand/generic cardiometabolic regimen with restrictions</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Jardiance NDC 00597015230; Entresto NDC 00078077720; gabapentin NDC 45963055650</w:t>
            </w:r>
          </w:p>
        </w:tc>
      </w:tr>
      <w:tr>
        <w:tc>
          <w:tcPr>
            <w:tcW w:type="dxa" w:w="2160"/>
          </w:tcPr>
          <w:p>
            <w:r>
              <w:rPr>
                <w:rFonts w:ascii="Times New Roman" w:hAnsi="Times New Roman"/>
                <w:sz w:val="18"/>
              </w:rPr>
              <w:t>Case 7: LIS sensitivity cardiometabolic</w:t>
            </w:r>
          </w:p>
        </w:tc>
        <w:tc>
          <w:tcPr>
            <w:tcW w:type="dxa" w:w="2160"/>
          </w:tcPr>
          <w:p>
            <w:r>
              <w:rPr>
                <w:rFonts w:ascii="Times New Roman" w:hAnsi="Times New Roman"/>
                <w:sz w:val="18"/>
              </w:rPr>
              <w:t>Same regimen as Case 6 with full LIS</w:t>
            </w:r>
          </w:p>
        </w:tc>
        <w:tc>
          <w:tcPr>
            <w:tcW w:type="dxa" w:w="2160"/>
          </w:tcPr>
          <w:p>
            <w:r>
              <w:rPr>
                <w:rFonts w:ascii="Times New Roman" w:hAnsi="Times New Roman"/>
                <w:sz w:val="18"/>
              </w:rPr>
              <w:t>ZIP 90001, LIS full, pharmacy auto</w:t>
            </w:r>
          </w:p>
        </w:tc>
        <w:tc>
          <w:tcPr>
            <w:tcW w:type="dxa" w:w="2160"/>
          </w:tcPr>
          <w:p>
            <w:r>
              <w:rPr>
                <w:rFonts w:ascii="Times New Roman" w:hAnsi="Times New Roman"/>
                <w:sz w:val="18"/>
              </w:rPr>
              <w:t>Jardiance NDC 00597015230; Entresto NDC 00078077720; gabapentin NDC 45963055650</w:t>
            </w:r>
          </w:p>
        </w:tc>
      </w:tr>
      <w:tr>
        <w:tc>
          <w:tcPr>
            <w:tcW w:type="dxa" w:w="2160"/>
          </w:tcPr>
          <w:p>
            <w:r>
              <w:rPr>
                <w:rFonts w:ascii="Times New Roman" w:hAnsi="Times New Roman"/>
                <w:sz w:val="18"/>
              </w:rPr>
              <w:t>Case 8: high-cost specialty stress</w:t>
            </w:r>
          </w:p>
        </w:tc>
        <w:tc>
          <w:tcPr>
            <w:tcW w:type="dxa" w:w="2160"/>
          </w:tcPr>
          <w:p>
            <w:r>
              <w:rPr>
                <w:rFonts w:ascii="Times New Roman" w:hAnsi="Times New Roman"/>
                <w:sz w:val="18"/>
              </w:rPr>
              <w:t>Sparse coverage and very high negotiated-price specialty therapy</w:t>
            </w:r>
          </w:p>
        </w:tc>
        <w:tc>
          <w:tcPr>
            <w:tcW w:type="dxa" w:w="2160"/>
          </w:tcPr>
          <w:p>
            <w:r>
              <w:rPr>
                <w:rFonts w:ascii="Times New Roman" w:hAnsi="Times New Roman"/>
                <w:sz w:val="18"/>
              </w:rPr>
              <w:t>ZIP 90001, LIS none, pharmacy auto</w:t>
            </w:r>
          </w:p>
        </w:tc>
        <w:tc>
          <w:tcPr>
            <w:tcW w:type="dxa" w:w="2160"/>
          </w:tcPr>
          <w:p>
            <w:r>
              <w:rPr>
                <w:rFonts w:ascii="Times New Roman" w:hAnsi="Times New Roman"/>
                <w:sz w:val="18"/>
              </w:rPr>
              <w:t>Rivfloza/nedosiran NDC 00169530610</w:t>
            </w:r>
          </w:p>
        </w:tc>
      </w:tr>
    </w:tbl>
    <w:p>
      <w:r>
        <w:t>For each case, the workflow was:</w:t>
      </w:r>
    </w:p>
    <w:p>
      <w:pPr>
        <w:pStyle w:val="ListNumber"/>
      </w:pPr>
      <w:r>
        <w:t>resolve all medications using exact NDC;</w:t>
      </w:r>
    </w:p>
    <w:p>
      <w:pPr>
        <w:pStyle w:val="ListNumber"/>
      </w:pPr>
      <w:r>
        <w:t>construct the ZIP-specific candidate plan set from gold.plan_service_area;</w:t>
      </w:r>
    </w:p>
    <w:p>
      <w:pPr>
        <w:pStyle w:val="ListNumber"/>
      </w:pPr>
      <w:r>
        <w:t>compute rules-first recommendations and hybrid recommendations;</w:t>
      </w:r>
    </w:p>
    <w:p>
      <w:pPr>
        <w:pStyle w:val="ListNumber"/>
      </w:pPr>
      <w:r>
        <w:t>record candidate counts, full-coverage counts, partial-coverage counts, unknown-network counts, top-ranked plan, annual premium, annual drug OOP, annual total cost, coverage status, network flag, restriction count, uncovered-drug count, priced-drug count, model score, and model confidence;</w:t>
      </w:r>
    </w:p>
    <w:p>
      <w:pPr>
        <w:pStyle w:val="ListNumber"/>
      </w:pPr>
      <w:r>
        <w:t>extract fill-trace fields for the top hybrid plan, including selected channel, negotiated-price proxy, deductible applied, LIS-adjusted OOP, final OOP, OOP-cap flag, and benefit-design branch.</w:t>
      </w:r>
    </w:p>
    <w:p>
      <w:r>
        <w:t>The higher-risk cases used NDCs intentionally. During pilot execution, text-only high-impact drug inputs could trigger the system's manual-review guardrail because typed drug strings may have multiple possible matches and uneven local coverage. That behavior is part of the intended safety design: ambiguous high-impact drug matching should stop ranking until an exact drug identity is supplied.</w:t>
      </w:r>
    </w:p>
    <w:p>
      <w:pPr>
        <w:pStyle w:val="Heading2"/>
      </w:pPr>
      <w:r>
        <w:t>5. Results</w:t>
      </w:r>
    </w:p>
    <w:p>
      <w:pPr>
        <w:pStyle w:val="Heading3"/>
      </w:pPr>
      <w:r>
        <w:t>5.1 Artifact characteristics</w:t>
      </w:r>
    </w:p>
    <w:p>
      <w:r>
        <w:t>The current 2025-Q3 full artifact contains:</w:t>
      </w:r>
    </w:p>
    <w:p>
      <w:pPr>
        <w:pStyle w:val="ListBullet"/>
      </w:pPr>
      <w:r>
        <w:t>33,961 plan-scenario rows;</w:t>
      </w:r>
    </w:p>
    <w:p>
      <w:pPr>
        <w:pStyle w:val="ListBullet"/>
      </w:pPr>
      <w:r>
        <w:t>600 scenarios;</w:t>
      </w:r>
    </w:p>
    <w:p>
      <w:pPr>
        <w:pStyle w:val="ListBullet"/>
      </w:pPr>
      <w:r>
        <w:t>100 ZIP codes;</w:t>
      </w:r>
    </w:p>
    <w:p>
      <w:pPr>
        <w:pStyle w:val="ListBullet"/>
      </w:pPr>
      <w:r>
        <w:t>460 regimen signatures;</w:t>
      </w:r>
    </w:p>
    <w:p>
      <w:pPr>
        <w:pStyle w:val="ListBullet"/>
      </w:pPr>
      <w:r>
        <w:t>551 unique NDCs;</w:t>
      </w:r>
    </w:p>
    <w:p>
      <w:pPr>
        <w:pStyle w:val="ListBullet"/>
      </w:pPr>
      <w:r>
        <w:t>88 completed dataset chunks;</w:t>
      </w:r>
    </w:p>
    <w:p>
      <w:pPr>
        <w:pStyle w:val="ListBullet"/>
      </w:pPr>
      <w:r>
        <w:t>balanced representation across six scenario bundles.</w:t>
      </w:r>
    </w:p>
    <w:p>
      <w:r>
        <w:t>These counts reflect the actual local metadata artifact rather than a proposal for future evaluation.</w:t>
      </w:r>
    </w:p>
    <w:p>
      <w:pPr>
        <w:pStyle w:val="Heading3"/>
      </w:pPr>
      <w:r>
        <w:t>5.2 Main ranking results</w:t>
      </w:r>
    </w:p>
    <w:p>
      <w:r>
        <w:rPr>
          <w:b/>
        </w:rPr>
        <w:t>Table 3. Main held-out-by-scenario ranking results.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b/>
                <w:sz w:val="18"/>
              </w:rPr>
              <w:t>System</w:t>
            </w:r>
          </w:p>
        </w:tc>
        <w:tc>
          <w:tcPr>
            <w:tcW w:type="dxa" w:w="864"/>
          </w:tcPr>
          <w:p>
            <w:r>
              <w:rPr>
                <w:rFonts w:ascii="Times New Roman" w:hAnsi="Times New Roman"/>
                <w:b/>
                <w:sz w:val="18"/>
              </w:rPr>
              <w:t>Top-1 agreement</w:t>
            </w:r>
          </w:p>
        </w:tc>
        <w:tc>
          <w:tcPr>
            <w:tcW w:type="dxa" w:w="864"/>
          </w:tcPr>
          <w:p>
            <w:r>
              <w:rPr>
                <w:rFonts w:ascii="Times New Roman" w:hAnsi="Times New Roman"/>
                <w:b/>
                <w:sz w:val="18"/>
              </w:rPr>
              <w:t>Top-5 overlap</w:t>
            </w:r>
          </w:p>
        </w:tc>
        <w:tc>
          <w:tcPr>
            <w:tcW w:type="dxa" w:w="864"/>
          </w:tcPr>
          <w:p>
            <w:r>
              <w:rPr>
                <w:rFonts w:ascii="Times New Roman" w:hAnsi="Times New Roman"/>
                <w:b/>
                <w:sz w:val="18"/>
              </w:rPr>
              <w:t>Top-10 overlap</w:t>
            </w:r>
          </w:p>
        </w:tc>
        <w:tc>
          <w:tcPr>
            <w:tcW w:type="dxa" w:w="864"/>
          </w:tcPr>
          <w:p>
            <w:r>
              <w:rPr>
                <w:rFonts w:ascii="Times New Roman" w:hAnsi="Times New Roman"/>
                <w:b/>
                <w:sz w:val="18"/>
              </w:rPr>
              <w:t>NDCG@5</w:t>
            </w:r>
          </w:p>
        </w:tc>
        <w:tc>
          <w:tcPr>
            <w:tcW w:type="dxa" w:w="864"/>
          </w:tcPr>
          <w:p>
            <w:r>
              <w:rPr>
                <w:rFonts w:ascii="Times New Roman" w:hAnsi="Times New Roman"/>
                <w:b/>
                <w:sz w:val="18"/>
              </w:rPr>
              <w:t>NDCG@10</w:t>
            </w:r>
          </w:p>
        </w:tc>
        <w:tc>
          <w:tcPr>
            <w:tcW w:type="dxa" w:w="864"/>
          </w:tcPr>
          <w:p>
            <w:r>
              <w:rPr>
                <w:rFonts w:ascii="Times New Roman" w:hAnsi="Times New Roman"/>
                <w:b/>
                <w:sz w:val="18"/>
              </w:rPr>
              <w:t>Top-5 full coverage</w:t>
            </w:r>
          </w:p>
        </w:tc>
        <w:tc>
          <w:tcPr>
            <w:tcW w:type="dxa" w:w="864"/>
          </w:tcPr>
          <w:p>
            <w:r>
              <w:rPr>
                <w:rFonts w:ascii="Times New Roman" w:hAnsi="Times New Roman"/>
                <w:b/>
                <w:sz w:val="18"/>
              </w:rPr>
              <w:t>Top-5 avg total cost</w:t>
            </w:r>
          </w:p>
        </w:tc>
        <w:tc>
          <w:tcPr>
            <w:tcW w:type="dxa" w:w="864"/>
          </w:tcPr>
          <w:p>
            <w:r>
              <w:rPr>
                <w:rFonts w:ascii="Times New Roman" w:hAnsi="Times New Roman"/>
                <w:b/>
                <w:sz w:val="18"/>
              </w:rPr>
              <w:t>Top-5 avg uncovered</w:t>
            </w:r>
          </w:p>
        </w:tc>
        <w:tc>
          <w:tcPr>
            <w:tcW w:type="dxa" w:w="864"/>
          </w:tcPr>
          <w:p>
            <w:r>
              <w:rPr>
                <w:rFonts w:ascii="Times New Roman" w:hAnsi="Times New Roman"/>
                <w:b/>
                <w:sz w:val="18"/>
              </w:rPr>
              <w:t>Blocker precision</w:t>
            </w:r>
          </w:p>
        </w:tc>
      </w:tr>
      <w:tr>
        <w:tc>
          <w:tcPr>
            <w:tcW w:type="dxa" w:w="864"/>
          </w:tcPr>
          <w:p>
            <w:r>
              <w:rPr>
                <w:rFonts w:ascii="Times New Roman" w:hAnsi="Times New Roman"/>
                <w:sz w:val="18"/>
              </w:rPr>
              <w:t>Rules only</w:t>
            </w:r>
          </w:p>
        </w:tc>
        <w:tc>
          <w:tcPr>
            <w:tcW w:type="dxa" w:w="864"/>
          </w:tcPr>
          <w:p>
            <w:r>
              <w:rPr>
                <w:rFonts w:ascii="Times New Roman" w:hAnsi="Times New Roman"/>
                <w:sz w:val="18"/>
              </w:rPr>
              <w:t>0.622</w:t>
            </w:r>
          </w:p>
        </w:tc>
        <w:tc>
          <w:tcPr>
            <w:tcW w:type="dxa" w:w="864"/>
          </w:tcPr>
          <w:p>
            <w:r>
              <w:rPr>
                <w:rFonts w:ascii="Times New Roman" w:hAnsi="Times New Roman"/>
                <w:sz w:val="18"/>
              </w:rPr>
              <w:t>0.698</w:t>
            </w:r>
          </w:p>
        </w:tc>
        <w:tc>
          <w:tcPr>
            <w:tcW w:type="dxa" w:w="864"/>
          </w:tcPr>
          <w:p>
            <w:r>
              <w:rPr>
                <w:rFonts w:ascii="Times New Roman" w:hAnsi="Times New Roman"/>
                <w:sz w:val="18"/>
              </w:rPr>
              <w:t>0.786</w:t>
            </w:r>
          </w:p>
        </w:tc>
        <w:tc>
          <w:tcPr>
            <w:tcW w:type="dxa" w:w="864"/>
          </w:tcPr>
          <w:p>
            <w:r>
              <w:rPr>
                <w:rFonts w:ascii="Times New Roman" w:hAnsi="Times New Roman"/>
                <w:sz w:val="18"/>
              </w:rPr>
              <w:t>0.830</w:t>
            </w:r>
          </w:p>
        </w:tc>
        <w:tc>
          <w:tcPr>
            <w:tcW w:type="dxa" w:w="864"/>
          </w:tcPr>
          <w:p>
            <w:r>
              <w:rPr>
                <w:rFonts w:ascii="Times New Roman" w:hAnsi="Times New Roman"/>
                <w:sz w:val="18"/>
              </w:rPr>
              <w:t>0.828</w:t>
            </w:r>
          </w:p>
        </w:tc>
        <w:tc>
          <w:tcPr>
            <w:tcW w:type="dxa" w:w="864"/>
          </w:tcPr>
          <w:p>
            <w:r>
              <w:rPr>
                <w:rFonts w:ascii="Times New Roman" w:hAnsi="Times New Roman"/>
                <w:sz w:val="18"/>
              </w:rPr>
              <w:t>0.660</w:t>
            </w:r>
          </w:p>
        </w:tc>
        <w:tc>
          <w:tcPr>
            <w:tcW w:type="dxa" w:w="864"/>
          </w:tcPr>
          <w:p>
            <w:r>
              <w:rPr>
                <w:rFonts w:ascii="Times New Roman" w:hAnsi="Times New Roman"/>
                <w:sz w:val="18"/>
              </w:rPr>
              <w:t>198.10</w:t>
            </w:r>
          </w:p>
        </w:tc>
        <w:tc>
          <w:tcPr>
            <w:tcW w:type="dxa" w:w="864"/>
          </w:tcPr>
          <w:p>
            <w:r>
              <w:rPr>
                <w:rFonts w:ascii="Times New Roman" w:hAnsi="Times New Roman"/>
                <w:sz w:val="18"/>
              </w:rPr>
              <w:t>0.414</w:t>
            </w:r>
          </w:p>
        </w:tc>
        <w:tc>
          <w:tcPr>
            <w:tcW w:type="dxa" w:w="864"/>
          </w:tcPr>
          <w:p>
            <w:r>
              <w:rPr>
                <w:rFonts w:ascii="Times New Roman" w:hAnsi="Times New Roman"/>
                <w:sz w:val="18"/>
              </w:rPr>
              <w:t>0.950</w:t>
            </w:r>
          </w:p>
        </w:tc>
      </w:tr>
      <w:tr>
        <w:tc>
          <w:tcPr>
            <w:tcW w:type="dxa" w:w="864"/>
          </w:tcPr>
          <w:p>
            <w:r>
              <w:rPr>
                <w:rFonts w:ascii="Times New Roman" w:hAnsi="Times New Roman"/>
                <w:sz w:val="18"/>
              </w:rPr>
              <w:t>Heuristic baseline</w:t>
            </w:r>
          </w:p>
        </w:tc>
        <w:tc>
          <w:tcPr>
            <w:tcW w:type="dxa" w:w="864"/>
          </w:tcPr>
          <w:p>
            <w:r>
              <w:rPr>
                <w:rFonts w:ascii="Times New Roman" w:hAnsi="Times New Roman"/>
                <w:sz w:val="18"/>
              </w:rPr>
              <w:t>0.811</w:t>
            </w:r>
          </w:p>
        </w:tc>
        <w:tc>
          <w:tcPr>
            <w:tcW w:type="dxa" w:w="864"/>
          </w:tcPr>
          <w:p>
            <w:r>
              <w:rPr>
                <w:rFonts w:ascii="Times New Roman" w:hAnsi="Times New Roman"/>
                <w:sz w:val="18"/>
              </w:rPr>
              <w:t>0.899</w:t>
            </w:r>
          </w:p>
        </w:tc>
        <w:tc>
          <w:tcPr>
            <w:tcW w:type="dxa" w:w="864"/>
          </w:tcPr>
          <w:p>
            <w:r>
              <w:rPr>
                <w:rFonts w:ascii="Times New Roman" w:hAnsi="Times New Roman"/>
                <w:sz w:val="18"/>
              </w:rPr>
              <w:t>0.953</w:t>
            </w:r>
          </w:p>
        </w:tc>
        <w:tc>
          <w:tcPr>
            <w:tcW w:type="dxa" w:w="864"/>
          </w:tcPr>
          <w:p>
            <w:r>
              <w:rPr>
                <w:rFonts w:ascii="Times New Roman" w:hAnsi="Times New Roman"/>
                <w:sz w:val="18"/>
              </w:rPr>
              <w:t>0.924</w:t>
            </w:r>
          </w:p>
        </w:tc>
        <w:tc>
          <w:tcPr>
            <w:tcW w:type="dxa" w:w="864"/>
          </w:tcPr>
          <w:p>
            <w:r>
              <w:rPr>
                <w:rFonts w:ascii="Times New Roman" w:hAnsi="Times New Roman"/>
                <w:sz w:val="18"/>
              </w:rPr>
              <w:t>0.920</w:t>
            </w:r>
          </w:p>
        </w:tc>
        <w:tc>
          <w:tcPr>
            <w:tcW w:type="dxa" w:w="864"/>
          </w:tcPr>
          <w:p>
            <w:r>
              <w:rPr>
                <w:rFonts w:ascii="Times New Roman" w:hAnsi="Times New Roman"/>
                <w:sz w:val="18"/>
              </w:rPr>
              <w:t>0.660</w:t>
            </w:r>
          </w:p>
        </w:tc>
        <w:tc>
          <w:tcPr>
            <w:tcW w:type="dxa" w:w="864"/>
          </w:tcPr>
          <w:p>
            <w:r>
              <w:rPr>
                <w:rFonts w:ascii="Times New Roman" w:hAnsi="Times New Roman"/>
                <w:sz w:val="18"/>
              </w:rPr>
              <w:t>81.79</w:t>
            </w:r>
          </w:p>
        </w:tc>
        <w:tc>
          <w:tcPr>
            <w:tcW w:type="dxa" w:w="864"/>
          </w:tcPr>
          <w:p>
            <w:r>
              <w:rPr>
                <w:rFonts w:ascii="Times New Roman" w:hAnsi="Times New Roman"/>
                <w:sz w:val="18"/>
              </w:rPr>
              <w:t>0.463</w:t>
            </w:r>
          </w:p>
        </w:tc>
        <w:tc>
          <w:tcPr>
            <w:tcW w:type="dxa" w:w="864"/>
          </w:tcPr>
          <w:p>
            <w:r>
              <w:rPr>
                <w:rFonts w:ascii="Times New Roman" w:hAnsi="Times New Roman"/>
                <w:sz w:val="18"/>
              </w:rPr>
              <w:t>0.989</w:t>
            </w:r>
          </w:p>
        </w:tc>
      </w:tr>
      <w:tr>
        <w:tc>
          <w:tcPr>
            <w:tcW w:type="dxa" w:w="864"/>
          </w:tcPr>
          <w:p>
            <w:r>
              <w:rPr>
                <w:rFonts w:ascii="Times New Roman" w:hAnsi="Times New Roman"/>
                <w:sz w:val="18"/>
              </w:rPr>
              <w:t>Linear reranker</w:t>
            </w:r>
          </w:p>
        </w:tc>
        <w:tc>
          <w:tcPr>
            <w:tcW w:type="dxa" w:w="864"/>
          </w:tcPr>
          <w:p>
            <w:r>
              <w:rPr>
                <w:rFonts w:ascii="Times New Roman" w:hAnsi="Times New Roman"/>
                <w:sz w:val="18"/>
              </w:rPr>
              <w:t>0.628</w:t>
            </w:r>
          </w:p>
        </w:tc>
        <w:tc>
          <w:tcPr>
            <w:tcW w:type="dxa" w:w="864"/>
          </w:tcPr>
          <w:p>
            <w:r>
              <w:rPr>
                <w:rFonts w:ascii="Times New Roman" w:hAnsi="Times New Roman"/>
                <w:sz w:val="18"/>
              </w:rPr>
              <w:t>0.879</w:t>
            </w:r>
          </w:p>
        </w:tc>
        <w:tc>
          <w:tcPr>
            <w:tcW w:type="dxa" w:w="864"/>
          </w:tcPr>
          <w:p>
            <w:r>
              <w:rPr>
                <w:rFonts w:ascii="Times New Roman" w:hAnsi="Times New Roman"/>
                <w:sz w:val="18"/>
              </w:rPr>
              <w:t>0.919</w:t>
            </w:r>
          </w:p>
        </w:tc>
        <w:tc>
          <w:tcPr>
            <w:tcW w:type="dxa" w:w="864"/>
          </w:tcPr>
          <w:p>
            <w:r>
              <w:rPr>
                <w:rFonts w:ascii="Times New Roman" w:hAnsi="Times New Roman"/>
                <w:sz w:val="18"/>
              </w:rPr>
              <w:t>0.899</w:t>
            </w:r>
          </w:p>
        </w:tc>
        <w:tc>
          <w:tcPr>
            <w:tcW w:type="dxa" w:w="864"/>
          </w:tcPr>
          <w:p>
            <w:r>
              <w:rPr>
                <w:rFonts w:ascii="Times New Roman" w:hAnsi="Times New Roman"/>
                <w:sz w:val="18"/>
              </w:rPr>
              <w:t>0.890</w:t>
            </w:r>
          </w:p>
        </w:tc>
        <w:tc>
          <w:tcPr>
            <w:tcW w:type="dxa" w:w="864"/>
          </w:tcPr>
          <w:p>
            <w:r>
              <w:rPr>
                <w:rFonts w:ascii="Times New Roman" w:hAnsi="Times New Roman"/>
                <w:sz w:val="18"/>
              </w:rPr>
              <w:t>0.660</w:t>
            </w:r>
          </w:p>
        </w:tc>
        <w:tc>
          <w:tcPr>
            <w:tcW w:type="dxa" w:w="864"/>
          </w:tcPr>
          <w:p>
            <w:r>
              <w:rPr>
                <w:rFonts w:ascii="Times New Roman" w:hAnsi="Times New Roman"/>
                <w:sz w:val="18"/>
              </w:rPr>
              <w:t>83.06</w:t>
            </w:r>
          </w:p>
        </w:tc>
        <w:tc>
          <w:tcPr>
            <w:tcW w:type="dxa" w:w="864"/>
          </w:tcPr>
          <w:p>
            <w:r>
              <w:rPr>
                <w:rFonts w:ascii="Times New Roman" w:hAnsi="Times New Roman"/>
                <w:sz w:val="18"/>
              </w:rPr>
              <w:t>0.459</w:t>
            </w:r>
          </w:p>
        </w:tc>
        <w:tc>
          <w:tcPr>
            <w:tcW w:type="dxa" w:w="864"/>
          </w:tcPr>
          <w:p>
            <w:r>
              <w:rPr>
                <w:rFonts w:ascii="Times New Roman" w:hAnsi="Times New Roman"/>
                <w:sz w:val="18"/>
              </w:rPr>
              <w:t>0.994</w:t>
            </w:r>
          </w:p>
        </w:tc>
      </w:tr>
      <w:tr>
        <w:tc>
          <w:tcPr>
            <w:tcW w:type="dxa" w:w="864"/>
          </w:tcPr>
          <w:p>
            <w:r>
              <w:rPr>
                <w:rFonts w:ascii="Times New Roman" w:hAnsi="Times New Roman"/>
                <w:sz w:val="18"/>
              </w:rPr>
              <w:t>Tree reranker</w:t>
            </w:r>
          </w:p>
        </w:tc>
        <w:tc>
          <w:tcPr>
            <w:tcW w:type="dxa" w:w="864"/>
          </w:tcPr>
          <w:p>
            <w:r>
              <w:rPr>
                <w:rFonts w:ascii="Times New Roman" w:hAnsi="Times New Roman"/>
                <w:sz w:val="18"/>
              </w:rPr>
              <w:t>0.861</w:t>
            </w:r>
          </w:p>
        </w:tc>
        <w:tc>
          <w:tcPr>
            <w:tcW w:type="dxa" w:w="864"/>
          </w:tcPr>
          <w:p>
            <w:r>
              <w:rPr>
                <w:rFonts w:ascii="Times New Roman" w:hAnsi="Times New Roman"/>
                <w:sz w:val="18"/>
              </w:rPr>
              <w:t>0.934</w:t>
            </w:r>
          </w:p>
        </w:tc>
        <w:tc>
          <w:tcPr>
            <w:tcW w:type="dxa" w:w="864"/>
          </w:tcPr>
          <w:p>
            <w:r>
              <w:rPr>
                <w:rFonts w:ascii="Times New Roman" w:hAnsi="Times New Roman"/>
                <w:sz w:val="18"/>
              </w:rPr>
              <w:t>0.962</w:t>
            </w:r>
          </w:p>
        </w:tc>
        <w:tc>
          <w:tcPr>
            <w:tcW w:type="dxa" w:w="864"/>
          </w:tcPr>
          <w:p>
            <w:r>
              <w:rPr>
                <w:rFonts w:ascii="Times New Roman" w:hAnsi="Times New Roman"/>
                <w:sz w:val="18"/>
              </w:rPr>
              <w:t>0.953</w:t>
            </w:r>
          </w:p>
        </w:tc>
        <w:tc>
          <w:tcPr>
            <w:tcW w:type="dxa" w:w="864"/>
          </w:tcPr>
          <w:p>
            <w:r>
              <w:rPr>
                <w:rFonts w:ascii="Times New Roman" w:hAnsi="Times New Roman"/>
                <w:sz w:val="18"/>
              </w:rPr>
              <w:t>0.947</w:t>
            </w:r>
          </w:p>
        </w:tc>
        <w:tc>
          <w:tcPr>
            <w:tcW w:type="dxa" w:w="864"/>
          </w:tcPr>
          <w:p>
            <w:r>
              <w:rPr>
                <w:rFonts w:ascii="Times New Roman" w:hAnsi="Times New Roman"/>
                <w:sz w:val="18"/>
              </w:rPr>
              <w:t>0.660</w:t>
            </w:r>
          </w:p>
        </w:tc>
        <w:tc>
          <w:tcPr>
            <w:tcW w:type="dxa" w:w="864"/>
          </w:tcPr>
          <w:p>
            <w:r>
              <w:rPr>
                <w:rFonts w:ascii="Times New Roman" w:hAnsi="Times New Roman"/>
                <w:sz w:val="18"/>
              </w:rPr>
              <w:t>83.07</w:t>
            </w:r>
          </w:p>
        </w:tc>
        <w:tc>
          <w:tcPr>
            <w:tcW w:type="dxa" w:w="864"/>
          </w:tcPr>
          <w:p>
            <w:r>
              <w:rPr>
                <w:rFonts w:ascii="Times New Roman" w:hAnsi="Times New Roman"/>
                <w:sz w:val="18"/>
              </w:rPr>
              <w:t>0.459</w:t>
            </w:r>
          </w:p>
        </w:tc>
        <w:tc>
          <w:tcPr>
            <w:tcW w:type="dxa" w:w="864"/>
          </w:tcPr>
          <w:p>
            <w:r>
              <w:rPr>
                <w:rFonts w:ascii="Times New Roman" w:hAnsi="Times New Roman"/>
                <w:sz w:val="18"/>
              </w:rPr>
              <w:t>0.994</w:t>
            </w:r>
          </w:p>
        </w:tc>
      </w:tr>
    </w:tbl>
    <w:p>
      <w:r>
        <w:t>The tree reranker improved top-1 agreement by 0.239 absolute points relative to rules-only ranking, improved top-5 overlap by 0.237 absolute points, and improved NDCG@5 by 0.123 absolute points. Relative to the heuristic baseline, the tree reranker improved top-1 agreement, top-5 overlap, top-10 overlap, and NDCG while maintaining similar average top-5 total cost.</w:t>
      </w:r>
    </w:p>
    <w:p>
      <w:r>
        <w:t>The current artifact also reports ZIP-held-out and regimen-signature-held-out evaluation modes. These secondary modes are not substitutes for an external comparator, but they test whether the same pattern appears under geographic novelty and medication-regimen novelty. The secondary held-out table summarizes the comparison between rules-only and tree reranking across the three held-out modes.</w:t>
      </w:r>
    </w:p>
    <w:p>
      <w:r>
        <w:rPr>
          <w:b/>
        </w:rPr>
        <w:t>Secondary held-out evaluation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Held-out mode</w:t>
            </w:r>
          </w:p>
        </w:tc>
        <w:tc>
          <w:tcPr>
            <w:tcW w:type="dxa" w:w="1234"/>
          </w:tcPr>
          <w:p>
            <w:r>
              <w:rPr>
                <w:rFonts w:ascii="Times New Roman" w:hAnsi="Times New Roman"/>
                <w:b/>
                <w:sz w:val="18"/>
              </w:rPr>
              <w:t>Rules top-1</w:t>
            </w:r>
          </w:p>
        </w:tc>
        <w:tc>
          <w:tcPr>
            <w:tcW w:type="dxa" w:w="1234"/>
          </w:tcPr>
          <w:p>
            <w:r>
              <w:rPr>
                <w:rFonts w:ascii="Times New Roman" w:hAnsi="Times New Roman"/>
                <w:b/>
                <w:sz w:val="18"/>
              </w:rPr>
              <w:t>Tree top-1</w:t>
            </w:r>
          </w:p>
        </w:tc>
        <w:tc>
          <w:tcPr>
            <w:tcW w:type="dxa" w:w="1234"/>
          </w:tcPr>
          <w:p>
            <w:r>
              <w:rPr>
                <w:rFonts w:ascii="Times New Roman" w:hAnsi="Times New Roman"/>
                <w:b/>
                <w:sz w:val="18"/>
              </w:rPr>
              <w:t>Rules NDCG@5</w:t>
            </w:r>
          </w:p>
        </w:tc>
        <w:tc>
          <w:tcPr>
            <w:tcW w:type="dxa" w:w="1234"/>
          </w:tcPr>
          <w:p>
            <w:r>
              <w:rPr>
                <w:rFonts w:ascii="Times New Roman" w:hAnsi="Times New Roman"/>
                <w:b/>
                <w:sz w:val="18"/>
              </w:rPr>
              <w:t>Tree NDCG@5</w:t>
            </w:r>
          </w:p>
        </w:tc>
        <w:tc>
          <w:tcPr>
            <w:tcW w:type="dxa" w:w="1234"/>
          </w:tcPr>
          <w:p>
            <w:r>
              <w:rPr>
                <w:rFonts w:ascii="Times New Roman" w:hAnsi="Times New Roman"/>
                <w:b/>
                <w:sz w:val="18"/>
              </w:rPr>
              <w:t>Rules top-5 avg uncovered</w:t>
            </w:r>
          </w:p>
        </w:tc>
        <w:tc>
          <w:tcPr>
            <w:tcW w:type="dxa" w:w="1234"/>
          </w:tcPr>
          <w:p>
            <w:r>
              <w:rPr>
                <w:rFonts w:ascii="Times New Roman" w:hAnsi="Times New Roman"/>
                <w:b/>
                <w:sz w:val="18"/>
              </w:rPr>
              <w:t>Tree top-5 avg uncovered</w:t>
            </w:r>
          </w:p>
        </w:tc>
      </w:tr>
      <w:tr>
        <w:tc>
          <w:tcPr>
            <w:tcW w:type="dxa" w:w="1234"/>
          </w:tcPr>
          <w:p>
            <w:r>
              <w:rPr>
                <w:rFonts w:ascii="Times New Roman" w:hAnsi="Times New Roman"/>
                <w:sz w:val="18"/>
              </w:rPr>
              <w:t>Scenario</w:t>
            </w:r>
          </w:p>
        </w:tc>
        <w:tc>
          <w:tcPr>
            <w:tcW w:type="dxa" w:w="1234"/>
          </w:tcPr>
          <w:p>
            <w:r>
              <w:rPr>
                <w:rFonts w:ascii="Times New Roman" w:hAnsi="Times New Roman"/>
                <w:sz w:val="18"/>
              </w:rPr>
              <w:t>0.622</w:t>
            </w:r>
          </w:p>
        </w:tc>
        <w:tc>
          <w:tcPr>
            <w:tcW w:type="dxa" w:w="1234"/>
          </w:tcPr>
          <w:p>
            <w:r>
              <w:rPr>
                <w:rFonts w:ascii="Times New Roman" w:hAnsi="Times New Roman"/>
                <w:sz w:val="18"/>
              </w:rPr>
              <w:t>0.861</w:t>
            </w:r>
          </w:p>
        </w:tc>
        <w:tc>
          <w:tcPr>
            <w:tcW w:type="dxa" w:w="1234"/>
          </w:tcPr>
          <w:p>
            <w:r>
              <w:rPr>
                <w:rFonts w:ascii="Times New Roman" w:hAnsi="Times New Roman"/>
                <w:sz w:val="18"/>
              </w:rPr>
              <w:t>0.830</w:t>
            </w:r>
          </w:p>
        </w:tc>
        <w:tc>
          <w:tcPr>
            <w:tcW w:type="dxa" w:w="1234"/>
          </w:tcPr>
          <w:p>
            <w:r>
              <w:rPr>
                <w:rFonts w:ascii="Times New Roman" w:hAnsi="Times New Roman"/>
                <w:sz w:val="18"/>
              </w:rPr>
              <w:t>0.953</w:t>
            </w:r>
          </w:p>
        </w:tc>
        <w:tc>
          <w:tcPr>
            <w:tcW w:type="dxa" w:w="1234"/>
          </w:tcPr>
          <w:p>
            <w:r>
              <w:rPr>
                <w:rFonts w:ascii="Times New Roman" w:hAnsi="Times New Roman"/>
                <w:sz w:val="18"/>
              </w:rPr>
              <w:t>0.414</w:t>
            </w:r>
          </w:p>
        </w:tc>
        <w:tc>
          <w:tcPr>
            <w:tcW w:type="dxa" w:w="1234"/>
          </w:tcPr>
          <w:p>
            <w:r>
              <w:rPr>
                <w:rFonts w:ascii="Times New Roman" w:hAnsi="Times New Roman"/>
                <w:sz w:val="18"/>
              </w:rPr>
              <w:t>0.459</w:t>
            </w:r>
          </w:p>
        </w:tc>
      </w:tr>
      <w:tr>
        <w:tc>
          <w:tcPr>
            <w:tcW w:type="dxa" w:w="1234"/>
          </w:tcPr>
          <w:p>
            <w:r>
              <w:rPr>
                <w:rFonts w:ascii="Times New Roman" w:hAnsi="Times New Roman"/>
                <w:sz w:val="18"/>
              </w:rPr>
              <w:t>ZIP</w:t>
            </w:r>
          </w:p>
        </w:tc>
        <w:tc>
          <w:tcPr>
            <w:tcW w:type="dxa" w:w="1234"/>
          </w:tcPr>
          <w:p>
            <w:r>
              <w:rPr>
                <w:rFonts w:ascii="Times New Roman" w:hAnsi="Times New Roman"/>
                <w:sz w:val="18"/>
              </w:rPr>
              <w:t>0.610</w:t>
            </w:r>
          </w:p>
        </w:tc>
        <w:tc>
          <w:tcPr>
            <w:tcW w:type="dxa" w:w="1234"/>
          </w:tcPr>
          <w:p>
            <w:r>
              <w:rPr>
                <w:rFonts w:ascii="Times New Roman" w:hAnsi="Times New Roman"/>
                <w:sz w:val="18"/>
              </w:rPr>
              <w:t>0.893</w:t>
            </w:r>
          </w:p>
        </w:tc>
        <w:tc>
          <w:tcPr>
            <w:tcW w:type="dxa" w:w="1234"/>
          </w:tcPr>
          <w:p>
            <w:r>
              <w:rPr>
                <w:rFonts w:ascii="Times New Roman" w:hAnsi="Times New Roman"/>
                <w:sz w:val="18"/>
              </w:rPr>
              <w:t>0.861</w:t>
            </w:r>
          </w:p>
        </w:tc>
        <w:tc>
          <w:tcPr>
            <w:tcW w:type="dxa" w:w="1234"/>
          </w:tcPr>
          <w:p>
            <w:r>
              <w:rPr>
                <w:rFonts w:ascii="Times New Roman" w:hAnsi="Times New Roman"/>
                <w:sz w:val="18"/>
              </w:rPr>
              <w:t>0.967</w:t>
            </w:r>
          </w:p>
        </w:tc>
        <w:tc>
          <w:tcPr>
            <w:tcW w:type="dxa" w:w="1234"/>
          </w:tcPr>
          <w:p>
            <w:r>
              <w:rPr>
                <w:rFonts w:ascii="Times New Roman" w:hAnsi="Times New Roman"/>
                <w:sz w:val="18"/>
              </w:rPr>
              <w:t>0.480</w:t>
            </w:r>
          </w:p>
        </w:tc>
        <w:tc>
          <w:tcPr>
            <w:tcW w:type="dxa" w:w="1234"/>
          </w:tcPr>
          <w:p>
            <w:r>
              <w:rPr>
                <w:rFonts w:ascii="Times New Roman" w:hAnsi="Times New Roman"/>
                <w:sz w:val="18"/>
              </w:rPr>
              <w:t>0.523</w:t>
            </w:r>
          </w:p>
        </w:tc>
      </w:tr>
      <w:tr>
        <w:tc>
          <w:tcPr>
            <w:tcW w:type="dxa" w:w="1234"/>
          </w:tcPr>
          <w:p>
            <w:r>
              <w:rPr>
                <w:rFonts w:ascii="Times New Roman" w:hAnsi="Times New Roman"/>
                <w:sz w:val="18"/>
              </w:rPr>
              <w:t>Regimen signature</w:t>
            </w:r>
          </w:p>
        </w:tc>
        <w:tc>
          <w:tcPr>
            <w:tcW w:type="dxa" w:w="1234"/>
          </w:tcPr>
          <w:p>
            <w:r>
              <w:rPr>
                <w:rFonts w:ascii="Times New Roman" w:hAnsi="Times New Roman"/>
                <w:sz w:val="18"/>
              </w:rPr>
              <w:t>0.650</w:t>
            </w:r>
          </w:p>
        </w:tc>
        <w:tc>
          <w:tcPr>
            <w:tcW w:type="dxa" w:w="1234"/>
          </w:tcPr>
          <w:p>
            <w:r>
              <w:rPr>
                <w:rFonts w:ascii="Times New Roman" w:hAnsi="Times New Roman"/>
                <w:sz w:val="18"/>
              </w:rPr>
              <w:t>0.864</w:t>
            </w:r>
          </w:p>
        </w:tc>
        <w:tc>
          <w:tcPr>
            <w:tcW w:type="dxa" w:w="1234"/>
          </w:tcPr>
          <w:p>
            <w:r>
              <w:rPr>
                <w:rFonts w:ascii="Times New Roman" w:hAnsi="Times New Roman"/>
                <w:sz w:val="18"/>
              </w:rPr>
              <w:t>0.855</w:t>
            </w:r>
          </w:p>
        </w:tc>
        <w:tc>
          <w:tcPr>
            <w:tcW w:type="dxa" w:w="1234"/>
          </w:tcPr>
          <w:p>
            <w:r>
              <w:rPr>
                <w:rFonts w:ascii="Times New Roman" w:hAnsi="Times New Roman"/>
                <w:sz w:val="18"/>
              </w:rPr>
              <w:t>0.952</w:t>
            </w:r>
          </w:p>
        </w:tc>
        <w:tc>
          <w:tcPr>
            <w:tcW w:type="dxa" w:w="1234"/>
          </w:tcPr>
          <w:p>
            <w:r>
              <w:rPr>
                <w:rFonts w:ascii="Times New Roman" w:hAnsi="Times New Roman"/>
                <w:sz w:val="18"/>
              </w:rPr>
              <w:t>0.364</w:t>
            </w:r>
          </w:p>
        </w:tc>
        <w:tc>
          <w:tcPr>
            <w:tcW w:type="dxa" w:w="1234"/>
          </w:tcPr>
          <w:p>
            <w:r>
              <w:rPr>
                <w:rFonts w:ascii="Times New Roman" w:hAnsi="Times New Roman"/>
                <w:sz w:val="18"/>
              </w:rPr>
              <w:t>0.417</w:t>
            </w:r>
          </w:p>
        </w:tc>
      </w:tr>
    </w:tbl>
    <w:p>
      <w:r>
        <w:t>The same interpretation holds across all three modes. Tree reranking consistently improved ranking agreement and NDCG, but uncovered-drug burden remained higher than the rules-only baseline. This strengthens the manuscript's central safety claim: reranking gain and medication-coverage burden must be reported together.</w:t>
      </w:r>
    </w:p>
    <w:p>
      <w:pPr>
        <w:pStyle w:val="Heading3"/>
      </w:pPr>
      <w:r>
        <w:t>5.3 Comparator interpretation</w:t>
      </w:r>
    </w:p>
    <w:p>
      <w:r>
        <w:t>The results support two distinct claims.</w:t>
      </w:r>
    </w:p>
    <w:p>
      <w:r>
        <w:t>First, the rules engine alone already creates a meaningful decision-support baseline because it is grounded in deterministic plan facts and explicit explanations. Second, constrained reranking can improve ordering quality over that baseline without replacing the underlying evidence model.</w:t>
      </w:r>
    </w:p>
    <w:p>
      <w:r>
        <w:t>The heuristic baseline is important here because it approximates a simpler operational comparator. It performs strongly, especially relative to rules-only ranking, which suggests that practical plan ranking already benefits from obvious cost and coverage heuristics. The tree reranker's value is therefore not that it beats a weak straw-man baseline. Its value is that it improves upon an already strong heuristic comparator while remaining constrained to deterministic evidence rows.</w:t>
      </w:r>
    </w:p>
    <w:p>
      <w:pPr>
        <w:pStyle w:val="Heading3"/>
      </w:pPr>
      <w:r>
        <w:t>5.4 Ablation and sensitivity results</w:t>
      </w:r>
    </w:p>
    <w:p>
      <w:r>
        <w:rPr>
          <w:b/>
        </w:rPr>
        <w:t>Table 4. Ablation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Feature subset</w:t>
            </w:r>
          </w:p>
        </w:tc>
        <w:tc>
          <w:tcPr>
            <w:tcW w:type="dxa" w:w="1234"/>
          </w:tcPr>
          <w:p>
            <w:r>
              <w:rPr>
                <w:rFonts w:ascii="Times New Roman" w:hAnsi="Times New Roman"/>
                <w:b/>
                <w:sz w:val="18"/>
              </w:rPr>
              <w:t>Top-1 agreement</w:t>
            </w:r>
          </w:p>
        </w:tc>
        <w:tc>
          <w:tcPr>
            <w:tcW w:type="dxa" w:w="1234"/>
          </w:tcPr>
          <w:p>
            <w:r>
              <w:rPr>
                <w:rFonts w:ascii="Times New Roman" w:hAnsi="Times New Roman"/>
                <w:b/>
                <w:sz w:val="18"/>
              </w:rPr>
              <w:t>Top-5 overlap</w:t>
            </w:r>
          </w:p>
        </w:tc>
        <w:tc>
          <w:tcPr>
            <w:tcW w:type="dxa" w:w="1234"/>
          </w:tcPr>
          <w:p>
            <w:r>
              <w:rPr>
                <w:rFonts w:ascii="Times New Roman" w:hAnsi="Times New Roman"/>
                <w:b/>
                <w:sz w:val="18"/>
              </w:rPr>
              <w:t>Top-10 overlap</w:t>
            </w:r>
          </w:p>
        </w:tc>
        <w:tc>
          <w:tcPr>
            <w:tcW w:type="dxa" w:w="1234"/>
          </w:tcPr>
          <w:p>
            <w:r>
              <w:rPr>
                <w:rFonts w:ascii="Times New Roman" w:hAnsi="Times New Roman"/>
                <w:b/>
                <w:sz w:val="18"/>
              </w:rPr>
              <w:t>NDCG@5</w:t>
            </w:r>
          </w:p>
        </w:tc>
        <w:tc>
          <w:tcPr>
            <w:tcW w:type="dxa" w:w="1234"/>
          </w:tcPr>
          <w:p>
            <w:r>
              <w:rPr>
                <w:rFonts w:ascii="Times New Roman" w:hAnsi="Times New Roman"/>
                <w:b/>
                <w:sz w:val="18"/>
              </w:rPr>
              <w:t>Top-5 avg total cost</w:t>
            </w:r>
          </w:p>
        </w:tc>
        <w:tc>
          <w:tcPr>
            <w:tcW w:type="dxa" w:w="1234"/>
          </w:tcPr>
          <w:p>
            <w:r>
              <w:rPr>
                <w:rFonts w:ascii="Times New Roman" w:hAnsi="Times New Roman"/>
                <w:b/>
                <w:sz w:val="18"/>
              </w:rPr>
              <w:t>Top-5 avg uncovered</w:t>
            </w:r>
          </w:p>
        </w:tc>
      </w:tr>
      <w:tr>
        <w:tc>
          <w:tcPr>
            <w:tcW w:type="dxa" w:w="1234"/>
          </w:tcPr>
          <w:p>
            <w:r>
              <w:rPr>
                <w:rFonts w:ascii="Times New Roman" w:hAnsi="Times New Roman"/>
                <w:sz w:val="18"/>
              </w:rPr>
              <w:t>Cost only</w:t>
            </w:r>
          </w:p>
        </w:tc>
        <w:tc>
          <w:tcPr>
            <w:tcW w:type="dxa" w:w="1234"/>
          </w:tcPr>
          <w:p>
            <w:r>
              <w:rPr>
                <w:rFonts w:ascii="Times New Roman" w:hAnsi="Times New Roman"/>
                <w:sz w:val="18"/>
              </w:rPr>
              <w:t>0.806</w:t>
            </w:r>
          </w:p>
        </w:tc>
        <w:tc>
          <w:tcPr>
            <w:tcW w:type="dxa" w:w="1234"/>
          </w:tcPr>
          <w:p>
            <w:r>
              <w:rPr>
                <w:rFonts w:ascii="Times New Roman" w:hAnsi="Times New Roman"/>
                <w:sz w:val="18"/>
              </w:rPr>
              <w:t>0.882</w:t>
            </w:r>
          </w:p>
        </w:tc>
        <w:tc>
          <w:tcPr>
            <w:tcW w:type="dxa" w:w="1234"/>
          </w:tcPr>
          <w:p>
            <w:r>
              <w:rPr>
                <w:rFonts w:ascii="Times New Roman" w:hAnsi="Times New Roman"/>
                <w:sz w:val="18"/>
              </w:rPr>
              <w:t>0.935</w:t>
            </w:r>
          </w:p>
        </w:tc>
        <w:tc>
          <w:tcPr>
            <w:tcW w:type="dxa" w:w="1234"/>
          </w:tcPr>
          <w:p>
            <w:r>
              <w:rPr>
                <w:rFonts w:ascii="Times New Roman" w:hAnsi="Times New Roman"/>
                <w:sz w:val="18"/>
              </w:rPr>
              <w:t>0.926</w:t>
            </w:r>
          </w:p>
        </w:tc>
        <w:tc>
          <w:tcPr>
            <w:tcW w:type="dxa" w:w="1234"/>
          </w:tcPr>
          <w:p>
            <w:r>
              <w:rPr>
                <w:rFonts w:ascii="Times New Roman" w:hAnsi="Times New Roman"/>
                <w:sz w:val="18"/>
              </w:rPr>
              <w:t>80.75</w:t>
            </w:r>
          </w:p>
        </w:tc>
        <w:tc>
          <w:tcPr>
            <w:tcW w:type="dxa" w:w="1234"/>
          </w:tcPr>
          <w:p>
            <w:r>
              <w:rPr>
                <w:rFonts w:ascii="Times New Roman" w:hAnsi="Times New Roman"/>
                <w:sz w:val="18"/>
              </w:rPr>
              <w:t>0.469</w:t>
            </w:r>
          </w:p>
        </w:tc>
      </w:tr>
      <w:tr>
        <w:tc>
          <w:tcPr>
            <w:tcW w:type="dxa" w:w="1234"/>
          </w:tcPr>
          <w:p>
            <w:r>
              <w:rPr>
                <w:rFonts w:ascii="Times New Roman" w:hAnsi="Times New Roman"/>
                <w:sz w:val="18"/>
              </w:rPr>
              <w:t>Cost plus restrictions</w:t>
            </w:r>
          </w:p>
        </w:tc>
        <w:tc>
          <w:tcPr>
            <w:tcW w:type="dxa" w:w="1234"/>
          </w:tcPr>
          <w:p>
            <w:r>
              <w:rPr>
                <w:rFonts w:ascii="Times New Roman" w:hAnsi="Times New Roman"/>
                <w:sz w:val="18"/>
              </w:rPr>
              <w:t>0.833</w:t>
            </w:r>
          </w:p>
        </w:tc>
        <w:tc>
          <w:tcPr>
            <w:tcW w:type="dxa" w:w="1234"/>
          </w:tcPr>
          <w:p>
            <w:r>
              <w:rPr>
                <w:rFonts w:ascii="Times New Roman" w:hAnsi="Times New Roman"/>
                <w:sz w:val="18"/>
              </w:rPr>
              <w:t>0.903</w:t>
            </w:r>
          </w:p>
        </w:tc>
        <w:tc>
          <w:tcPr>
            <w:tcW w:type="dxa" w:w="1234"/>
          </w:tcPr>
          <w:p>
            <w:r>
              <w:rPr>
                <w:rFonts w:ascii="Times New Roman" w:hAnsi="Times New Roman"/>
                <w:sz w:val="18"/>
              </w:rPr>
              <w:t>0.954</w:t>
            </w:r>
          </w:p>
        </w:tc>
        <w:tc>
          <w:tcPr>
            <w:tcW w:type="dxa" w:w="1234"/>
          </w:tcPr>
          <w:p>
            <w:r>
              <w:rPr>
                <w:rFonts w:ascii="Times New Roman" w:hAnsi="Times New Roman"/>
                <w:sz w:val="18"/>
              </w:rPr>
              <w:t>0.937</w:t>
            </w:r>
          </w:p>
        </w:tc>
        <w:tc>
          <w:tcPr>
            <w:tcW w:type="dxa" w:w="1234"/>
          </w:tcPr>
          <w:p>
            <w:r>
              <w:rPr>
                <w:rFonts w:ascii="Times New Roman" w:hAnsi="Times New Roman"/>
                <w:sz w:val="18"/>
              </w:rPr>
              <w:t>82.57</w:t>
            </w:r>
          </w:p>
        </w:tc>
        <w:tc>
          <w:tcPr>
            <w:tcW w:type="dxa" w:w="1234"/>
          </w:tcPr>
          <w:p>
            <w:r>
              <w:rPr>
                <w:rFonts w:ascii="Times New Roman" w:hAnsi="Times New Roman"/>
                <w:sz w:val="18"/>
              </w:rPr>
              <w:t>0.460</w:t>
            </w:r>
          </w:p>
        </w:tc>
      </w:tr>
      <w:tr>
        <w:tc>
          <w:tcPr>
            <w:tcW w:type="dxa" w:w="1234"/>
          </w:tcPr>
          <w:p>
            <w:r>
              <w:rPr>
                <w:rFonts w:ascii="Times New Roman" w:hAnsi="Times New Roman"/>
                <w:sz w:val="18"/>
              </w:rPr>
              <w:t>Cost plus restrictions plus network</w:t>
            </w:r>
          </w:p>
        </w:tc>
        <w:tc>
          <w:tcPr>
            <w:tcW w:type="dxa" w:w="1234"/>
          </w:tcPr>
          <w:p>
            <w:r>
              <w:rPr>
                <w:rFonts w:ascii="Times New Roman" w:hAnsi="Times New Roman"/>
                <w:sz w:val="18"/>
              </w:rPr>
              <w:t>0.872</w:t>
            </w:r>
          </w:p>
        </w:tc>
        <w:tc>
          <w:tcPr>
            <w:tcW w:type="dxa" w:w="1234"/>
          </w:tcPr>
          <w:p>
            <w:r>
              <w:rPr>
                <w:rFonts w:ascii="Times New Roman" w:hAnsi="Times New Roman"/>
                <w:sz w:val="18"/>
              </w:rPr>
              <w:t>0.950</w:t>
            </w:r>
          </w:p>
        </w:tc>
        <w:tc>
          <w:tcPr>
            <w:tcW w:type="dxa" w:w="1234"/>
          </w:tcPr>
          <w:p>
            <w:r>
              <w:rPr>
                <w:rFonts w:ascii="Times New Roman" w:hAnsi="Times New Roman"/>
                <w:sz w:val="18"/>
              </w:rPr>
              <w:t>0.973</w:t>
            </w:r>
          </w:p>
        </w:tc>
        <w:tc>
          <w:tcPr>
            <w:tcW w:type="dxa" w:w="1234"/>
          </w:tcPr>
          <w:p>
            <w:r>
              <w:rPr>
                <w:rFonts w:ascii="Times New Roman" w:hAnsi="Times New Roman"/>
                <w:sz w:val="18"/>
              </w:rPr>
              <w:t>0.960</w:t>
            </w:r>
          </w:p>
        </w:tc>
        <w:tc>
          <w:tcPr>
            <w:tcW w:type="dxa" w:w="1234"/>
          </w:tcPr>
          <w:p>
            <w:r>
              <w:rPr>
                <w:rFonts w:ascii="Times New Roman" w:hAnsi="Times New Roman"/>
                <w:sz w:val="18"/>
              </w:rPr>
              <w:t>82.99</w:t>
            </w:r>
          </w:p>
        </w:tc>
        <w:tc>
          <w:tcPr>
            <w:tcW w:type="dxa" w:w="1234"/>
          </w:tcPr>
          <w:p>
            <w:r>
              <w:rPr>
                <w:rFonts w:ascii="Times New Roman" w:hAnsi="Times New Roman"/>
                <w:sz w:val="18"/>
              </w:rPr>
              <w:t>0.459</w:t>
            </w:r>
          </w:p>
        </w:tc>
      </w:tr>
      <w:tr>
        <w:tc>
          <w:tcPr>
            <w:tcW w:type="dxa" w:w="1234"/>
          </w:tcPr>
          <w:p>
            <w:r>
              <w:rPr>
                <w:rFonts w:ascii="Times New Roman" w:hAnsi="Times New Roman"/>
                <w:sz w:val="18"/>
              </w:rPr>
              <w:t>Full feature set</w:t>
            </w:r>
          </w:p>
        </w:tc>
        <w:tc>
          <w:tcPr>
            <w:tcW w:type="dxa" w:w="1234"/>
          </w:tcPr>
          <w:p>
            <w:r>
              <w:rPr>
                <w:rFonts w:ascii="Times New Roman" w:hAnsi="Times New Roman"/>
                <w:sz w:val="18"/>
              </w:rPr>
              <w:t>0.867</w:t>
            </w:r>
          </w:p>
        </w:tc>
        <w:tc>
          <w:tcPr>
            <w:tcW w:type="dxa" w:w="1234"/>
          </w:tcPr>
          <w:p>
            <w:r>
              <w:rPr>
                <w:rFonts w:ascii="Times New Roman" w:hAnsi="Times New Roman"/>
                <w:sz w:val="18"/>
              </w:rPr>
              <w:t>0.940</w:t>
            </w:r>
          </w:p>
        </w:tc>
        <w:tc>
          <w:tcPr>
            <w:tcW w:type="dxa" w:w="1234"/>
          </w:tcPr>
          <w:p>
            <w:r>
              <w:rPr>
                <w:rFonts w:ascii="Times New Roman" w:hAnsi="Times New Roman"/>
                <w:sz w:val="18"/>
              </w:rPr>
              <w:t>0.971</w:t>
            </w:r>
          </w:p>
        </w:tc>
        <w:tc>
          <w:tcPr>
            <w:tcW w:type="dxa" w:w="1234"/>
          </w:tcPr>
          <w:p>
            <w:r>
              <w:rPr>
                <w:rFonts w:ascii="Times New Roman" w:hAnsi="Times New Roman"/>
                <w:sz w:val="18"/>
              </w:rPr>
              <w:t>0.957</w:t>
            </w:r>
          </w:p>
        </w:tc>
        <w:tc>
          <w:tcPr>
            <w:tcW w:type="dxa" w:w="1234"/>
          </w:tcPr>
          <w:p>
            <w:r>
              <w:rPr>
                <w:rFonts w:ascii="Times New Roman" w:hAnsi="Times New Roman"/>
                <w:sz w:val="18"/>
              </w:rPr>
              <w:t>82.94</w:t>
            </w:r>
          </w:p>
        </w:tc>
        <w:tc>
          <w:tcPr>
            <w:tcW w:type="dxa" w:w="1234"/>
          </w:tcPr>
          <w:p>
            <w:r>
              <w:rPr>
                <w:rFonts w:ascii="Times New Roman" w:hAnsi="Times New Roman"/>
                <w:sz w:val="18"/>
              </w:rPr>
              <w:t>0.459</w:t>
            </w:r>
          </w:p>
        </w:tc>
      </w:tr>
    </w:tbl>
    <w:p>
      <w:r>
        <w:t>The ablation analysis shows that cost, restriction, and network information account for most of the learnable signal. This is a favorable result for reviewer interpretability because it means the model's performance is not dependent on a large opaque feature space. A relatively compact and explainable subset already captures most of the gain.</w:t>
      </w:r>
    </w:p>
    <w:p>
      <w:r>
        <w:t>The fact that the cost-plus-restrictions-plus-network subset slightly outperformed the nominal full feature set on some metrics is also informative. It suggests that model complexity should be justified conservatively in this domain.</w:t>
      </w:r>
    </w:p>
    <w:p>
      <w:pPr>
        <w:pStyle w:val="Heading3"/>
      </w:pPr>
      <w:r>
        <w:t>5.5 Scenario-bundle results</w:t>
      </w:r>
    </w:p>
    <w:p>
      <w:r>
        <w:rPr>
          <w:b/>
        </w:rPr>
        <w:t>Table 5. Tree-reranker performance by scenario bundle.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Scenario bundle</w:t>
            </w:r>
          </w:p>
        </w:tc>
        <w:tc>
          <w:tcPr>
            <w:tcW w:type="dxa" w:w="1234"/>
          </w:tcPr>
          <w:p>
            <w:r>
              <w:rPr>
                <w:rFonts w:ascii="Times New Roman" w:hAnsi="Times New Roman"/>
                <w:b/>
                <w:sz w:val="18"/>
              </w:rPr>
              <w:t>Top-1 agreement</w:t>
            </w:r>
          </w:p>
        </w:tc>
        <w:tc>
          <w:tcPr>
            <w:tcW w:type="dxa" w:w="1234"/>
          </w:tcPr>
          <w:p>
            <w:r>
              <w:rPr>
                <w:rFonts w:ascii="Times New Roman" w:hAnsi="Times New Roman"/>
                <w:b/>
                <w:sz w:val="18"/>
              </w:rPr>
              <w:t>Top-5 overlap</w:t>
            </w:r>
          </w:p>
        </w:tc>
        <w:tc>
          <w:tcPr>
            <w:tcW w:type="dxa" w:w="1234"/>
          </w:tcPr>
          <w:p>
            <w:r>
              <w:rPr>
                <w:rFonts w:ascii="Times New Roman" w:hAnsi="Times New Roman"/>
                <w:b/>
                <w:sz w:val="18"/>
              </w:rPr>
              <w:t>NDCG@5</w:t>
            </w:r>
          </w:p>
        </w:tc>
        <w:tc>
          <w:tcPr>
            <w:tcW w:type="dxa" w:w="1234"/>
          </w:tcPr>
          <w:p>
            <w:r>
              <w:rPr>
                <w:rFonts w:ascii="Times New Roman" w:hAnsi="Times New Roman"/>
                <w:b/>
                <w:sz w:val="18"/>
              </w:rPr>
              <w:t>Top-5 full coverage</w:t>
            </w:r>
          </w:p>
        </w:tc>
        <w:tc>
          <w:tcPr>
            <w:tcW w:type="dxa" w:w="1234"/>
          </w:tcPr>
          <w:p>
            <w:r>
              <w:rPr>
                <w:rFonts w:ascii="Times New Roman" w:hAnsi="Times New Roman"/>
                <w:b/>
                <w:sz w:val="18"/>
              </w:rPr>
              <w:t>Top-5 avg total cost</w:t>
            </w:r>
          </w:p>
        </w:tc>
        <w:tc>
          <w:tcPr>
            <w:tcW w:type="dxa" w:w="1234"/>
          </w:tcPr>
          <w:p>
            <w:r>
              <w:rPr>
                <w:rFonts w:ascii="Times New Roman" w:hAnsi="Times New Roman"/>
                <w:b/>
                <w:sz w:val="18"/>
              </w:rPr>
              <w:t>Top-5 avg uncovered</w:t>
            </w:r>
          </w:p>
        </w:tc>
      </w:tr>
      <w:tr>
        <w:tc>
          <w:tcPr>
            <w:tcW w:type="dxa" w:w="1234"/>
          </w:tcPr>
          <w:p>
            <w:r>
              <w:rPr>
                <w:rFonts w:ascii="Times New Roman" w:hAnsi="Times New Roman"/>
                <w:sz w:val="18"/>
              </w:rPr>
              <w:t>Access-sensitive</w:t>
            </w:r>
          </w:p>
        </w:tc>
        <w:tc>
          <w:tcPr>
            <w:tcW w:type="dxa" w:w="1234"/>
          </w:tcPr>
          <w:p>
            <w:r>
              <w:rPr>
                <w:rFonts w:ascii="Times New Roman" w:hAnsi="Times New Roman"/>
                <w:sz w:val="18"/>
              </w:rPr>
              <w:t>1.000</w:t>
            </w:r>
          </w:p>
        </w:tc>
        <w:tc>
          <w:tcPr>
            <w:tcW w:type="dxa" w:w="1234"/>
          </w:tcPr>
          <w:p>
            <w:r>
              <w:rPr>
                <w:rFonts w:ascii="Times New Roman" w:hAnsi="Times New Roman"/>
                <w:sz w:val="18"/>
              </w:rPr>
              <w:t>0.979</w:t>
            </w:r>
          </w:p>
        </w:tc>
        <w:tc>
          <w:tcPr>
            <w:tcW w:type="dxa" w:w="1234"/>
          </w:tcPr>
          <w:p>
            <w:r>
              <w:rPr>
                <w:rFonts w:ascii="Times New Roman" w:hAnsi="Times New Roman"/>
                <w:sz w:val="18"/>
              </w:rPr>
              <w:t>1.000</w:t>
            </w:r>
          </w:p>
        </w:tc>
        <w:tc>
          <w:tcPr>
            <w:tcW w:type="dxa" w:w="1234"/>
          </w:tcPr>
          <w:p>
            <w:r>
              <w:rPr>
                <w:rFonts w:ascii="Times New Roman" w:hAnsi="Times New Roman"/>
                <w:sz w:val="18"/>
              </w:rPr>
              <w:t>0.771</w:t>
            </w:r>
          </w:p>
        </w:tc>
        <w:tc>
          <w:tcPr>
            <w:tcW w:type="dxa" w:w="1234"/>
          </w:tcPr>
          <w:p>
            <w:r>
              <w:rPr>
                <w:rFonts w:ascii="Times New Roman" w:hAnsi="Times New Roman"/>
                <w:sz w:val="18"/>
              </w:rPr>
              <w:t>112.81</w:t>
            </w:r>
          </w:p>
        </w:tc>
        <w:tc>
          <w:tcPr>
            <w:tcW w:type="dxa" w:w="1234"/>
          </w:tcPr>
          <w:p>
            <w:r>
              <w:rPr>
                <w:rFonts w:ascii="Times New Roman" w:hAnsi="Times New Roman"/>
                <w:sz w:val="18"/>
              </w:rPr>
              <w:t>0.307</w:t>
            </w:r>
          </w:p>
        </w:tc>
      </w:tr>
      <w:tr>
        <w:tc>
          <w:tcPr>
            <w:tcW w:type="dxa" w:w="1234"/>
          </w:tcPr>
          <w:p>
            <w:r>
              <w:rPr>
                <w:rFonts w:ascii="Times New Roman" w:hAnsi="Times New Roman"/>
                <w:sz w:val="18"/>
              </w:rPr>
              <w:t>Insulin-chronic</w:t>
            </w:r>
          </w:p>
        </w:tc>
        <w:tc>
          <w:tcPr>
            <w:tcW w:type="dxa" w:w="1234"/>
          </w:tcPr>
          <w:p>
            <w:r>
              <w:rPr>
                <w:rFonts w:ascii="Times New Roman" w:hAnsi="Times New Roman"/>
                <w:sz w:val="18"/>
              </w:rPr>
              <w:t>0.886</w:t>
            </w:r>
          </w:p>
        </w:tc>
        <w:tc>
          <w:tcPr>
            <w:tcW w:type="dxa" w:w="1234"/>
          </w:tcPr>
          <w:p>
            <w:r>
              <w:rPr>
                <w:rFonts w:ascii="Times New Roman" w:hAnsi="Times New Roman"/>
                <w:sz w:val="18"/>
              </w:rPr>
              <w:t>0.954</w:t>
            </w:r>
          </w:p>
        </w:tc>
        <w:tc>
          <w:tcPr>
            <w:tcW w:type="dxa" w:w="1234"/>
          </w:tcPr>
          <w:p>
            <w:r>
              <w:rPr>
                <w:rFonts w:ascii="Times New Roman" w:hAnsi="Times New Roman"/>
                <w:sz w:val="18"/>
              </w:rPr>
              <w:t>0.950</w:t>
            </w:r>
          </w:p>
        </w:tc>
        <w:tc>
          <w:tcPr>
            <w:tcW w:type="dxa" w:w="1234"/>
          </w:tcPr>
          <w:p>
            <w:r>
              <w:rPr>
                <w:rFonts w:ascii="Times New Roman" w:hAnsi="Times New Roman"/>
                <w:sz w:val="18"/>
              </w:rPr>
              <w:t>0.909</w:t>
            </w:r>
          </w:p>
        </w:tc>
        <w:tc>
          <w:tcPr>
            <w:tcW w:type="dxa" w:w="1234"/>
          </w:tcPr>
          <w:p>
            <w:r>
              <w:rPr>
                <w:rFonts w:ascii="Times New Roman" w:hAnsi="Times New Roman"/>
                <w:sz w:val="18"/>
              </w:rPr>
              <w:t>40.04</w:t>
            </w:r>
          </w:p>
        </w:tc>
        <w:tc>
          <w:tcPr>
            <w:tcW w:type="dxa" w:w="1234"/>
          </w:tcPr>
          <w:p>
            <w:r>
              <w:rPr>
                <w:rFonts w:ascii="Times New Roman" w:hAnsi="Times New Roman"/>
                <w:sz w:val="18"/>
              </w:rPr>
              <w:t>0.091</w:t>
            </w:r>
          </w:p>
        </w:tc>
      </w:tr>
      <w:tr>
        <w:tc>
          <w:tcPr>
            <w:tcW w:type="dxa" w:w="1234"/>
          </w:tcPr>
          <w:p>
            <w:r>
              <w:rPr>
                <w:rFonts w:ascii="Times New Roman" w:hAnsi="Times New Roman"/>
                <w:sz w:val="18"/>
              </w:rPr>
              <w:t>Low-utilizer</w:t>
            </w:r>
          </w:p>
        </w:tc>
        <w:tc>
          <w:tcPr>
            <w:tcW w:type="dxa" w:w="1234"/>
          </w:tcPr>
          <w:p>
            <w:r>
              <w:rPr>
                <w:rFonts w:ascii="Times New Roman" w:hAnsi="Times New Roman"/>
                <w:sz w:val="18"/>
              </w:rPr>
              <w:t>0.844</w:t>
            </w:r>
          </w:p>
        </w:tc>
        <w:tc>
          <w:tcPr>
            <w:tcW w:type="dxa" w:w="1234"/>
          </w:tcPr>
          <w:p>
            <w:r>
              <w:rPr>
                <w:rFonts w:ascii="Times New Roman" w:hAnsi="Times New Roman"/>
                <w:sz w:val="18"/>
              </w:rPr>
              <w:t>0.938</w:t>
            </w:r>
          </w:p>
        </w:tc>
        <w:tc>
          <w:tcPr>
            <w:tcW w:type="dxa" w:w="1234"/>
          </w:tcPr>
          <w:p>
            <w:r>
              <w:rPr>
                <w:rFonts w:ascii="Times New Roman" w:hAnsi="Times New Roman"/>
                <w:sz w:val="18"/>
              </w:rPr>
              <w:t>0.956</w:t>
            </w:r>
          </w:p>
        </w:tc>
        <w:tc>
          <w:tcPr>
            <w:tcW w:type="dxa" w:w="1234"/>
          </w:tcPr>
          <w:p>
            <w:r>
              <w:rPr>
                <w:rFonts w:ascii="Times New Roman" w:hAnsi="Times New Roman"/>
                <w:sz w:val="18"/>
              </w:rPr>
              <w:t>0.656</w:t>
            </w:r>
          </w:p>
        </w:tc>
        <w:tc>
          <w:tcPr>
            <w:tcW w:type="dxa" w:w="1234"/>
          </w:tcPr>
          <w:p>
            <w:r>
              <w:rPr>
                <w:rFonts w:ascii="Times New Roman" w:hAnsi="Times New Roman"/>
                <w:sz w:val="18"/>
              </w:rPr>
              <w:t>85.75</w:t>
            </w:r>
          </w:p>
        </w:tc>
        <w:tc>
          <w:tcPr>
            <w:tcW w:type="dxa" w:w="1234"/>
          </w:tcPr>
          <w:p>
            <w:r>
              <w:rPr>
                <w:rFonts w:ascii="Times New Roman" w:hAnsi="Times New Roman"/>
                <w:sz w:val="18"/>
              </w:rPr>
              <w:t>0.375</w:t>
            </w:r>
          </w:p>
        </w:tc>
      </w:tr>
      <w:tr>
        <w:tc>
          <w:tcPr>
            <w:tcW w:type="dxa" w:w="1234"/>
          </w:tcPr>
          <w:p>
            <w:r>
              <w:rPr>
                <w:rFonts w:ascii="Times New Roman" w:hAnsi="Times New Roman"/>
                <w:sz w:val="18"/>
              </w:rPr>
              <w:t>Maintenance-generic</w:t>
            </w:r>
          </w:p>
        </w:tc>
        <w:tc>
          <w:tcPr>
            <w:tcW w:type="dxa" w:w="1234"/>
          </w:tcPr>
          <w:p>
            <w:r>
              <w:rPr>
                <w:rFonts w:ascii="Times New Roman" w:hAnsi="Times New Roman"/>
                <w:sz w:val="18"/>
              </w:rPr>
              <w:t>0.762</w:t>
            </w:r>
          </w:p>
        </w:tc>
        <w:tc>
          <w:tcPr>
            <w:tcW w:type="dxa" w:w="1234"/>
          </w:tcPr>
          <w:p>
            <w:r>
              <w:rPr>
                <w:rFonts w:ascii="Times New Roman" w:hAnsi="Times New Roman"/>
                <w:sz w:val="18"/>
              </w:rPr>
              <w:t>0.895</w:t>
            </w:r>
          </w:p>
        </w:tc>
        <w:tc>
          <w:tcPr>
            <w:tcW w:type="dxa" w:w="1234"/>
          </w:tcPr>
          <w:p>
            <w:r>
              <w:rPr>
                <w:rFonts w:ascii="Times New Roman" w:hAnsi="Times New Roman"/>
                <w:sz w:val="18"/>
              </w:rPr>
              <w:t>0.894</w:t>
            </w:r>
          </w:p>
        </w:tc>
        <w:tc>
          <w:tcPr>
            <w:tcW w:type="dxa" w:w="1234"/>
          </w:tcPr>
          <w:p>
            <w:r>
              <w:rPr>
                <w:rFonts w:ascii="Times New Roman" w:hAnsi="Times New Roman"/>
                <w:sz w:val="18"/>
              </w:rPr>
              <w:t>0.790</w:t>
            </w:r>
          </w:p>
        </w:tc>
        <w:tc>
          <w:tcPr>
            <w:tcW w:type="dxa" w:w="1234"/>
          </w:tcPr>
          <w:p>
            <w:r>
              <w:rPr>
                <w:rFonts w:ascii="Times New Roman" w:hAnsi="Times New Roman"/>
                <w:sz w:val="18"/>
              </w:rPr>
              <w:t>90.64</w:t>
            </w:r>
          </w:p>
        </w:tc>
        <w:tc>
          <w:tcPr>
            <w:tcW w:type="dxa" w:w="1234"/>
          </w:tcPr>
          <w:p>
            <w:r>
              <w:rPr>
                <w:rFonts w:ascii="Times New Roman" w:hAnsi="Times New Roman"/>
                <w:sz w:val="18"/>
              </w:rPr>
              <w:t>0.248</w:t>
            </w:r>
          </w:p>
        </w:tc>
      </w:tr>
      <w:tr>
        <w:tc>
          <w:tcPr>
            <w:tcW w:type="dxa" w:w="1234"/>
          </w:tcPr>
          <w:p>
            <w:r>
              <w:rPr>
                <w:rFonts w:ascii="Times New Roman" w:hAnsi="Times New Roman"/>
                <w:sz w:val="18"/>
              </w:rPr>
              <w:t>Mixed-restriction</w:t>
            </w:r>
          </w:p>
        </w:tc>
        <w:tc>
          <w:tcPr>
            <w:tcW w:type="dxa" w:w="1234"/>
          </w:tcPr>
          <w:p>
            <w:r>
              <w:rPr>
                <w:rFonts w:ascii="Times New Roman" w:hAnsi="Times New Roman"/>
                <w:sz w:val="18"/>
              </w:rPr>
              <w:t>0.875</w:t>
            </w:r>
          </w:p>
        </w:tc>
        <w:tc>
          <w:tcPr>
            <w:tcW w:type="dxa" w:w="1234"/>
          </w:tcPr>
          <w:p>
            <w:r>
              <w:rPr>
                <w:rFonts w:ascii="Times New Roman" w:hAnsi="Times New Roman"/>
                <w:sz w:val="18"/>
              </w:rPr>
              <w:t>0.950</w:t>
            </w:r>
          </w:p>
        </w:tc>
        <w:tc>
          <w:tcPr>
            <w:tcW w:type="dxa" w:w="1234"/>
          </w:tcPr>
          <w:p>
            <w:r>
              <w:rPr>
                <w:rFonts w:ascii="Times New Roman" w:hAnsi="Times New Roman"/>
                <w:sz w:val="18"/>
              </w:rPr>
              <w:t>0.980</w:t>
            </w:r>
          </w:p>
        </w:tc>
        <w:tc>
          <w:tcPr>
            <w:tcW w:type="dxa" w:w="1234"/>
          </w:tcPr>
          <w:p>
            <w:r>
              <w:rPr>
                <w:rFonts w:ascii="Times New Roman" w:hAnsi="Times New Roman"/>
                <w:sz w:val="18"/>
              </w:rPr>
              <w:t>0.475</w:t>
            </w:r>
          </w:p>
        </w:tc>
        <w:tc>
          <w:tcPr>
            <w:tcW w:type="dxa" w:w="1234"/>
          </w:tcPr>
          <w:p>
            <w:r>
              <w:rPr>
                <w:rFonts w:ascii="Times New Roman" w:hAnsi="Times New Roman"/>
                <w:sz w:val="18"/>
              </w:rPr>
              <w:t>101.25</w:t>
            </w:r>
          </w:p>
        </w:tc>
        <w:tc>
          <w:tcPr>
            <w:tcW w:type="dxa" w:w="1234"/>
          </w:tcPr>
          <w:p>
            <w:r>
              <w:rPr>
                <w:rFonts w:ascii="Times New Roman" w:hAnsi="Times New Roman"/>
                <w:sz w:val="18"/>
              </w:rPr>
              <w:t>0.775</w:t>
            </w:r>
          </w:p>
        </w:tc>
      </w:tr>
      <w:tr>
        <w:tc>
          <w:tcPr>
            <w:tcW w:type="dxa" w:w="1234"/>
          </w:tcPr>
          <w:p>
            <w:r>
              <w:rPr>
                <w:rFonts w:ascii="Times New Roman" w:hAnsi="Times New Roman"/>
                <w:sz w:val="18"/>
              </w:rPr>
              <w:t>Specialty-high-cost</w:t>
            </w:r>
          </w:p>
        </w:tc>
        <w:tc>
          <w:tcPr>
            <w:tcW w:type="dxa" w:w="1234"/>
          </w:tcPr>
          <w:p>
            <w:r>
              <w:rPr>
                <w:rFonts w:ascii="Times New Roman" w:hAnsi="Times New Roman"/>
                <w:sz w:val="18"/>
              </w:rPr>
              <w:t>0.781</w:t>
            </w:r>
          </w:p>
        </w:tc>
        <w:tc>
          <w:tcPr>
            <w:tcW w:type="dxa" w:w="1234"/>
          </w:tcPr>
          <w:p>
            <w:r>
              <w:rPr>
                <w:rFonts w:ascii="Times New Roman" w:hAnsi="Times New Roman"/>
                <w:sz w:val="18"/>
              </w:rPr>
              <w:t>0.881</w:t>
            </w:r>
          </w:p>
        </w:tc>
        <w:tc>
          <w:tcPr>
            <w:tcW w:type="dxa" w:w="1234"/>
          </w:tcPr>
          <w:p>
            <w:r>
              <w:rPr>
                <w:rFonts w:ascii="Times New Roman" w:hAnsi="Times New Roman"/>
                <w:sz w:val="18"/>
              </w:rPr>
              <w:t>0.923</w:t>
            </w:r>
          </w:p>
        </w:tc>
        <w:tc>
          <w:tcPr>
            <w:tcW w:type="dxa" w:w="1234"/>
          </w:tcPr>
          <w:p>
            <w:r>
              <w:rPr>
                <w:rFonts w:ascii="Times New Roman" w:hAnsi="Times New Roman"/>
                <w:sz w:val="18"/>
              </w:rPr>
              <w:t>0.394</w:t>
            </w:r>
          </w:p>
        </w:tc>
        <w:tc>
          <w:tcPr>
            <w:tcW w:type="dxa" w:w="1234"/>
          </w:tcPr>
          <w:p>
            <w:r>
              <w:rPr>
                <w:rFonts w:ascii="Times New Roman" w:hAnsi="Times New Roman"/>
                <w:sz w:val="18"/>
              </w:rPr>
              <w:t>78.27</w:t>
            </w:r>
          </w:p>
        </w:tc>
        <w:tc>
          <w:tcPr>
            <w:tcW w:type="dxa" w:w="1234"/>
          </w:tcPr>
          <w:p>
            <w:r>
              <w:rPr>
                <w:rFonts w:ascii="Times New Roman" w:hAnsi="Times New Roman"/>
                <w:sz w:val="18"/>
              </w:rPr>
              <w:t>0.900</w:t>
            </w:r>
          </w:p>
        </w:tc>
      </w:tr>
    </w:tbl>
    <w:p>
      <w:r>
        <w:t>Performance was strongest in access-sensitive and insulin-chronic scenarios. It was weaker in specialty-high-cost and maintenance-generic scenarios, where coverage complexity, cost intensity, or restriction burden can make ranking more brittle. These subgroup differences reinforce the need to present recommendation outputs with visible explanation rather than as opaque scores.</w:t>
      </w:r>
    </w:p>
    <w:p>
      <w:pPr>
        <w:pStyle w:val="Heading3"/>
      </w:pPr>
      <w:r>
        <w:t>5.6 Guardrails and incomplete observability</w:t>
      </w:r>
    </w:p>
    <w:p>
      <w:r>
        <w:t>The evaluation artifact indicated that top-5 and top-10 agreement improved, but the uncovered-not-worse guardrail was not fully satisfied. This is a critical reviewer-facing result. The tree reranker improved top-5 overlap from 0.698 to 0.934 and NDCG@5 from 0.830 to 0.953, but average top-5 uncovered-drug burden increased from 0.414 to 0.459. The magnitude is small in aggregate, but it matters because an uncovered medication is not a cosmetic error in this domain. It can change whether the recommendation is usable.</w:t>
      </w:r>
    </w:p>
    <w:p>
      <w:r>
        <w:t>The bundle results show where this risk concentrates. Specialty-high-cost scenarios had the highest top-5 uncovered burden under the tree reranker (0.900), followed by mixed-restriction scenarios (0.775). These are also the bundles where coverage is sparse, utilization management is common, and apparently favorable cost estimates can coexist with access barriers. By contrast, insulin-chronic scenarios had lower top-5 uncovered burden (0.091), suggesting that the current feature and weak-label design is more stable when insulin identity and cost-rule signals are explicit.</w:t>
      </w:r>
    </w:p>
    <w:p>
      <w:r>
        <w:t>This pattern explains why the manuscript treats ranking agreement and guardrails as separate endpoints. Agreement with the weak-label ranking shows that the model learned the study's internal decision logic. The uncovered-medication guardrail shows whether that ordering remains acceptable for decision support. The system should therefore be interpreted as a decision-support tool with visible guardrails, not as an autonomous optimization engine.</w:t>
      </w:r>
    </w:p>
    <w:p>
      <w:r>
        <w:t>The current evaluation reports point estimates from a locked split rather than bootstrap confidence intervals, repeated-split variability, or paired scenario-level tests. That choice is acceptable for a synchronized software-method artifact, but it is not sufficient for a mature effectiveness claim. A submission-ready evidence package should add scenario-level uncertainty intervals for top-1 agreement, NDCG@5, and top-5 uncovered burden, with particular attention to specialty-high-cost and mixed-restriction bundles where the guardrail signal is most concentrated.</w:t>
      </w:r>
    </w:p>
    <w:p>
      <w:r>
        <w:t>Additional operational signals strengthen this interpretation:</w:t>
      </w:r>
    </w:p>
    <w:p>
      <w:pPr>
        <w:pStyle w:val="ListBullet"/>
      </w:pPr>
      <w:r>
        <w:t>blocker-classification precision remained high;</w:t>
      </w:r>
    </w:p>
    <w:p>
      <w:pPr>
        <w:pStyle w:val="ListBullet"/>
      </w:pPr>
      <w:r>
        <w:t>unknown-network conditions can still occur in practice;</w:t>
      </w:r>
    </w:p>
    <w:p>
      <w:pPr>
        <w:pStyle w:val="ListBullet"/>
      </w:pPr>
      <w:r>
        <w:t>match-review-required flags remain important when medication identity is approximate.</w:t>
      </w:r>
    </w:p>
    <w:p>
      <w:r>
        <w:t>These outputs are not peripheral. They are part of the system's safety posture.</w:t>
      </w:r>
    </w:p>
    <w:p>
      <w:pPr>
        <w:pStyle w:val="Heading3"/>
      </w:pPr>
      <w:r>
        <w:t>5.7 Prescription-sample retrieval and ranking-trace results</w:t>
      </w:r>
    </w:p>
    <w:p>
      <w:r>
        <w:t>Eight sample cases retrieved recommendations from the current 2025-Q3 local database. Table 6 summarizes candidate-set behavior. All cases used exact NDC inputs, so no unintended manual-review blockage occurred during this retrieval pass.</w:t>
      </w:r>
    </w:p>
    <w:p>
      <w:r>
        <w:t>Analytically, the cases were selected to probe four behaviors that aggregate metrics can hide: low-friction maintenance use (Cases 1 and 4), access-sensitive retail use (Case 5), clinically intensive regimens with utilization-management or channel constraints (Cases 2, 3, 6, and 7), and a sparse-coverage specialty stress case (Case 8). This makes the sample retrieval section a small comparative audit of the recommendation flow: it shows when rules and hybrid ranking agree, when the learned reranker changes the ordering inside the safety constraints, and when plan-design evidence is too thin or risky for a simple lowest-cost interpretation.</w:t>
      </w:r>
    </w:p>
    <w:p>
      <w:r>
        <w:rPr>
          <w:b/>
        </w:rPr>
        <w:t>Table 6. Candidate-set summaries for eight prescription samples.</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Times New Roman" w:hAnsi="Times New Roman"/>
                <w:b/>
                <w:sz w:val="18"/>
              </w:rPr>
              <w:t>Case</w:t>
            </w:r>
          </w:p>
        </w:tc>
        <w:tc>
          <w:tcPr>
            <w:tcW w:type="dxa" w:w="665"/>
          </w:tcPr>
          <w:p>
            <w:r>
              <w:rPr>
                <w:rFonts w:ascii="Times New Roman" w:hAnsi="Times New Roman"/>
                <w:b/>
                <w:sz w:val="18"/>
              </w:rPr>
              <w:t>Scenario profile</w:t>
            </w:r>
          </w:p>
        </w:tc>
        <w:tc>
          <w:tcPr>
            <w:tcW w:type="dxa" w:w="665"/>
          </w:tcPr>
          <w:p>
            <w:r>
              <w:rPr>
                <w:rFonts w:ascii="Times New Roman" w:hAnsi="Times New Roman"/>
                <w:b/>
                <w:sz w:val="18"/>
              </w:rPr>
              <w:t>ZIP</w:t>
            </w:r>
          </w:p>
        </w:tc>
        <w:tc>
          <w:tcPr>
            <w:tcW w:type="dxa" w:w="665"/>
          </w:tcPr>
          <w:p>
            <w:r>
              <w:rPr>
                <w:rFonts w:ascii="Times New Roman" w:hAnsi="Times New Roman"/>
                <w:b/>
                <w:sz w:val="18"/>
              </w:rPr>
              <w:t>LIS</w:t>
            </w:r>
          </w:p>
        </w:tc>
        <w:tc>
          <w:tcPr>
            <w:tcW w:type="dxa" w:w="665"/>
          </w:tcPr>
          <w:p>
            <w:r>
              <w:rPr>
                <w:rFonts w:ascii="Times New Roman" w:hAnsi="Times New Roman"/>
                <w:b/>
                <w:sz w:val="18"/>
              </w:rPr>
              <w:t>Pharmacy</w:t>
            </w:r>
          </w:p>
        </w:tc>
        <w:tc>
          <w:tcPr>
            <w:tcW w:type="dxa" w:w="665"/>
          </w:tcPr>
          <w:p>
            <w:r>
              <w:rPr>
                <w:rFonts w:ascii="Times New Roman" w:hAnsi="Times New Roman"/>
                <w:b/>
                <w:sz w:val="18"/>
              </w:rPr>
              <w:t>Requested drugs</w:t>
            </w:r>
          </w:p>
        </w:tc>
        <w:tc>
          <w:tcPr>
            <w:tcW w:type="dxa" w:w="665"/>
          </w:tcPr>
          <w:p>
            <w:r>
              <w:rPr>
                <w:rFonts w:ascii="Times New Roman" w:hAnsi="Times New Roman"/>
                <w:b/>
                <w:sz w:val="18"/>
              </w:rPr>
              <w:t>Service-area candidates</w:t>
            </w:r>
          </w:p>
        </w:tc>
        <w:tc>
          <w:tcPr>
            <w:tcW w:type="dxa" w:w="665"/>
          </w:tcPr>
          <w:p>
            <w:r>
              <w:rPr>
                <w:rFonts w:ascii="Times New Roman" w:hAnsi="Times New Roman"/>
                <w:b/>
                <w:sz w:val="18"/>
              </w:rPr>
              <w:t>Ranked candidates</w:t>
            </w:r>
          </w:p>
        </w:tc>
        <w:tc>
          <w:tcPr>
            <w:tcW w:type="dxa" w:w="665"/>
          </w:tcPr>
          <w:p>
            <w:r>
              <w:rPr>
                <w:rFonts w:ascii="Times New Roman" w:hAnsi="Times New Roman"/>
                <w:b/>
                <w:sz w:val="18"/>
              </w:rPr>
              <w:t>Full coverage</w:t>
            </w:r>
          </w:p>
        </w:tc>
        <w:tc>
          <w:tcPr>
            <w:tcW w:type="dxa" w:w="665"/>
          </w:tcPr>
          <w:p>
            <w:r>
              <w:rPr>
                <w:rFonts w:ascii="Times New Roman" w:hAnsi="Times New Roman"/>
                <w:b/>
                <w:sz w:val="18"/>
              </w:rPr>
              <w:t>Partial coverage</w:t>
            </w:r>
          </w:p>
        </w:tc>
        <w:tc>
          <w:tcPr>
            <w:tcW w:type="dxa" w:w="665"/>
          </w:tcPr>
          <w:p>
            <w:r>
              <w:rPr>
                <w:rFonts w:ascii="Times New Roman" w:hAnsi="Times New Roman"/>
                <w:b/>
                <w:sz w:val="18"/>
              </w:rPr>
              <w:t>Unknown-network plans</w:t>
            </w:r>
          </w:p>
        </w:tc>
        <w:tc>
          <w:tcPr>
            <w:tcW w:type="dxa" w:w="665"/>
          </w:tcPr>
          <w:p>
            <w:r>
              <w:rPr>
                <w:rFonts w:ascii="Times New Roman" w:hAnsi="Times New Roman"/>
                <w:b/>
                <w:sz w:val="18"/>
              </w:rPr>
              <w:t>Rules top plan</w:t>
            </w:r>
          </w:p>
        </w:tc>
        <w:tc>
          <w:tcPr>
            <w:tcW w:type="dxa" w:w="665"/>
          </w:tcPr>
          <w:p>
            <w:r>
              <w:rPr>
                <w:rFonts w:ascii="Times New Roman" w:hAnsi="Times New Roman"/>
                <w:b/>
                <w:sz w:val="18"/>
              </w:rPr>
              <w:t>Hybrid top plan</w:t>
            </w:r>
          </w:p>
        </w:tc>
      </w:tr>
      <w:tr>
        <w:tc>
          <w:tcPr>
            <w:tcW w:type="dxa" w:w="665"/>
          </w:tcPr>
          <w:p>
            <w:r>
              <w:rPr>
                <w:rFonts w:ascii="Times New Roman" w:hAnsi="Times New Roman"/>
                <w:sz w:val="18"/>
              </w:rPr>
              <w:t>Case 1: maintenance generics</w:t>
            </w:r>
          </w:p>
        </w:tc>
        <w:tc>
          <w:tcPr>
            <w:tcW w:type="dxa" w:w="665"/>
          </w:tcPr>
          <w:p>
            <w:r>
              <w:rPr>
                <w:rFonts w:ascii="Times New Roman" w:hAnsi="Times New Roman"/>
                <w:sz w:val="18"/>
              </w:rPr>
              <w:t>maintenance_generic</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3</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110</w:t>
            </w:r>
          </w:p>
        </w:tc>
        <w:tc>
          <w:tcPr>
            <w:tcW w:type="dxa" w:w="665"/>
          </w:tcPr>
          <w:p>
            <w:r>
              <w:rPr>
                <w:rFonts w:ascii="Times New Roman" w:hAnsi="Times New Roman"/>
                <w:sz w:val="18"/>
              </w:rPr>
              <w:t>16</w:t>
            </w:r>
          </w:p>
        </w:tc>
        <w:tc>
          <w:tcPr>
            <w:tcW w:type="dxa" w:w="665"/>
          </w:tcPr>
          <w:p>
            <w:r>
              <w:rPr>
                <w:rFonts w:ascii="Times New Roman" w:hAnsi="Times New Roman"/>
                <w:sz w:val="18"/>
              </w:rPr>
              <w:t>16</w:t>
            </w:r>
          </w:p>
        </w:tc>
        <w:tc>
          <w:tcPr>
            <w:tcW w:type="dxa" w:w="665"/>
          </w:tcPr>
          <w:p>
            <w:r>
              <w:rPr>
                <w:rFonts w:ascii="Times New Roman" w:hAnsi="Times New Roman"/>
                <w:sz w:val="18"/>
              </w:rPr>
              <w:t>Blue Shield 65 Plus (HMO)</w:t>
            </w:r>
          </w:p>
        </w:tc>
        <w:tc>
          <w:tcPr>
            <w:tcW w:type="dxa" w:w="665"/>
          </w:tcPr>
          <w:p>
            <w:r>
              <w:rPr>
                <w:rFonts w:ascii="Times New Roman" w:hAnsi="Times New Roman"/>
                <w:sz w:val="18"/>
              </w:rPr>
              <w:t>Blue Shield 65 Plus (HMO)</w:t>
            </w:r>
          </w:p>
        </w:tc>
      </w:tr>
      <w:tr>
        <w:tc>
          <w:tcPr>
            <w:tcW w:type="dxa" w:w="665"/>
          </w:tcPr>
          <w:p>
            <w:r>
              <w:rPr>
                <w:rFonts w:ascii="Times New Roman" w:hAnsi="Times New Roman"/>
                <w:sz w:val="18"/>
              </w:rPr>
              <w:t>Case 2: insulin plus GLP-1</w:t>
            </w:r>
          </w:p>
        </w:tc>
        <w:tc>
          <w:tcPr>
            <w:tcW w:type="dxa" w:w="665"/>
          </w:tcPr>
          <w:p>
            <w:r>
              <w:rPr>
                <w:rFonts w:ascii="Times New Roman" w:hAnsi="Times New Roman"/>
                <w:sz w:val="18"/>
              </w:rPr>
              <w:t>insulin_chronic</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2</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101</w:t>
            </w:r>
          </w:p>
        </w:tc>
        <w:tc>
          <w:tcPr>
            <w:tcW w:type="dxa" w:w="665"/>
          </w:tcPr>
          <w:p>
            <w:r>
              <w:rPr>
                <w:rFonts w:ascii="Times New Roman" w:hAnsi="Times New Roman"/>
                <w:sz w:val="18"/>
              </w:rPr>
              <w:t>25</w:t>
            </w:r>
          </w:p>
        </w:tc>
        <w:tc>
          <w:tcPr>
            <w:tcW w:type="dxa" w:w="665"/>
          </w:tcPr>
          <w:p>
            <w:r>
              <w:rPr>
                <w:rFonts w:ascii="Times New Roman" w:hAnsi="Times New Roman"/>
                <w:sz w:val="18"/>
              </w:rPr>
              <w:t>16</w:t>
            </w:r>
          </w:p>
        </w:tc>
        <w:tc>
          <w:tcPr>
            <w:tcW w:type="dxa" w:w="665"/>
          </w:tcPr>
          <w:p>
            <w:r>
              <w:rPr>
                <w:rFonts w:ascii="Times New Roman" w:hAnsi="Times New Roman"/>
                <w:sz w:val="18"/>
              </w:rPr>
              <w:t>Anthem I Carelon Chronic Care (HMO-POS C-SNP)</w:t>
            </w:r>
          </w:p>
        </w:tc>
        <w:tc>
          <w:tcPr>
            <w:tcW w:type="dxa" w:w="665"/>
          </w:tcPr>
          <w:p>
            <w:r>
              <w:rPr>
                <w:rFonts w:ascii="Times New Roman" w:hAnsi="Times New Roman"/>
                <w:sz w:val="18"/>
              </w:rPr>
              <w:t>Aetna Medicare Preferred Plus (HMO-POS)</w:t>
            </w:r>
          </w:p>
        </w:tc>
      </w:tr>
      <w:tr>
        <w:tc>
          <w:tcPr>
            <w:tcW w:type="dxa" w:w="665"/>
          </w:tcPr>
          <w:p>
            <w:r>
              <w:rPr>
                <w:rFonts w:ascii="Times New Roman" w:hAnsi="Times New Roman"/>
                <w:sz w:val="18"/>
              </w:rPr>
              <w:t>Case 3: specialty plus anticoagulant</w:t>
            </w:r>
          </w:p>
        </w:tc>
        <w:tc>
          <w:tcPr>
            <w:tcW w:type="dxa" w:w="665"/>
          </w:tcPr>
          <w:p>
            <w:r>
              <w:rPr>
                <w:rFonts w:ascii="Times New Roman" w:hAnsi="Times New Roman"/>
                <w:sz w:val="18"/>
              </w:rPr>
              <w:t>specialty_high_cost</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2</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99</w:t>
            </w:r>
          </w:p>
        </w:tc>
        <w:tc>
          <w:tcPr>
            <w:tcW w:type="dxa" w:w="665"/>
          </w:tcPr>
          <w:p>
            <w:r>
              <w:rPr>
                <w:rFonts w:ascii="Times New Roman" w:hAnsi="Times New Roman"/>
                <w:sz w:val="18"/>
              </w:rPr>
              <w:t>27</w:t>
            </w:r>
          </w:p>
        </w:tc>
        <w:tc>
          <w:tcPr>
            <w:tcW w:type="dxa" w:w="665"/>
          </w:tcPr>
          <w:p>
            <w:r>
              <w:rPr>
                <w:rFonts w:ascii="Times New Roman" w:hAnsi="Times New Roman"/>
                <w:sz w:val="18"/>
              </w:rPr>
              <w:t>16</w:t>
            </w:r>
          </w:p>
        </w:tc>
        <w:tc>
          <w:tcPr>
            <w:tcW w:type="dxa" w:w="665"/>
          </w:tcPr>
          <w:p>
            <w:r>
              <w:rPr>
                <w:rFonts w:ascii="Times New Roman" w:hAnsi="Times New Roman"/>
                <w:sz w:val="18"/>
              </w:rPr>
              <w:t>Kaiser Permanente Senior Advantage LA, Orange Co. (HMO)</w:t>
            </w:r>
          </w:p>
        </w:tc>
        <w:tc>
          <w:tcPr>
            <w:tcW w:type="dxa" w:w="665"/>
          </w:tcPr>
          <w:p>
            <w:r>
              <w:rPr>
                <w:rFonts w:ascii="Times New Roman" w:hAnsi="Times New Roman"/>
                <w:sz w:val="18"/>
              </w:rPr>
              <w:t>Aetna Medicare Preferred Plus (HMO-POS)</w:t>
            </w:r>
          </w:p>
        </w:tc>
      </w:tr>
      <w:tr>
        <w:tc>
          <w:tcPr>
            <w:tcW w:type="dxa" w:w="665"/>
          </w:tcPr>
          <w:p>
            <w:r>
              <w:rPr>
                <w:rFonts w:ascii="Times New Roman" w:hAnsi="Times New Roman"/>
                <w:sz w:val="18"/>
              </w:rPr>
              <w:t>Case 4: low-utilizer generic</w:t>
            </w:r>
          </w:p>
        </w:tc>
        <w:tc>
          <w:tcPr>
            <w:tcW w:type="dxa" w:w="665"/>
          </w:tcPr>
          <w:p>
            <w:r>
              <w:rPr>
                <w:rFonts w:ascii="Times New Roman" w:hAnsi="Times New Roman"/>
                <w:sz w:val="18"/>
              </w:rPr>
              <w:t>low_utilizer</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1</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110</w:t>
            </w:r>
          </w:p>
        </w:tc>
        <w:tc>
          <w:tcPr>
            <w:tcW w:type="dxa" w:w="665"/>
          </w:tcPr>
          <w:p>
            <w:r>
              <w:rPr>
                <w:rFonts w:ascii="Times New Roman" w:hAnsi="Times New Roman"/>
                <w:sz w:val="18"/>
              </w:rPr>
              <w:t>16</w:t>
            </w:r>
          </w:p>
        </w:tc>
        <w:tc>
          <w:tcPr>
            <w:tcW w:type="dxa" w:w="665"/>
          </w:tcPr>
          <w:p>
            <w:r>
              <w:rPr>
                <w:rFonts w:ascii="Times New Roman" w:hAnsi="Times New Roman"/>
                <w:sz w:val="18"/>
              </w:rPr>
              <w:t>16</w:t>
            </w:r>
          </w:p>
        </w:tc>
        <w:tc>
          <w:tcPr>
            <w:tcW w:type="dxa" w:w="665"/>
          </w:tcPr>
          <w:p>
            <w:r>
              <w:rPr>
                <w:rFonts w:ascii="Times New Roman" w:hAnsi="Times New Roman"/>
                <w:sz w:val="18"/>
              </w:rPr>
              <w:t>Aetna Medicare Core (PPO)</w:t>
            </w:r>
          </w:p>
        </w:tc>
        <w:tc>
          <w:tcPr>
            <w:tcW w:type="dxa" w:w="665"/>
          </w:tcPr>
          <w:p>
            <w:r>
              <w:rPr>
                <w:rFonts w:ascii="Times New Roman" w:hAnsi="Times New Roman"/>
                <w:sz w:val="18"/>
              </w:rPr>
              <w:t>Aetna Medicare Core (PPO)</w:t>
            </w:r>
          </w:p>
        </w:tc>
      </w:tr>
      <w:tr>
        <w:tc>
          <w:tcPr>
            <w:tcW w:type="dxa" w:w="665"/>
          </w:tcPr>
          <w:p>
            <w:r>
              <w:rPr>
                <w:rFonts w:ascii="Times New Roman" w:hAnsi="Times New Roman"/>
                <w:sz w:val="18"/>
              </w:rPr>
              <w:t>Case 5: access-sensitive respiratory/retail</w:t>
            </w:r>
          </w:p>
        </w:tc>
        <w:tc>
          <w:tcPr>
            <w:tcW w:type="dxa" w:w="665"/>
          </w:tcPr>
          <w:p>
            <w:r>
              <w:rPr>
                <w:rFonts w:ascii="Times New Roman" w:hAnsi="Times New Roman"/>
                <w:sz w:val="18"/>
              </w:rPr>
              <w:t>access_sensitive</w:t>
            </w:r>
          </w:p>
        </w:tc>
        <w:tc>
          <w:tcPr>
            <w:tcW w:type="dxa" w:w="665"/>
          </w:tcPr>
          <w:p>
            <w:r>
              <w:rPr>
                <w:rFonts w:ascii="Times New Roman" w:hAnsi="Times New Roman"/>
                <w:sz w:val="18"/>
              </w:rPr>
              <w:t>93543</w:t>
            </w:r>
          </w:p>
        </w:tc>
        <w:tc>
          <w:tcPr>
            <w:tcW w:type="dxa" w:w="665"/>
          </w:tcPr>
          <w:p>
            <w:r>
              <w:rPr>
                <w:rFonts w:ascii="Times New Roman" w:hAnsi="Times New Roman"/>
                <w:sz w:val="18"/>
              </w:rPr>
              <w:t>none</w:t>
            </w:r>
          </w:p>
        </w:tc>
        <w:tc>
          <w:tcPr>
            <w:tcW w:type="dxa" w:w="665"/>
          </w:tcPr>
          <w:p>
            <w:r>
              <w:rPr>
                <w:rFonts w:ascii="Times New Roman" w:hAnsi="Times New Roman"/>
                <w:sz w:val="18"/>
              </w:rPr>
              <w:t>retail</w:t>
            </w:r>
          </w:p>
        </w:tc>
        <w:tc>
          <w:tcPr>
            <w:tcW w:type="dxa" w:w="665"/>
          </w:tcPr>
          <w:p>
            <w:r>
              <w:rPr>
                <w:rFonts w:ascii="Times New Roman" w:hAnsi="Times New Roman"/>
                <w:sz w:val="18"/>
              </w:rPr>
              <w:t>2</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110</w:t>
            </w:r>
          </w:p>
        </w:tc>
        <w:tc>
          <w:tcPr>
            <w:tcW w:type="dxa" w:w="665"/>
          </w:tcPr>
          <w:p>
            <w:r>
              <w:rPr>
                <w:rFonts w:ascii="Times New Roman" w:hAnsi="Times New Roman"/>
                <w:sz w:val="18"/>
              </w:rPr>
              <w:t>16</w:t>
            </w:r>
          </w:p>
        </w:tc>
        <w:tc>
          <w:tcPr>
            <w:tcW w:type="dxa" w:w="665"/>
          </w:tcPr>
          <w:p>
            <w:r>
              <w:rPr>
                <w:rFonts w:ascii="Times New Roman" w:hAnsi="Times New Roman"/>
                <w:sz w:val="18"/>
              </w:rPr>
              <w:t>16</w:t>
            </w:r>
          </w:p>
        </w:tc>
        <w:tc>
          <w:tcPr>
            <w:tcW w:type="dxa" w:w="665"/>
          </w:tcPr>
          <w:p>
            <w:r>
              <w:rPr>
                <w:rFonts w:ascii="Times New Roman" w:hAnsi="Times New Roman"/>
                <w:sz w:val="18"/>
              </w:rPr>
              <w:t>Blue Shield 65 Plus (HMO)</w:t>
            </w:r>
          </w:p>
        </w:tc>
        <w:tc>
          <w:tcPr>
            <w:tcW w:type="dxa" w:w="665"/>
          </w:tcPr>
          <w:p>
            <w:r>
              <w:rPr>
                <w:rFonts w:ascii="Times New Roman" w:hAnsi="Times New Roman"/>
                <w:sz w:val="18"/>
              </w:rPr>
              <w:t>Blue Shield 65 Plus (HMO)</w:t>
            </w:r>
          </w:p>
        </w:tc>
      </w:tr>
      <w:tr>
        <w:tc>
          <w:tcPr>
            <w:tcW w:type="dxa" w:w="665"/>
          </w:tcPr>
          <w:p>
            <w:r>
              <w:rPr>
                <w:rFonts w:ascii="Times New Roman" w:hAnsi="Times New Roman"/>
                <w:sz w:val="18"/>
              </w:rPr>
              <w:t>Case 6: mixed-restriction cardiometabolic</w:t>
            </w:r>
          </w:p>
        </w:tc>
        <w:tc>
          <w:tcPr>
            <w:tcW w:type="dxa" w:w="665"/>
          </w:tcPr>
          <w:p>
            <w:r>
              <w:rPr>
                <w:rFonts w:ascii="Times New Roman" w:hAnsi="Times New Roman"/>
                <w:sz w:val="18"/>
              </w:rPr>
              <w:t>mixed_restriction</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3</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110</w:t>
            </w:r>
          </w:p>
        </w:tc>
        <w:tc>
          <w:tcPr>
            <w:tcW w:type="dxa" w:w="665"/>
          </w:tcPr>
          <w:p>
            <w:r>
              <w:rPr>
                <w:rFonts w:ascii="Times New Roman" w:hAnsi="Times New Roman"/>
                <w:sz w:val="18"/>
              </w:rPr>
              <w:t>16</w:t>
            </w:r>
          </w:p>
        </w:tc>
        <w:tc>
          <w:tcPr>
            <w:tcW w:type="dxa" w:w="665"/>
          </w:tcPr>
          <w:p>
            <w:r>
              <w:rPr>
                <w:rFonts w:ascii="Times New Roman" w:hAnsi="Times New Roman"/>
                <w:sz w:val="18"/>
              </w:rPr>
              <w:t>16</w:t>
            </w:r>
          </w:p>
        </w:tc>
        <w:tc>
          <w:tcPr>
            <w:tcW w:type="dxa" w:w="665"/>
          </w:tcPr>
          <w:p>
            <w:r>
              <w:rPr>
                <w:rFonts w:ascii="Times New Roman" w:hAnsi="Times New Roman"/>
                <w:sz w:val="18"/>
              </w:rPr>
              <w:t>Kaiser Permanente Senior Advantage LA, Orange Co. (HMO)</w:t>
            </w:r>
          </w:p>
        </w:tc>
        <w:tc>
          <w:tcPr>
            <w:tcW w:type="dxa" w:w="665"/>
          </w:tcPr>
          <w:p>
            <w:r>
              <w:rPr>
                <w:rFonts w:ascii="Times New Roman" w:hAnsi="Times New Roman"/>
                <w:sz w:val="18"/>
              </w:rPr>
              <w:t>Aetna Medicare Preferred Plus (HMO-POS)</w:t>
            </w:r>
          </w:p>
        </w:tc>
      </w:tr>
      <w:tr>
        <w:tc>
          <w:tcPr>
            <w:tcW w:type="dxa" w:w="665"/>
          </w:tcPr>
          <w:p>
            <w:r>
              <w:rPr>
                <w:rFonts w:ascii="Times New Roman" w:hAnsi="Times New Roman"/>
                <w:sz w:val="18"/>
              </w:rPr>
              <w:t>Case 7: LIS sensitivity cardiometabolic</w:t>
            </w:r>
          </w:p>
        </w:tc>
        <w:tc>
          <w:tcPr>
            <w:tcW w:type="dxa" w:w="665"/>
          </w:tcPr>
          <w:p>
            <w:r>
              <w:rPr>
                <w:rFonts w:ascii="Times New Roman" w:hAnsi="Times New Roman"/>
                <w:sz w:val="18"/>
              </w:rPr>
              <w:t>mixed_restriction_lis</w:t>
            </w:r>
          </w:p>
        </w:tc>
        <w:tc>
          <w:tcPr>
            <w:tcW w:type="dxa" w:w="665"/>
          </w:tcPr>
          <w:p>
            <w:r>
              <w:rPr>
                <w:rFonts w:ascii="Times New Roman" w:hAnsi="Times New Roman"/>
                <w:sz w:val="18"/>
              </w:rPr>
              <w:t>90001</w:t>
            </w:r>
          </w:p>
        </w:tc>
        <w:tc>
          <w:tcPr>
            <w:tcW w:type="dxa" w:w="665"/>
          </w:tcPr>
          <w:p>
            <w:r>
              <w:rPr>
                <w:rFonts w:ascii="Times New Roman" w:hAnsi="Times New Roman"/>
                <w:sz w:val="18"/>
              </w:rPr>
              <w:t>full</w:t>
            </w:r>
          </w:p>
        </w:tc>
        <w:tc>
          <w:tcPr>
            <w:tcW w:type="dxa" w:w="665"/>
          </w:tcPr>
          <w:p>
            <w:r>
              <w:rPr>
                <w:rFonts w:ascii="Times New Roman" w:hAnsi="Times New Roman"/>
                <w:sz w:val="18"/>
              </w:rPr>
              <w:t>auto</w:t>
            </w:r>
          </w:p>
        </w:tc>
        <w:tc>
          <w:tcPr>
            <w:tcW w:type="dxa" w:w="665"/>
          </w:tcPr>
          <w:p>
            <w:r>
              <w:rPr>
                <w:rFonts w:ascii="Times New Roman" w:hAnsi="Times New Roman"/>
                <w:sz w:val="18"/>
              </w:rPr>
              <w:t>3</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110</w:t>
            </w:r>
          </w:p>
        </w:tc>
        <w:tc>
          <w:tcPr>
            <w:tcW w:type="dxa" w:w="665"/>
          </w:tcPr>
          <w:p>
            <w:r>
              <w:rPr>
                <w:rFonts w:ascii="Times New Roman" w:hAnsi="Times New Roman"/>
                <w:sz w:val="18"/>
              </w:rPr>
              <w:t>16</w:t>
            </w:r>
          </w:p>
        </w:tc>
        <w:tc>
          <w:tcPr>
            <w:tcW w:type="dxa" w:w="665"/>
          </w:tcPr>
          <w:p>
            <w:r>
              <w:rPr>
                <w:rFonts w:ascii="Times New Roman" w:hAnsi="Times New Roman"/>
                <w:sz w:val="18"/>
              </w:rPr>
              <w:t>16</w:t>
            </w:r>
          </w:p>
        </w:tc>
        <w:tc>
          <w:tcPr>
            <w:tcW w:type="dxa" w:w="665"/>
          </w:tcPr>
          <w:p>
            <w:r>
              <w:rPr>
                <w:rFonts w:ascii="Times New Roman" w:hAnsi="Times New Roman"/>
                <w:sz w:val="18"/>
              </w:rPr>
              <w:t>Kaiser Permanente Senior Advantage LA, Orange Co. (HMO)</w:t>
            </w:r>
          </w:p>
        </w:tc>
        <w:tc>
          <w:tcPr>
            <w:tcW w:type="dxa" w:w="665"/>
          </w:tcPr>
          <w:p>
            <w:r>
              <w:rPr>
                <w:rFonts w:ascii="Times New Roman" w:hAnsi="Times New Roman"/>
                <w:sz w:val="18"/>
              </w:rPr>
              <w:t>Aetna Medicare Preferred Plus (HMO-POS)</w:t>
            </w:r>
          </w:p>
        </w:tc>
      </w:tr>
      <w:tr>
        <w:tc>
          <w:tcPr>
            <w:tcW w:type="dxa" w:w="665"/>
          </w:tcPr>
          <w:p>
            <w:r>
              <w:rPr>
                <w:rFonts w:ascii="Times New Roman" w:hAnsi="Times New Roman"/>
                <w:sz w:val="18"/>
              </w:rPr>
              <w:t>Case 8: high-cost specialty stress</w:t>
            </w:r>
          </w:p>
        </w:tc>
        <w:tc>
          <w:tcPr>
            <w:tcW w:type="dxa" w:w="665"/>
          </w:tcPr>
          <w:p>
            <w:r>
              <w:rPr>
                <w:rFonts w:ascii="Times New Roman" w:hAnsi="Times New Roman"/>
                <w:sz w:val="18"/>
              </w:rPr>
              <w:t>specialty_high_cost_stress</w:t>
            </w:r>
          </w:p>
        </w:tc>
        <w:tc>
          <w:tcPr>
            <w:tcW w:type="dxa" w:w="665"/>
          </w:tcPr>
          <w:p>
            <w:r>
              <w:rPr>
                <w:rFonts w:ascii="Times New Roman" w:hAnsi="Times New Roman"/>
                <w:sz w:val="18"/>
              </w:rPr>
              <w:t>90001</w:t>
            </w:r>
          </w:p>
        </w:tc>
        <w:tc>
          <w:tcPr>
            <w:tcW w:type="dxa" w:w="665"/>
          </w:tcPr>
          <w:p>
            <w:r>
              <w:rPr>
                <w:rFonts w:ascii="Times New Roman" w:hAnsi="Times New Roman"/>
                <w:sz w:val="18"/>
              </w:rPr>
              <w:t>none</w:t>
            </w:r>
          </w:p>
        </w:tc>
        <w:tc>
          <w:tcPr>
            <w:tcW w:type="dxa" w:w="665"/>
          </w:tcPr>
          <w:p>
            <w:r>
              <w:rPr>
                <w:rFonts w:ascii="Times New Roman" w:hAnsi="Times New Roman"/>
                <w:sz w:val="18"/>
              </w:rPr>
              <w:t>auto</w:t>
            </w:r>
          </w:p>
        </w:tc>
        <w:tc>
          <w:tcPr>
            <w:tcW w:type="dxa" w:w="665"/>
          </w:tcPr>
          <w:p>
            <w:r>
              <w:rPr>
                <w:rFonts w:ascii="Times New Roman" w:hAnsi="Times New Roman"/>
                <w:sz w:val="18"/>
              </w:rPr>
              <w:t>1</w:t>
            </w:r>
          </w:p>
        </w:tc>
        <w:tc>
          <w:tcPr>
            <w:tcW w:type="dxa" w:w="665"/>
          </w:tcPr>
          <w:p>
            <w:r>
              <w:rPr>
                <w:rFonts w:ascii="Times New Roman" w:hAnsi="Times New Roman"/>
                <w:sz w:val="18"/>
              </w:rPr>
              <w:t>126</w:t>
            </w:r>
          </w:p>
        </w:tc>
        <w:tc>
          <w:tcPr>
            <w:tcW w:type="dxa" w:w="665"/>
          </w:tcPr>
          <w:p>
            <w:r>
              <w:rPr>
                <w:rFonts w:ascii="Times New Roman" w:hAnsi="Times New Roman"/>
                <w:sz w:val="18"/>
              </w:rPr>
              <w:t>126</w:t>
            </w:r>
          </w:p>
        </w:tc>
        <w:tc>
          <w:tcPr>
            <w:tcW w:type="dxa" w:w="665"/>
          </w:tcPr>
          <w:p>
            <w:r>
              <w:rPr>
                <w:rFonts w:ascii="Times New Roman" w:hAnsi="Times New Roman"/>
                <w:sz w:val="18"/>
              </w:rPr>
              <w:t>6</w:t>
            </w:r>
          </w:p>
        </w:tc>
        <w:tc>
          <w:tcPr>
            <w:tcW w:type="dxa" w:w="665"/>
          </w:tcPr>
          <w:p>
            <w:r>
              <w:rPr>
                <w:rFonts w:ascii="Times New Roman" w:hAnsi="Times New Roman"/>
                <w:sz w:val="18"/>
              </w:rPr>
              <w:t>120</w:t>
            </w:r>
          </w:p>
        </w:tc>
        <w:tc>
          <w:tcPr>
            <w:tcW w:type="dxa" w:w="665"/>
          </w:tcPr>
          <w:p>
            <w:r>
              <w:rPr>
                <w:rFonts w:ascii="Times New Roman" w:hAnsi="Times New Roman"/>
                <w:sz w:val="18"/>
              </w:rPr>
              <w:t>16</w:t>
            </w:r>
          </w:p>
        </w:tc>
        <w:tc>
          <w:tcPr>
            <w:tcW w:type="dxa" w:w="665"/>
          </w:tcPr>
          <w:p>
            <w:r>
              <w:rPr>
                <w:rFonts w:ascii="Times New Roman" w:hAnsi="Times New Roman"/>
                <w:sz w:val="18"/>
              </w:rPr>
              <w:t>Kaiser Permanente Senior Advantage LA, Orange Co. (HMO)</w:t>
            </w:r>
          </w:p>
        </w:tc>
        <w:tc>
          <w:tcPr>
            <w:tcW w:type="dxa" w:w="665"/>
          </w:tcPr>
          <w:p>
            <w:r>
              <w:rPr>
                <w:rFonts w:ascii="Times New Roman" w:hAnsi="Times New Roman"/>
                <w:sz w:val="18"/>
              </w:rPr>
              <w:t>Kaiser Permanente Senior Advantage LA, Orange Co. (HMO)</w:t>
            </w:r>
          </w:p>
        </w:tc>
      </w:tr>
    </w:tbl>
    <w:p>
      <w:r>
        <w:t>Table 6 shows that candidate availability is driven by two separate forces: geography first, then drug-level coverage completeness. The service-area candidate set remains constant at 126 for these California examples because ZIP eligibility defines the initial plan universe. Within that fixed universe, regimen composition changes the effective feasible set. Routine maintenance, low-utilizer generic, retail respiratory, and cardiometabolic cases retain 110 fully covered candidates, whereas the insulin/GLP-1 and specialty/anticoagulant cases reduce fully covered candidates to 101 and 99. The specialty-stress case is qualitatively different: only 6 plans fully cover the selected high-cost specialty NDC, while 120 are partial, making Case 8 a guardrail case rather than a normal ranking case. The repeated unknown-network count of 16 should therefore be read as a plan/network-data signal within the local artifact, not as a prescription-specific clinical effect.</w:t>
      </w:r>
    </w:p>
    <w:p>
      <w:r>
        <w:t>The table also separates broad-choice cases from narrow-feasibility cases. In broad-choice cases, the main research question is how the model orders otherwise eligible plans with different restriction, channel, and cost signals. In narrow-feasibility cases, the first research question is whether any plan has complete and priceable evidence at all; ranking is secondary to surfacing coverage scarcity and explanation warnings.</w:t>
      </w:r>
    </w:p>
    <w:p>
      <w:r>
        <w:t>Table 7 reports the top hybrid recommendation for each case. The rows should be read as simulated plan-design outputs from the public-file/local artifact, not guaranteed pharmacy transaction prices.</w:t>
      </w:r>
    </w:p>
    <w:p>
      <w:r>
        <w:rPr>
          <w:b/>
        </w:rPr>
        <w:t>Table 7. Top hybrid recommendation by sample case.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b/>
                <w:sz w:val="18"/>
              </w:rPr>
              <w:t>Case</w:t>
            </w:r>
          </w:p>
        </w:tc>
        <w:tc>
          <w:tcPr>
            <w:tcW w:type="dxa" w:w="864"/>
          </w:tcPr>
          <w:p>
            <w:r>
              <w:rPr>
                <w:rFonts w:ascii="Times New Roman" w:hAnsi="Times New Roman"/>
                <w:b/>
                <w:sz w:val="18"/>
              </w:rPr>
              <w:t>Top hybrid plan</w:t>
            </w:r>
          </w:p>
        </w:tc>
        <w:tc>
          <w:tcPr>
            <w:tcW w:type="dxa" w:w="864"/>
          </w:tcPr>
          <w:p>
            <w:r>
              <w:rPr>
                <w:rFonts w:ascii="Times New Roman" w:hAnsi="Times New Roman"/>
                <w:b/>
                <w:sz w:val="18"/>
              </w:rPr>
              <w:t>Premium</w:t>
            </w:r>
          </w:p>
        </w:tc>
        <w:tc>
          <w:tcPr>
            <w:tcW w:type="dxa" w:w="864"/>
          </w:tcPr>
          <w:p>
            <w:r>
              <w:rPr>
                <w:rFonts w:ascii="Times New Roman" w:hAnsi="Times New Roman"/>
                <w:b/>
                <w:sz w:val="18"/>
              </w:rPr>
              <w:t>Drug OOP</w:t>
            </w:r>
          </w:p>
        </w:tc>
        <w:tc>
          <w:tcPr>
            <w:tcW w:type="dxa" w:w="864"/>
          </w:tcPr>
          <w:p>
            <w:r>
              <w:rPr>
                <w:rFonts w:ascii="Times New Roman" w:hAnsi="Times New Roman"/>
                <w:b/>
                <w:sz w:val="18"/>
              </w:rPr>
              <w:t>Total cost</w:t>
            </w:r>
          </w:p>
        </w:tc>
        <w:tc>
          <w:tcPr>
            <w:tcW w:type="dxa" w:w="864"/>
          </w:tcPr>
          <w:p>
            <w:r>
              <w:rPr>
                <w:rFonts w:ascii="Times New Roman" w:hAnsi="Times New Roman"/>
                <w:b/>
                <w:sz w:val="18"/>
              </w:rPr>
              <w:t>Coverage</w:t>
            </w:r>
          </w:p>
        </w:tc>
        <w:tc>
          <w:tcPr>
            <w:tcW w:type="dxa" w:w="864"/>
          </w:tcPr>
          <w:p>
            <w:r>
              <w:rPr>
                <w:rFonts w:ascii="Times New Roman" w:hAnsi="Times New Roman"/>
                <w:b/>
                <w:sz w:val="18"/>
              </w:rPr>
              <w:t>Network</w:t>
            </w:r>
          </w:p>
        </w:tc>
        <w:tc>
          <w:tcPr>
            <w:tcW w:type="dxa" w:w="864"/>
          </w:tcPr>
          <w:p>
            <w:r>
              <w:rPr>
                <w:rFonts w:ascii="Times New Roman" w:hAnsi="Times New Roman"/>
                <w:b/>
                <w:sz w:val="18"/>
              </w:rPr>
              <w:t>Restrictions</w:t>
            </w:r>
          </w:p>
        </w:tc>
        <w:tc>
          <w:tcPr>
            <w:tcW w:type="dxa" w:w="864"/>
          </w:tcPr>
          <w:p>
            <w:r>
              <w:rPr>
                <w:rFonts w:ascii="Times New Roman" w:hAnsi="Times New Roman"/>
                <w:b/>
                <w:sz w:val="18"/>
              </w:rPr>
              <w:t>Uncovered</w:t>
            </w:r>
          </w:p>
        </w:tc>
        <w:tc>
          <w:tcPr>
            <w:tcW w:type="dxa" w:w="864"/>
          </w:tcPr>
          <w:p>
            <w:r>
              <w:rPr>
                <w:rFonts w:ascii="Times New Roman" w:hAnsi="Times New Roman"/>
                <w:b/>
                <w:sz w:val="18"/>
              </w:rPr>
              <w:t>Main watchout</w:t>
            </w:r>
          </w:p>
        </w:tc>
      </w:tr>
      <w:tr>
        <w:tc>
          <w:tcPr>
            <w:tcW w:type="dxa" w:w="864"/>
          </w:tcPr>
          <w:p>
            <w:r>
              <w:rPr>
                <w:rFonts w:ascii="Times New Roman" w:hAnsi="Times New Roman"/>
                <w:sz w:val="18"/>
              </w:rPr>
              <w:t>Case 1</w:t>
            </w:r>
          </w:p>
        </w:tc>
        <w:tc>
          <w:tcPr>
            <w:tcW w:type="dxa" w:w="864"/>
          </w:tcPr>
          <w:p>
            <w:r>
              <w:rPr>
                <w:rFonts w:ascii="Times New Roman" w:hAnsi="Times New Roman"/>
                <w:sz w:val="18"/>
              </w:rPr>
              <w:t>Blue Shield 65 Plus (HMO)</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0</w:t>
            </w:r>
          </w:p>
        </w:tc>
        <w:tc>
          <w:tcPr>
            <w:tcW w:type="dxa" w:w="864"/>
          </w:tcPr>
          <w:p>
            <w:r>
              <w:rPr>
                <w:rFonts w:ascii="Times New Roman" w:hAnsi="Times New Roman"/>
                <w:sz w:val="18"/>
              </w:rPr>
              <w:t>0</w:t>
            </w:r>
          </w:p>
        </w:tc>
        <w:tc>
          <w:tcPr>
            <w:tcW w:type="dxa" w:w="864"/>
          </w:tcPr>
          <w:p>
            <w:r>
              <w:rPr>
                <w:rFonts w:ascii="Times New Roman" w:hAnsi="Times New Roman"/>
                <w:sz w:val="18"/>
              </w:rPr>
              <w:t>No top-plan watchout</w:t>
            </w:r>
          </w:p>
        </w:tc>
      </w:tr>
      <w:tr>
        <w:tc>
          <w:tcPr>
            <w:tcW w:type="dxa" w:w="864"/>
          </w:tcPr>
          <w:p>
            <w:r>
              <w:rPr>
                <w:rFonts w:ascii="Times New Roman" w:hAnsi="Times New Roman"/>
                <w:sz w:val="18"/>
              </w:rPr>
              <w:t>Case 2</w:t>
            </w:r>
          </w:p>
        </w:tc>
        <w:tc>
          <w:tcPr>
            <w:tcW w:type="dxa" w:w="864"/>
          </w:tcPr>
          <w:p>
            <w:r>
              <w:rPr>
                <w:rFonts w:ascii="Times New Roman" w:hAnsi="Times New Roman"/>
                <w:sz w:val="18"/>
              </w:rPr>
              <w:t>Aetna Medicare Preferred Plus (HMO-POS)</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2</w:t>
            </w:r>
          </w:p>
        </w:tc>
        <w:tc>
          <w:tcPr>
            <w:tcW w:type="dxa" w:w="864"/>
          </w:tcPr>
          <w:p>
            <w:r>
              <w:rPr>
                <w:rFonts w:ascii="Times New Roman" w:hAnsi="Times New Roman"/>
                <w:sz w:val="18"/>
              </w:rPr>
              <w:t>0</w:t>
            </w:r>
          </w:p>
        </w:tc>
        <w:tc>
          <w:tcPr>
            <w:tcW w:type="dxa" w:w="864"/>
          </w:tcPr>
          <w:p>
            <w:r>
              <w:rPr>
                <w:rFonts w:ascii="Times New Roman" w:hAnsi="Times New Roman"/>
                <w:sz w:val="18"/>
              </w:rPr>
              <w:t>Mail-order dependence and 2 UM restrictions</w:t>
            </w:r>
          </w:p>
        </w:tc>
      </w:tr>
      <w:tr>
        <w:tc>
          <w:tcPr>
            <w:tcW w:type="dxa" w:w="864"/>
          </w:tcPr>
          <w:p>
            <w:r>
              <w:rPr>
                <w:rFonts w:ascii="Times New Roman" w:hAnsi="Times New Roman"/>
                <w:sz w:val="18"/>
              </w:rPr>
              <w:t>Case 3</w:t>
            </w:r>
          </w:p>
        </w:tc>
        <w:tc>
          <w:tcPr>
            <w:tcW w:type="dxa" w:w="864"/>
          </w:tcPr>
          <w:p>
            <w:r>
              <w:rPr>
                <w:rFonts w:ascii="Times New Roman" w:hAnsi="Times New Roman"/>
                <w:sz w:val="18"/>
              </w:rPr>
              <w:t>Aetna Medicare Preferred Plus (HMO-POS)</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2</w:t>
            </w:r>
          </w:p>
        </w:tc>
        <w:tc>
          <w:tcPr>
            <w:tcW w:type="dxa" w:w="864"/>
          </w:tcPr>
          <w:p>
            <w:r>
              <w:rPr>
                <w:rFonts w:ascii="Times New Roman" w:hAnsi="Times New Roman"/>
                <w:sz w:val="18"/>
              </w:rPr>
              <w:t>0</w:t>
            </w:r>
          </w:p>
        </w:tc>
        <w:tc>
          <w:tcPr>
            <w:tcW w:type="dxa" w:w="864"/>
          </w:tcPr>
          <w:p>
            <w:r>
              <w:rPr>
                <w:rFonts w:ascii="Times New Roman" w:hAnsi="Times New Roman"/>
                <w:sz w:val="18"/>
              </w:rPr>
              <w:t>Mail-order dependence and 2 UM restrictions</w:t>
            </w:r>
          </w:p>
        </w:tc>
      </w:tr>
      <w:tr>
        <w:tc>
          <w:tcPr>
            <w:tcW w:type="dxa" w:w="864"/>
          </w:tcPr>
          <w:p>
            <w:r>
              <w:rPr>
                <w:rFonts w:ascii="Times New Roman" w:hAnsi="Times New Roman"/>
                <w:sz w:val="18"/>
              </w:rPr>
              <w:t>Case 4</w:t>
            </w:r>
          </w:p>
        </w:tc>
        <w:tc>
          <w:tcPr>
            <w:tcW w:type="dxa" w:w="864"/>
          </w:tcPr>
          <w:p>
            <w:r>
              <w:rPr>
                <w:rFonts w:ascii="Times New Roman" w:hAnsi="Times New Roman"/>
                <w:sz w:val="18"/>
              </w:rPr>
              <w:t>Aetna Medicare Core (PPO)</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0</w:t>
            </w:r>
          </w:p>
        </w:tc>
        <w:tc>
          <w:tcPr>
            <w:tcW w:type="dxa" w:w="864"/>
          </w:tcPr>
          <w:p>
            <w:r>
              <w:rPr>
                <w:rFonts w:ascii="Times New Roman" w:hAnsi="Times New Roman"/>
                <w:sz w:val="18"/>
              </w:rPr>
              <w:t>0</w:t>
            </w:r>
          </w:p>
        </w:tc>
        <w:tc>
          <w:tcPr>
            <w:tcW w:type="dxa" w:w="864"/>
          </w:tcPr>
          <w:p>
            <w:r>
              <w:rPr>
                <w:rFonts w:ascii="Times New Roman" w:hAnsi="Times New Roman"/>
                <w:sz w:val="18"/>
              </w:rPr>
              <w:t>Mail-order dependence</w:t>
            </w:r>
          </w:p>
        </w:tc>
      </w:tr>
      <w:tr>
        <w:tc>
          <w:tcPr>
            <w:tcW w:type="dxa" w:w="864"/>
          </w:tcPr>
          <w:p>
            <w:r>
              <w:rPr>
                <w:rFonts w:ascii="Times New Roman" w:hAnsi="Times New Roman"/>
                <w:sz w:val="18"/>
              </w:rPr>
              <w:t>Case 5</w:t>
            </w:r>
          </w:p>
        </w:tc>
        <w:tc>
          <w:tcPr>
            <w:tcW w:type="dxa" w:w="864"/>
          </w:tcPr>
          <w:p>
            <w:r>
              <w:rPr>
                <w:rFonts w:ascii="Times New Roman" w:hAnsi="Times New Roman"/>
                <w:sz w:val="18"/>
              </w:rPr>
              <w:t>Blue Shield 65 Plus (HMO)</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1</w:t>
            </w:r>
          </w:p>
        </w:tc>
        <w:tc>
          <w:tcPr>
            <w:tcW w:type="dxa" w:w="864"/>
          </w:tcPr>
          <w:p>
            <w:r>
              <w:rPr>
                <w:rFonts w:ascii="Times New Roman" w:hAnsi="Times New Roman"/>
                <w:sz w:val="18"/>
              </w:rPr>
              <w:t>0</w:t>
            </w:r>
          </w:p>
        </w:tc>
        <w:tc>
          <w:tcPr>
            <w:tcW w:type="dxa" w:w="864"/>
          </w:tcPr>
          <w:p>
            <w:r>
              <w:rPr>
                <w:rFonts w:ascii="Times New Roman" w:hAnsi="Times New Roman"/>
                <w:sz w:val="18"/>
              </w:rPr>
              <w:t>1 UM restriction</w:t>
            </w:r>
          </w:p>
        </w:tc>
      </w:tr>
      <w:tr>
        <w:tc>
          <w:tcPr>
            <w:tcW w:type="dxa" w:w="864"/>
          </w:tcPr>
          <w:p>
            <w:r>
              <w:rPr>
                <w:rFonts w:ascii="Times New Roman" w:hAnsi="Times New Roman"/>
                <w:sz w:val="18"/>
              </w:rPr>
              <w:t>Case 6</w:t>
            </w:r>
          </w:p>
        </w:tc>
        <w:tc>
          <w:tcPr>
            <w:tcW w:type="dxa" w:w="864"/>
          </w:tcPr>
          <w:p>
            <w:r>
              <w:rPr>
                <w:rFonts w:ascii="Times New Roman" w:hAnsi="Times New Roman"/>
                <w:sz w:val="18"/>
              </w:rPr>
              <w:t>Aetna Medicare Preferred Plus (HMO-POS)</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1</w:t>
            </w:r>
          </w:p>
        </w:tc>
        <w:tc>
          <w:tcPr>
            <w:tcW w:type="dxa" w:w="864"/>
          </w:tcPr>
          <w:p>
            <w:r>
              <w:rPr>
                <w:rFonts w:ascii="Times New Roman" w:hAnsi="Times New Roman"/>
                <w:sz w:val="18"/>
              </w:rPr>
              <w:t>0</w:t>
            </w:r>
          </w:p>
        </w:tc>
        <w:tc>
          <w:tcPr>
            <w:tcW w:type="dxa" w:w="864"/>
          </w:tcPr>
          <w:p>
            <w:r>
              <w:rPr>
                <w:rFonts w:ascii="Times New Roman" w:hAnsi="Times New Roman"/>
                <w:sz w:val="18"/>
              </w:rPr>
              <w:t>Mail-order dependence and 1 UM restriction</w:t>
            </w:r>
          </w:p>
        </w:tc>
      </w:tr>
      <w:tr>
        <w:tc>
          <w:tcPr>
            <w:tcW w:type="dxa" w:w="864"/>
          </w:tcPr>
          <w:p>
            <w:r>
              <w:rPr>
                <w:rFonts w:ascii="Times New Roman" w:hAnsi="Times New Roman"/>
                <w:sz w:val="18"/>
              </w:rPr>
              <w:t>Case 7</w:t>
            </w:r>
          </w:p>
        </w:tc>
        <w:tc>
          <w:tcPr>
            <w:tcW w:type="dxa" w:w="864"/>
          </w:tcPr>
          <w:p>
            <w:r>
              <w:rPr>
                <w:rFonts w:ascii="Times New Roman" w:hAnsi="Times New Roman"/>
                <w:sz w:val="18"/>
              </w:rPr>
              <w:t>Aetna Medicare Preferred Plus (HMO-POS)</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adequate</w:t>
            </w:r>
          </w:p>
        </w:tc>
        <w:tc>
          <w:tcPr>
            <w:tcW w:type="dxa" w:w="864"/>
          </w:tcPr>
          <w:p>
            <w:r>
              <w:rPr>
                <w:rFonts w:ascii="Times New Roman" w:hAnsi="Times New Roman"/>
                <w:sz w:val="18"/>
              </w:rPr>
              <w:t>1</w:t>
            </w:r>
          </w:p>
        </w:tc>
        <w:tc>
          <w:tcPr>
            <w:tcW w:type="dxa" w:w="864"/>
          </w:tcPr>
          <w:p>
            <w:r>
              <w:rPr>
                <w:rFonts w:ascii="Times New Roman" w:hAnsi="Times New Roman"/>
                <w:sz w:val="18"/>
              </w:rPr>
              <w:t>0</w:t>
            </w:r>
          </w:p>
        </w:tc>
        <w:tc>
          <w:tcPr>
            <w:tcW w:type="dxa" w:w="864"/>
          </w:tcPr>
          <w:p>
            <w:r>
              <w:rPr>
                <w:rFonts w:ascii="Times New Roman" w:hAnsi="Times New Roman"/>
                <w:sz w:val="18"/>
              </w:rPr>
              <w:t>Mail-order dependence and 1 UM restriction</w:t>
            </w:r>
          </w:p>
        </w:tc>
      </w:tr>
      <w:tr>
        <w:tc>
          <w:tcPr>
            <w:tcW w:type="dxa" w:w="864"/>
          </w:tcPr>
          <w:p>
            <w:r>
              <w:rPr>
                <w:rFonts w:ascii="Times New Roman" w:hAnsi="Times New Roman"/>
                <w:sz w:val="18"/>
              </w:rPr>
              <w:t>Case 8</w:t>
            </w:r>
          </w:p>
        </w:tc>
        <w:tc>
          <w:tcPr>
            <w:tcW w:type="dxa" w:w="864"/>
          </w:tcPr>
          <w:p>
            <w:r>
              <w:rPr>
                <w:rFonts w:ascii="Times New Roman" w:hAnsi="Times New Roman"/>
                <w:sz w:val="18"/>
              </w:rPr>
              <w:t>Kaiser Permanente Senior Advantage LA, Orange Co. (HMO)</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0.00</w:t>
            </w:r>
          </w:p>
        </w:tc>
        <w:tc>
          <w:tcPr>
            <w:tcW w:type="dxa" w:w="864"/>
          </w:tcPr>
          <w:p>
            <w:r>
              <w:rPr>
                <w:rFonts w:ascii="Times New Roman" w:hAnsi="Times New Roman"/>
                <w:sz w:val="18"/>
              </w:rPr>
              <w:t>full</w:t>
            </w:r>
          </w:p>
        </w:tc>
        <w:tc>
          <w:tcPr>
            <w:tcW w:type="dxa" w:w="864"/>
          </w:tcPr>
          <w:p>
            <w:r>
              <w:rPr>
                <w:rFonts w:ascii="Times New Roman" w:hAnsi="Times New Roman"/>
                <w:sz w:val="18"/>
              </w:rPr>
              <w:t>no_preferred_retail</w:t>
            </w:r>
          </w:p>
        </w:tc>
        <w:tc>
          <w:tcPr>
            <w:tcW w:type="dxa" w:w="864"/>
          </w:tcPr>
          <w:p>
            <w:r>
              <w:rPr>
                <w:rFonts w:ascii="Times New Roman" w:hAnsi="Times New Roman"/>
                <w:sz w:val="18"/>
              </w:rPr>
              <w:t>0</w:t>
            </w:r>
          </w:p>
        </w:tc>
        <w:tc>
          <w:tcPr>
            <w:tcW w:type="dxa" w:w="864"/>
          </w:tcPr>
          <w:p>
            <w:r>
              <w:rPr>
                <w:rFonts w:ascii="Times New Roman" w:hAnsi="Times New Roman"/>
                <w:sz w:val="18"/>
              </w:rPr>
              <w:t>0</w:t>
            </w:r>
          </w:p>
        </w:tc>
        <w:tc>
          <w:tcPr>
            <w:tcW w:type="dxa" w:w="864"/>
          </w:tcPr>
          <w:p>
            <w:r>
              <w:rPr>
                <w:rFonts w:ascii="Times New Roman" w:hAnsi="Times New Roman"/>
                <w:sz w:val="18"/>
              </w:rPr>
              <w:t>No preferred-retail network and mail-order dependence</w:t>
            </w:r>
          </w:p>
        </w:tc>
      </w:tr>
    </w:tbl>
    <w:p>
      <w:r>
        <w:t>Table 7 illustrates why the manuscript reports explanation flags alongside cost. All eight top hybrid rows are fully covered and have 0.00 simulated beneficiary total cost in the local artifact, but the rows are not operationally equivalent. Cases 1 and 4 are comparatively low-friction: all medications are priced, no utilization-management restrictions remain on the top plan, and the ranking is stable across rules and hybrid modes. Cases 2, 3, 6, and 7 also have full coverage and zero simulated OOP, but they retain mail-order dependence and one or two utilization-management restrictions. Case 8 has the strongest warning profile: a full-coverage top plan is available, but the selected network flag is no_preferred_retail, and full-coverage alternatives are rare. For reviewers, this distinction is central: the system is not claiming that zero simulated OOP equals an uncomplicated beneficiary choice; it is preserving the cost result and the access-risk evidence together.</w:t>
      </w:r>
    </w:p>
    <w:p>
      <w:r>
        <w:t>The comparison also shows how LIS status should be interpreted. Case 7 uses the same cardiometabolic prescription set as Case 6 but changes lis_status to full. The top hybrid plan remains the same in this sample, which suggests that the selected plan is robust under the LIS input for this profile. However, as Table 8 shows, the surrounding candidate ordering changes substantially, so the LIS field still affects the ranking landscape even when the top recommendation does not change.</w:t>
      </w:r>
    </w:p>
    <w:p>
      <w:r>
        <w:t>Table 8 shows how cost simulation and model ranking interacted. The negotiated-price column is the sum of fill-level allowed-cost proxies for the top hybrid plan's covered fills. The final drug OOP column is the simulated beneficiary liability after deductible, benefit-year logic, LIS adjustment, insulin logic where applicable, and the 2025 OOP-cap rule.</w:t>
      </w:r>
    </w:p>
    <w:p>
      <w:r>
        <w:rPr>
          <w:b/>
        </w:rPr>
        <w:t>Table 8. Cost-simulation and model-ranking trace for sample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Case</w:t>
            </w:r>
          </w:p>
        </w:tc>
        <w:tc>
          <w:tcPr>
            <w:tcW w:type="dxa" w:w="1440"/>
          </w:tcPr>
          <w:p>
            <w:r>
              <w:rPr>
                <w:rFonts w:ascii="Times New Roman" w:hAnsi="Times New Roman"/>
                <w:b/>
                <w:sz w:val="18"/>
              </w:rPr>
              <w:t>Top-hybrid fill simulation</w:t>
            </w:r>
          </w:p>
        </w:tc>
        <w:tc>
          <w:tcPr>
            <w:tcW w:type="dxa" w:w="1440"/>
          </w:tcPr>
          <w:p>
            <w:r>
              <w:rPr>
                <w:rFonts w:ascii="Times New Roman" w:hAnsi="Times New Roman"/>
                <w:b/>
                <w:sz w:val="18"/>
              </w:rPr>
              <w:t>Negotiated-price proxy</w:t>
            </w:r>
          </w:p>
        </w:tc>
        <w:tc>
          <w:tcPr>
            <w:tcW w:type="dxa" w:w="1440"/>
          </w:tcPr>
          <w:p>
            <w:r>
              <w:rPr>
                <w:rFonts w:ascii="Times New Roman" w:hAnsi="Times New Roman"/>
                <w:b/>
                <w:sz w:val="18"/>
              </w:rPr>
              <w:t>Final drug OOP</w:t>
            </w:r>
          </w:p>
        </w:tc>
        <w:tc>
          <w:tcPr>
            <w:tcW w:type="dxa" w:w="1440"/>
          </w:tcPr>
          <w:p>
            <w:r>
              <w:rPr>
                <w:rFonts w:ascii="Times New Roman" w:hAnsi="Times New Roman"/>
                <w:b/>
                <w:sz w:val="18"/>
              </w:rPr>
              <w:t>Ranking effect</w:t>
            </w:r>
          </w:p>
        </w:tc>
        <w:tc>
          <w:tcPr>
            <w:tcW w:type="dxa" w:w="1440"/>
          </w:tcPr>
          <w:p>
            <w:r>
              <w:rPr>
                <w:rFonts w:ascii="Times New Roman" w:hAnsi="Times New Roman"/>
                <w:b/>
                <w:sz w:val="18"/>
              </w:rPr>
              <w:t>Model score/confidence</w:t>
            </w:r>
          </w:p>
        </w:tc>
      </w:tr>
      <w:tr>
        <w:tc>
          <w:tcPr>
            <w:tcW w:type="dxa" w:w="1440"/>
          </w:tcPr>
          <w:p>
            <w:r>
              <w:rPr>
                <w:rFonts w:ascii="Times New Roman" w:hAnsi="Times New Roman"/>
                <w:sz w:val="18"/>
              </w:rPr>
              <w:t>Case 1</w:t>
            </w:r>
          </w:p>
        </w:tc>
        <w:tc>
          <w:tcPr>
            <w:tcW w:type="dxa" w:w="1440"/>
          </w:tcPr>
          <w:p>
            <w:r>
              <w:rPr>
                <w:rFonts w:ascii="Times New Roman" w:hAnsi="Times New Roman"/>
                <w:sz w:val="18"/>
              </w:rPr>
              <w:t>5 fills per 90-day generic through preferred retail; no deductible or OOP-cap trigger</w:t>
            </w:r>
          </w:p>
        </w:tc>
        <w:tc>
          <w:tcPr>
            <w:tcW w:type="dxa" w:w="1440"/>
          </w:tcPr>
          <w:p>
            <w:r>
              <w:rPr>
                <w:rFonts w:ascii="Times New Roman" w:hAnsi="Times New Roman"/>
                <w:sz w:val="18"/>
              </w:rPr>
              <w:t>233.20</w:t>
            </w:r>
          </w:p>
        </w:tc>
        <w:tc>
          <w:tcPr>
            <w:tcW w:type="dxa" w:w="1440"/>
          </w:tcPr>
          <w:p>
            <w:r>
              <w:rPr>
                <w:rFonts w:ascii="Times New Roman" w:hAnsi="Times New Roman"/>
                <w:sz w:val="18"/>
              </w:rPr>
              <w:t>0.00</w:t>
            </w:r>
          </w:p>
        </w:tc>
        <w:tc>
          <w:tcPr>
            <w:tcW w:type="dxa" w:w="1440"/>
          </w:tcPr>
          <w:p>
            <w:r>
              <w:rPr>
                <w:rFonts w:ascii="Times New Roman" w:hAnsi="Times New Roman"/>
                <w:sz w:val="18"/>
              </w:rPr>
              <w:t>Rules top remained hybrid rank 1; hybrid top was rules rank 1</w:t>
            </w:r>
          </w:p>
        </w:tc>
        <w:tc>
          <w:tcPr>
            <w:tcW w:type="dxa" w:w="1440"/>
          </w:tcPr>
          <w:p>
            <w:r>
              <w:rPr>
                <w:rFonts w:ascii="Times New Roman" w:hAnsi="Times New Roman"/>
                <w:sz w:val="18"/>
              </w:rPr>
              <w:t>10891.22 high</w:t>
            </w:r>
          </w:p>
        </w:tc>
      </w:tr>
      <w:tr>
        <w:tc>
          <w:tcPr>
            <w:tcW w:type="dxa" w:w="1440"/>
          </w:tcPr>
          <w:p>
            <w:r>
              <w:rPr>
                <w:rFonts w:ascii="Times New Roman" w:hAnsi="Times New Roman"/>
                <w:sz w:val="18"/>
              </w:rPr>
              <w:t>Case 2</w:t>
            </w:r>
          </w:p>
        </w:tc>
        <w:tc>
          <w:tcPr>
            <w:tcW w:type="dxa" w:w="1440"/>
          </w:tcPr>
          <w:p>
            <w:r>
              <w:rPr>
                <w:rFonts w:ascii="Times New Roman" w:hAnsi="Times New Roman"/>
                <w:sz w:val="18"/>
              </w:rPr>
              <w:t>13 fills each for Toujeo and Ozempic through preferred mail; no deductible or OOP-cap trigger</w:t>
            </w:r>
          </w:p>
        </w:tc>
        <w:tc>
          <w:tcPr>
            <w:tcW w:type="dxa" w:w="1440"/>
          </w:tcPr>
          <w:p>
            <w:r>
              <w:rPr>
                <w:rFonts w:ascii="Times New Roman" w:hAnsi="Times New Roman"/>
                <w:sz w:val="18"/>
              </w:rPr>
              <w:t>16415.75</w:t>
            </w:r>
          </w:p>
        </w:tc>
        <w:tc>
          <w:tcPr>
            <w:tcW w:type="dxa" w:w="1440"/>
          </w:tcPr>
          <w:p>
            <w:r>
              <w:rPr>
                <w:rFonts w:ascii="Times New Roman" w:hAnsi="Times New Roman"/>
                <w:sz w:val="18"/>
              </w:rPr>
              <w:t>0.00</w:t>
            </w:r>
          </w:p>
        </w:tc>
        <w:tc>
          <w:tcPr>
            <w:tcW w:type="dxa" w:w="1440"/>
          </w:tcPr>
          <w:p>
            <w:r>
              <w:rPr>
                <w:rFonts w:ascii="Times New Roman" w:hAnsi="Times New Roman"/>
                <w:sz w:val="18"/>
              </w:rPr>
              <w:t>Rules top moved to hybrid rank 3; hybrid top was rules rank 13</w:t>
            </w:r>
          </w:p>
        </w:tc>
        <w:tc>
          <w:tcPr>
            <w:tcW w:type="dxa" w:w="1440"/>
          </w:tcPr>
          <w:p>
            <w:r>
              <w:rPr>
                <w:rFonts w:ascii="Times New Roman" w:hAnsi="Times New Roman"/>
                <w:sz w:val="18"/>
              </w:rPr>
              <w:t>10825.09 high</w:t>
            </w:r>
          </w:p>
        </w:tc>
      </w:tr>
      <w:tr>
        <w:tc>
          <w:tcPr>
            <w:tcW w:type="dxa" w:w="1440"/>
          </w:tcPr>
          <w:p>
            <w:r>
              <w:rPr>
                <w:rFonts w:ascii="Times New Roman" w:hAnsi="Times New Roman"/>
                <w:sz w:val="18"/>
              </w:rPr>
              <w:t>Case 3</w:t>
            </w:r>
          </w:p>
        </w:tc>
        <w:tc>
          <w:tcPr>
            <w:tcW w:type="dxa" w:w="1440"/>
          </w:tcPr>
          <w:p>
            <w:r>
              <w:rPr>
                <w:rFonts w:ascii="Times New Roman" w:hAnsi="Times New Roman"/>
                <w:sz w:val="18"/>
              </w:rPr>
              <w:t>13 fills each for Humira and Eliquis through preferred mail; no deductible or OOP-cap trigger</w:t>
            </w:r>
          </w:p>
        </w:tc>
        <w:tc>
          <w:tcPr>
            <w:tcW w:type="dxa" w:w="1440"/>
          </w:tcPr>
          <w:p>
            <w:r>
              <w:rPr>
                <w:rFonts w:ascii="Times New Roman" w:hAnsi="Times New Roman"/>
                <w:sz w:val="18"/>
              </w:rPr>
              <w:t>96497.83</w:t>
            </w:r>
          </w:p>
        </w:tc>
        <w:tc>
          <w:tcPr>
            <w:tcW w:type="dxa" w:w="1440"/>
          </w:tcPr>
          <w:p>
            <w:r>
              <w:rPr>
                <w:rFonts w:ascii="Times New Roman" w:hAnsi="Times New Roman"/>
                <w:sz w:val="18"/>
              </w:rPr>
              <w:t>0.00</w:t>
            </w:r>
          </w:p>
        </w:tc>
        <w:tc>
          <w:tcPr>
            <w:tcW w:type="dxa" w:w="1440"/>
          </w:tcPr>
          <w:p>
            <w:r>
              <w:rPr>
                <w:rFonts w:ascii="Times New Roman" w:hAnsi="Times New Roman"/>
                <w:sz w:val="18"/>
              </w:rPr>
              <w:t>Rules top moved to hybrid rank 24; hybrid top was rules rank 16</w:t>
            </w:r>
          </w:p>
        </w:tc>
        <w:tc>
          <w:tcPr>
            <w:tcW w:type="dxa" w:w="1440"/>
          </w:tcPr>
          <w:p>
            <w:r>
              <w:rPr>
                <w:rFonts w:ascii="Times New Roman" w:hAnsi="Times New Roman"/>
                <w:sz w:val="18"/>
              </w:rPr>
              <w:t>10825.09 high</w:t>
            </w:r>
          </w:p>
        </w:tc>
      </w:tr>
      <w:tr>
        <w:tc>
          <w:tcPr>
            <w:tcW w:type="dxa" w:w="1440"/>
          </w:tcPr>
          <w:p>
            <w:r>
              <w:rPr>
                <w:rFonts w:ascii="Times New Roman" w:hAnsi="Times New Roman"/>
                <w:sz w:val="18"/>
              </w:rPr>
              <w:t>Case 4</w:t>
            </w:r>
          </w:p>
        </w:tc>
        <w:tc>
          <w:tcPr>
            <w:tcW w:type="dxa" w:w="1440"/>
          </w:tcPr>
          <w:p>
            <w:r>
              <w:rPr>
                <w:rFonts w:ascii="Times New Roman" w:hAnsi="Times New Roman"/>
                <w:sz w:val="18"/>
              </w:rPr>
              <w:t>13 lisinopril fills through preferred mail; no deductible or OOP-cap trigger</w:t>
            </w:r>
          </w:p>
        </w:tc>
        <w:tc>
          <w:tcPr>
            <w:tcW w:type="dxa" w:w="1440"/>
          </w:tcPr>
          <w:p>
            <w:r>
              <w:rPr>
                <w:rFonts w:ascii="Times New Roman" w:hAnsi="Times New Roman"/>
                <w:sz w:val="18"/>
              </w:rPr>
              <w:t>6.63</w:t>
            </w:r>
          </w:p>
        </w:tc>
        <w:tc>
          <w:tcPr>
            <w:tcW w:type="dxa" w:w="1440"/>
          </w:tcPr>
          <w:p>
            <w:r>
              <w:rPr>
                <w:rFonts w:ascii="Times New Roman" w:hAnsi="Times New Roman"/>
                <w:sz w:val="18"/>
              </w:rPr>
              <w:t>0.00</w:t>
            </w:r>
          </w:p>
        </w:tc>
        <w:tc>
          <w:tcPr>
            <w:tcW w:type="dxa" w:w="1440"/>
          </w:tcPr>
          <w:p>
            <w:r>
              <w:rPr>
                <w:rFonts w:ascii="Times New Roman" w:hAnsi="Times New Roman"/>
                <w:sz w:val="18"/>
              </w:rPr>
              <w:t>Rules top remained hybrid rank 1; hybrid top was rules rank 1</w:t>
            </w:r>
          </w:p>
        </w:tc>
        <w:tc>
          <w:tcPr>
            <w:tcW w:type="dxa" w:w="1440"/>
          </w:tcPr>
          <w:p>
            <w:r>
              <w:rPr>
                <w:rFonts w:ascii="Times New Roman" w:hAnsi="Times New Roman"/>
                <w:sz w:val="18"/>
              </w:rPr>
              <w:t>10894.22 high</w:t>
            </w:r>
          </w:p>
        </w:tc>
      </w:tr>
      <w:tr>
        <w:tc>
          <w:tcPr>
            <w:tcW w:type="dxa" w:w="1440"/>
          </w:tcPr>
          <w:p>
            <w:r>
              <w:rPr>
                <w:rFonts w:ascii="Times New Roman" w:hAnsi="Times New Roman"/>
                <w:sz w:val="18"/>
              </w:rPr>
              <w:t>Case 5</w:t>
            </w:r>
          </w:p>
        </w:tc>
        <w:tc>
          <w:tcPr>
            <w:tcW w:type="dxa" w:w="1440"/>
          </w:tcPr>
          <w:p>
            <w:r>
              <w:rPr>
                <w:rFonts w:ascii="Times New Roman" w:hAnsi="Times New Roman"/>
                <w:sz w:val="18"/>
              </w:rPr>
              <w:t>13 fills each for albuterol and omeprazole through preferred retail; no deductible or OOP-cap trigger</w:t>
            </w:r>
          </w:p>
        </w:tc>
        <w:tc>
          <w:tcPr>
            <w:tcW w:type="dxa" w:w="1440"/>
          </w:tcPr>
          <w:p>
            <w:r>
              <w:rPr>
                <w:rFonts w:ascii="Times New Roman" w:hAnsi="Times New Roman"/>
                <w:sz w:val="18"/>
              </w:rPr>
              <w:t>174.20</w:t>
            </w:r>
          </w:p>
        </w:tc>
        <w:tc>
          <w:tcPr>
            <w:tcW w:type="dxa" w:w="1440"/>
          </w:tcPr>
          <w:p>
            <w:r>
              <w:rPr>
                <w:rFonts w:ascii="Times New Roman" w:hAnsi="Times New Roman"/>
                <w:sz w:val="18"/>
              </w:rPr>
              <w:t>0.00</w:t>
            </w:r>
          </w:p>
        </w:tc>
        <w:tc>
          <w:tcPr>
            <w:tcW w:type="dxa" w:w="1440"/>
          </w:tcPr>
          <w:p>
            <w:r>
              <w:rPr>
                <w:rFonts w:ascii="Times New Roman" w:hAnsi="Times New Roman"/>
                <w:sz w:val="18"/>
              </w:rPr>
              <w:t>Rules top remained hybrid rank 1; hybrid top was rules rank 1</w:t>
            </w:r>
          </w:p>
        </w:tc>
        <w:tc>
          <w:tcPr>
            <w:tcW w:type="dxa" w:w="1440"/>
          </w:tcPr>
          <w:p>
            <w:r>
              <w:rPr>
                <w:rFonts w:ascii="Times New Roman" w:hAnsi="Times New Roman"/>
                <w:sz w:val="18"/>
              </w:rPr>
              <w:t>10853.21 high</w:t>
            </w:r>
          </w:p>
        </w:tc>
      </w:tr>
      <w:tr>
        <w:tc>
          <w:tcPr>
            <w:tcW w:type="dxa" w:w="1440"/>
          </w:tcPr>
          <w:p>
            <w:r>
              <w:rPr>
                <w:rFonts w:ascii="Times New Roman" w:hAnsi="Times New Roman"/>
                <w:sz w:val="18"/>
              </w:rPr>
              <w:t>Case 6</w:t>
            </w:r>
          </w:p>
        </w:tc>
        <w:tc>
          <w:tcPr>
            <w:tcW w:type="dxa" w:w="1440"/>
          </w:tcPr>
          <w:p>
            <w:r>
              <w:rPr>
                <w:rFonts w:ascii="Times New Roman" w:hAnsi="Times New Roman"/>
                <w:sz w:val="18"/>
              </w:rPr>
              <w:t>13 fills each for Jardiance, Entresto, and gabapentin through preferred mail; no deductible or OOP-cap trigger</w:t>
            </w:r>
          </w:p>
        </w:tc>
        <w:tc>
          <w:tcPr>
            <w:tcW w:type="dxa" w:w="1440"/>
          </w:tcPr>
          <w:p>
            <w:r>
              <w:rPr>
                <w:rFonts w:ascii="Times New Roman" w:hAnsi="Times New Roman"/>
                <w:sz w:val="18"/>
              </w:rPr>
              <w:t>17637.75</w:t>
            </w:r>
          </w:p>
        </w:tc>
        <w:tc>
          <w:tcPr>
            <w:tcW w:type="dxa" w:w="1440"/>
          </w:tcPr>
          <w:p>
            <w:r>
              <w:rPr>
                <w:rFonts w:ascii="Times New Roman" w:hAnsi="Times New Roman"/>
                <w:sz w:val="18"/>
              </w:rPr>
              <w:t>0.00</w:t>
            </w:r>
          </w:p>
        </w:tc>
        <w:tc>
          <w:tcPr>
            <w:tcW w:type="dxa" w:w="1440"/>
          </w:tcPr>
          <w:p>
            <w:r>
              <w:rPr>
                <w:rFonts w:ascii="Times New Roman" w:hAnsi="Times New Roman"/>
                <w:sz w:val="18"/>
              </w:rPr>
              <w:t>Rules top moved to hybrid rank 28; hybrid top was rules rank 20</w:t>
            </w:r>
          </w:p>
        </w:tc>
        <w:tc>
          <w:tcPr>
            <w:tcW w:type="dxa" w:w="1440"/>
          </w:tcPr>
          <w:p>
            <w:r>
              <w:rPr>
                <w:rFonts w:ascii="Times New Roman" w:hAnsi="Times New Roman"/>
                <w:sz w:val="18"/>
              </w:rPr>
              <w:t>10853.21 high</w:t>
            </w:r>
          </w:p>
        </w:tc>
      </w:tr>
      <w:tr>
        <w:tc>
          <w:tcPr>
            <w:tcW w:type="dxa" w:w="1440"/>
          </w:tcPr>
          <w:p>
            <w:r>
              <w:rPr>
                <w:rFonts w:ascii="Times New Roman" w:hAnsi="Times New Roman"/>
                <w:sz w:val="18"/>
              </w:rPr>
              <w:t>Case 7</w:t>
            </w:r>
          </w:p>
        </w:tc>
        <w:tc>
          <w:tcPr>
            <w:tcW w:type="dxa" w:w="1440"/>
          </w:tcPr>
          <w:p>
            <w:r>
              <w:rPr>
                <w:rFonts w:ascii="Times New Roman" w:hAnsi="Times New Roman"/>
                <w:sz w:val="18"/>
              </w:rPr>
              <w:t>Same fill path as Case 6 under full LIS; LIS-adjusted final OOP remained 0.00 in the top trace</w:t>
            </w:r>
          </w:p>
        </w:tc>
        <w:tc>
          <w:tcPr>
            <w:tcW w:type="dxa" w:w="1440"/>
          </w:tcPr>
          <w:p>
            <w:r>
              <w:rPr>
                <w:rFonts w:ascii="Times New Roman" w:hAnsi="Times New Roman"/>
                <w:sz w:val="18"/>
              </w:rPr>
              <w:t>17637.75</w:t>
            </w:r>
          </w:p>
        </w:tc>
        <w:tc>
          <w:tcPr>
            <w:tcW w:type="dxa" w:w="1440"/>
          </w:tcPr>
          <w:p>
            <w:r>
              <w:rPr>
                <w:rFonts w:ascii="Times New Roman" w:hAnsi="Times New Roman"/>
                <w:sz w:val="18"/>
              </w:rPr>
              <w:t>0.00</w:t>
            </w:r>
          </w:p>
        </w:tc>
        <w:tc>
          <w:tcPr>
            <w:tcW w:type="dxa" w:w="1440"/>
          </w:tcPr>
          <w:p>
            <w:r>
              <w:rPr>
                <w:rFonts w:ascii="Times New Roman" w:hAnsi="Times New Roman"/>
                <w:sz w:val="18"/>
              </w:rPr>
              <w:t>Rules top moved to hybrid rank 40; hybrid top was rules rank 20</w:t>
            </w:r>
          </w:p>
        </w:tc>
        <w:tc>
          <w:tcPr>
            <w:tcW w:type="dxa" w:w="1440"/>
          </w:tcPr>
          <w:p>
            <w:r>
              <w:rPr>
                <w:rFonts w:ascii="Times New Roman" w:hAnsi="Times New Roman"/>
                <w:sz w:val="18"/>
              </w:rPr>
              <w:t>10853.21 high</w:t>
            </w:r>
          </w:p>
        </w:tc>
      </w:tr>
      <w:tr>
        <w:tc>
          <w:tcPr>
            <w:tcW w:type="dxa" w:w="1440"/>
          </w:tcPr>
          <w:p>
            <w:r>
              <w:rPr>
                <w:rFonts w:ascii="Times New Roman" w:hAnsi="Times New Roman"/>
                <w:sz w:val="18"/>
              </w:rPr>
              <w:t>Case 8</w:t>
            </w:r>
          </w:p>
        </w:tc>
        <w:tc>
          <w:tcPr>
            <w:tcW w:type="dxa" w:w="1440"/>
          </w:tcPr>
          <w:p>
            <w:r>
              <w:rPr>
                <w:rFonts w:ascii="Times New Roman" w:hAnsi="Times New Roman"/>
                <w:sz w:val="18"/>
              </w:rPr>
              <w:t>13 Rivfloza fills through nonpreferred mail; sparse full-coverage set; no deductible or OOP-cap trigger in top trace</w:t>
            </w:r>
          </w:p>
        </w:tc>
        <w:tc>
          <w:tcPr>
            <w:tcW w:type="dxa" w:w="1440"/>
          </w:tcPr>
          <w:p>
            <w:r>
              <w:rPr>
                <w:rFonts w:ascii="Times New Roman" w:hAnsi="Times New Roman"/>
                <w:sz w:val="18"/>
              </w:rPr>
              <w:t>856671.53</w:t>
            </w:r>
          </w:p>
        </w:tc>
        <w:tc>
          <w:tcPr>
            <w:tcW w:type="dxa" w:w="1440"/>
          </w:tcPr>
          <w:p>
            <w:r>
              <w:rPr>
                <w:rFonts w:ascii="Times New Roman" w:hAnsi="Times New Roman"/>
                <w:sz w:val="18"/>
              </w:rPr>
              <w:t>0.00</w:t>
            </w:r>
          </w:p>
        </w:tc>
        <w:tc>
          <w:tcPr>
            <w:tcW w:type="dxa" w:w="1440"/>
          </w:tcPr>
          <w:p>
            <w:r>
              <w:rPr>
                <w:rFonts w:ascii="Times New Roman" w:hAnsi="Times New Roman"/>
                <w:sz w:val="18"/>
              </w:rPr>
              <w:t>Rules top remained hybrid rank 1; hybrid top was rules rank 1</w:t>
            </w:r>
          </w:p>
        </w:tc>
        <w:tc>
          <w:tcPr>
            <w:tcW w:type="dxa" w:w="1440"/>
          </w:tcPr>
          <w:p>
            <w:r>
              <w:rPr>
                <w:rFonts w:ascii="Times New Roman" w:hAnsi="Times New Roman"/>
                <w:sz w:val="18"/>
              </w:rPr>
              <w:t>10817.51 high</w:t>
            </w:r>
          </w:p>
        </w:tc>
      </w:tr>
    </w:tbl>
    <w:p>
      <w:r>
        <w:t>The sample results clarify how cost simulation and ranking interact. First, the cost simulator can observe large negotiated-price proxies while reporting zero beneficiary OOP for the selected top plan, because the displayed OOP is the simulated beneficiary liability after plan cost-sharing rules, channel selection, LIS logic, insulin logic where applicable, and annual aggregation. This is why the manuscript reports both negotiated-price traces and final OOP. A 0.00 value should be interpreted as a current-artifact public-file estimate, not as a guarantee that every pharmacy transaction would adjudicate at zero cost.</w:t>
      </w:r>
    </w:p>
    <w:p>
      <w:r>
        <w:t>Across cases, the ranking trace separates stable recommendations from learned reranking effects. Cases 1, 4, and 5 are stable because the rules winner remains the hybrid winner: these cases have broad full-coverage availability, low or moderate negotiated-price exposure, and few residual access warnings. Case 8 is also stable, but for a different reason. Its rules and hybrid winners match because the full-coverage set is very small; the model has limited safe room to reorder candidates without leaving the full-coverage and fully priceable bucket.</w:t>
      </w:r>
    </w:p>
    <w:p>
      <w:r>
        <w:t>Cases 2, 3, 6, and 7 show the substantive role of the hybrid reranker. In these cases, the deterministic rules top plan was moved to hybrid ranks 3, 24, 28, and 40, while the hybrid-selected plan came from rules ranks 13, 16, 20, and 20. The learned layer therefore did not invent new candidates or override safety constraints; it reordered candidates that had already passed the rules-first simulation. The strongest movement occurs in clinically intensive regimens where multiple plans share full coverage and zero simulated OOP but differ in restriction burden, channel dependence, network evidence, and feature patterns learned from replayed scenarios.</w:t>
      </w:r>
    </w:p>
    <w:p>
      <w:r>
        <w:t>The Case 6 and Case 7 pair is useful because it isolates LIS sensitivity. The prescription set, ZIP, selected channel, negotiated-price trace, and top hybrid plan are the same, but the rules top plan falls farther under hybrid ranking when full LIS is present. This indicates that LIS can alter relative plan ordering even when the top plan's observed cost trace is unchanged. In practical terms, LIS should not be treated only as a final cost-sharing adjustment; it is also part of the feature context that changes which tradeoffs are emphasized during constrained reranking.</w:t>
      </w:r>
    </w:p>
    <w:p>
      <w:r>
        <w:t>The high-cost specialty stress case is especially informative. Only 6 of 126 candidate plans were fully covered and fully priceable for Rivfloza, compared with more than 99 full-coverage plans in most other cases. Even though the top simulated beneficiary OOP was 0.00, the negotiated-price proxy exceeded 856,000 across scheduled fills and the selected plan had no preferred-retail network status. This is exactly the type of case where explanation fields are necessary: the result is not simply "low cost," but "full coverage in a sparse market with large underlying price exposure and channel limitations."</w:t>
      </w:r>
    </w:p>
    <w:p>
      <w:r>
        <w:t>Taken together, the eight cases support three reviewer-facing conclusions. First, sample retrieval confirms that the recommendation workflow is evidence preserving: coverage, priceability, channel, restrictions, and model rank are all retained in the output rather than collapsed into a single cost number. Second, the hybrid reranker behaves as a constrained tie-breaker and re-ordering layer, not as an autonomous plan selector; it changes rankings primarily where several simulated candidates occupy the same safety bucket. Third, the most clinically and operationally important cases are not always those with the lowest final OOP, but those where final OOP, negotiated-price exposure, coverage scarcity, and access warnings disagree. Those disagreements are precisely where the explanation layer is needed.</w:t>
      </w:r>
    </w:p>
    <w:p>
      <w:pPr>
        <w:pStyle w:val="Heading2"/>
      </w:pPr>
      <w:r>
        <w:t>6. Discussion</w:t>
      </w:r>
    </w:p>
    <w:p>
      <w:r>
        <w:t>This manuscript's main claim is that Medicare Part D recommendation can be implemented as a transparent software pipeline rather than as a black-box ranking problem. That claim is supported by the architecture, the feature design, and the evaluation results.</w:t>
      </w:r>
    </w:p>
    <w:p>
      <w:r>
        <w:t>The novelty is therefore systems and methods novelty rather than a claim of algorithmic novelty. Ridge regression and a shallow residual tree ensemble are intentionally modest models. Their role is to test whether an explainable, policy-shaped evidence table can support useful constrained reranking after deterministic simulation has already produced plan facts. This framing is important for review because the paper's primary contribution is the auditable connection between public data, benefit-year logic, beneficiary-level fill simulation, explanation, and evaluation.</w:t>
      </w:r>
    </w:p>
    <w:p>
      <w:r>
        <w:t>Viewed end to end, the study proceeds from provenance-constrained inputs to medallion serving tables, from rules-first beneficiary recommendation and explanation generation to scenario replay and weak-label supervision, and from constrained reranking to held-out evaluation and reviewer-facing case retrieval. Making that sequence visible is important because it shows that the machine-learning layer is downstream of deterministic plan facts rather than a replacement for them.</w:t>
      </w:r>
    </w:p>
    <w:p>
      <w:r>
        <w:t>The software-method contribution is the explicit separation of roles inside the system. The public CMS quarter determines the plan-design snapshot. The medallion pipeline normalizes that quarter into auditable tables. The rules engine simulates beneficiary-facing cost and access logic. Scenario replay converts that same logic into a modeling dataset. The reranker changes ordering only after those facts exist. This sequence matters because it preserves an explanation trail from raw input to final recommendation.</w:t>
      </w:r>
    </w:p>
    <w:p>
      <w:r>
        <w:t>The policy-aware contribution is the use of benefit-year, formulary, restriction, insulin, LIS, pharmacy-network, and incomplete-observability signals as first-order modeling objects rather than as background covariates. The sample cases show why that matters. A high-cost drug can have very large negotiated-price exposure while simulated beneficiary OOP is zero in a selected top plan; a plan can be fully covered but dependent on mail order; and a specialty drug can be covered by only a small subset of local candidate plans. These are not edge details in Medicare Part D. They are the practical substance of plan comparison.</w:t>
      </w:r>
    </w:p>
    <w:p>
      <w:r>
        <w:t>The results also support a restrained view of machine learning in regulated recommendation. The tree reranker improved internal ranking quality, but the strongest ablation subset was still based on highly interpretable features: cost, restrictions, and network. That is exactly the outcome one would want in a high-stakes domain. It suggests that the model adds value without requiring an opaque, difficult-to-govern feature space. This design is consistent with health recommender-system and clinical decision-support literature that treats interpretability, workflow fit, and real-world evaluation as core requirements rather than optional presentation features [16,17,32,33].</w:t>
      </w:r>
    </w:p>
    <w:p>
      <w:r>
        <w:t>The explainability and safety contribution is more mixed, and therefore more useful. Top-k agreement improved substantially, but the uncovered-not-worse guardrail was not fully satisfied. The correct interpretation is not that the model is unsafe in general or that it should be discarded. Rather, it shows why the system must report coverage, restrictions, network status, missing-data flags, and sample-level traces alongside ranking metrics. In this domain, a better order is only useful if the user can inspect why that order was produced.</w:t>
      </w:r>
    </w:p>
    <w:p>
      <w:r>
        <w:t>The provenance clarification in this reviewer-oriented revision is equally important. Public CMS quarterly plan files and restricted PDE data are not interchangeable [18-20]. By making the public-versus-restricted boundary explicit, the manuscript avoids overstating what the current artifact can claim. The public software demonstrates a plan-design and decision-support pipeline under incomplete observability. It does not claim to be a full claims-based simulator of beneficiary behavior.</w:t>
      </w:r>
    </w:p>
    <w:p>
      <w:r>
        <w:t>The quarter-aware framing is also methodologically necessary. Part D benefit design changed materially in 2025, and plan incentives continue to evolve [6-9]. A recommendation system that ignores benefit-year logic or quarter-specific public files can produce stale or misleading outputs even if its model metrics appear acceptable.</w:t>
      </w:r>
    </w:p>
    <w:p>
      <w:r>
        <w:t>Deployment readiness remains a separate question. The current artifact is strong enough to support software-method evaluation, scenario-held-out reranking analysis, and reviewer-facing retrieval probes. It is not yet a production enrollment advisor because external Plan Finder benchmarking, MA-PD/SNP eligibility filters, restricted-data validation, and prospective counselor usability testing remain future work.</w:t>
      </w:r>
    </w:p>
    <w:p>
      <w:pPr>
        <w:pStyle w:val="Heading3"/>
      </w:pPr>
      <w:r>
        <w:t>6.1 Methodological interpretation of the sample cases</w:t>
      </w:r>
    </w:p>
    <w:p>
      <w:r>
        <w:t>The expanded sample cases clarify the research flow in ways that aggregate evaluation metrics do not. First, they show that recommendation retrieval is not a single model call. It is a sequential workflow: drug resolution, candidate plan construction, fill-level cost simulation, explanation generation, rules ranking, and optional constrained reranking. Each step leaves observable traces that can be audited. In that sense, the cases operationalize the phases shown in Section 4.1 rather than merely illustrating isolated recommendations.</w:t>
      </w:r>
    </w:p>
    <w:p>
      <w:r>
        <w:t>Second, the sample cases show why exact drug identity matters. Exact NDC inputs allowed the insulin, GLP-1, specialty biologic, anticoagulant, cardiometabolic, respiratory, and high-cost specialty cases to proceed without unintended manual-review blockage. This supports the manuscript's claim that medication matching is part of the safety system rather than a preprocessing detail.</w:t>
      </w:r>
    </w:p>
    <w:p>
      <w:r>
        <w:t>Third, the cases show how rules-only and hybrid ranking can diverge without violating coverage constraints. In the insulin, specialty, and mixed-restriction cases, the hybrid top plan was not the rules-only top plan. The reranker nevertheless operated within the same coverage-priceability bucket and preserved explanation fields for restrictions, mail dependence, and network status. That behavior is useful for reviewers because it demonstrates that the reranker changes trade-off ordering rather than erasing core plan facts.</w:t>
      </w:r>
    </w:p>
    <w:p>
      <w:r>
        <w:t>Finally, the sample cases reveal implementation boundaries that should remain visible in the manuscript. The top retrieved plans for ZIP 90001 and ZIP 93543 were county-based MA-PD or HMO/HMO-POS plans, including SNP-like plan names in some rankings. A production deployment should therefore add explicit beneficiary eligibility filters for MA-PD, D-SNP, and C-SNP enrollment constraints before presenting outputs as actionable enrollment advice. In this manuscript, the cases are evidence of software workflow behavior, not beneficiary-specific clinical or enrollment recommendations.</w:t>
      </w:r>
    </w:p>
    <w:p>
      <w:pPr>
        <w:pStyle w:val="Heading2"/>
      </w:pPr>
      <w:r>
        <w:t>7. Limitations</w:t>
      </w:r>
    </w:p>
    <w:p>
      <w:r>
        <w:t>This study has several important limitations that should be stated plainly.</w:t>
      </w:r>
    </w:p>
    <w:p>
      <w:r>
        <w:t>First, the evaluation is internal and scenario-based. Weak-label agreement is an internal validity measure of alignment with the study's explicit preference structure, not a clinical gold standard and not a causal measure of beneficiary outcomes. The current artifact therefore does not prove that beneficiaries would switch to better plans, spend less after enrollment, or experience improved adherence or satisfaction.</w:t>
      </w:r>
    </w:p>
    <w:p>
      <w:r>
        <w:t>Second, public CMS files do not expose all economically relevant signals. Rebates, net prices, some PBM incentive structures, and actual pharmacy-adjudication behavior are only partially or indirectly observable in the public release. The recommender should therefore be interpreted as decision support under incomplete observability rather than as an optimizer against full market truth.</w:t>
      </w:r>
    </w:p>
    <w:p>
      <w:r>
        <w:t>Third, the PDE-compatible layer is not equivalent to unrestricted CMS PDE access. In the current artifact it is a local sample aligned to PDE documentation and used for defaults and scenario generation, not definitive real-world behavior measurement. Any future claims-grounded extension would require restricted CMS data access, formal governance, and updated evaluation.</w:t>
      </w:r>
    </w:p>
    <w:p>
      <w:r>
        <w:t>Fourth, pharmacy access is approximated using network flags and ZIP-based geography rather than full beneficiary travel behavior. Preferred pharmacy distance and channel usability are therefore proxies, not exact access measures.</w:t>
      </w:r>
    </w:p>
    <w:p>
      <w:r>
        <w:t>Fifth, the current public artifact does not yet include a frozen external comparator such as a Medicare Plan Finder export for matched sentinel cases. The heuristic comparator is reproducible and useful, but external face-validity benchmarking remains a next step.</w:t>
      </w:r>
    </w:p>
    <w:p>
      <w:r>
        <w:t>Sixth, uncertainty quantification is incomplete. The current manuscript reports locked split-level point estimates across scenario-, ZIP-, and regimen-held-out modes, but it does not yet include bootstrap confidence intervals, repeated generator seeds, repeated model-training seeds, or paired scenario-level tests. These analyses are needed before the ranking gains should be interpreted as statistically stable rather than artifact-specific.</w:t>
      </w:r>
    </w:p>
    <w:p>
      <w:r>
        <w:t>Seventh, post-IRA plan behavior is still evolving. Recent studies report design changes in deductibles, coinsurance, premiums, formularies, and coverage-option structure after the 2025 redesign [29-31]. The software should therefore be evaluated as a quarter-frozen artifact and refreshed for each benefit year before any operational use.</w:t>
      </w:r>
    </w:p>
    <w:p>
      <w:r>
        <w:t>Finally, this manuscript does not yet report prospective usability evaluation with counselors or beneficiaries. Because explanation is central to the system's intended use, that omission is substantive rather than incidental.</w:t>
      </w:r>
    </w:p>
    <w:p>
      <w:pPr>
        <w:pStyle w:val="Heading2"/>
      </w:pPr>
      <w:r>
        <w:t>8. Conclusion</w:t>
      </w:r>
    </w:p>
    <w:p>
      <w:r>
        <w:t>CMS-MPD-Recommendation is an explainable, policy-aware software pipeline for Medicare Part D plan recommendation under incomplete observability. Its public artifact is built from quarter-frozen CMS plan-design files, local reference enrichments, and a PDE-compatible layer that is explicitly separated from restricted claims data. The system combines medallion data engineering, medication-resolution safeguards, fill-level beneficiary liability simulation, structured explanation outputs, and constrained reranking over already simulated plan rows. In the 2025-Q3 full evaluation, the tree reranker improved top-1 agreement, top-5 overlap, and NDCG across scenario-, ZIP-, and regimen-held-out modes, but it did not satisfy the uncovered-drug-burden guardrail. That mixed result is the central conclusion of the study. The software demonstrates a credible methodology for auditable Part D decision support and reranker evaluation, while also showing why external comparator packaging, uncertainty intervals, eligibility filters, and prospective counselor-facing evaluation are necessary before deployment-like claims can be made.</w:t>
      </w:r>
    </w:p>
    <w:p>
      <w:pPr>
        <w:pStyle w:val="Heading2"/>
      </w:pPr>
      <w:r>
        <w:t>Data availability</w:t>
      </w:r>
    </w:p>
    <w:p>
      <w:r>
        <w:t>Public Medicare Part D formulary, pharmacy network, pricing, geography, and related plan files used in this study are available from the CMS quarterly public-use release [18]. Restricted Prescription Drug Event data are not part of the public replication boundary and require separate CMS approval under a Data Use Agreement [19,20]. The current public manuscript state is designed so that the main plan-design pipeline can be understood and reproduced from public inputs, local schema definitions, and derived artifacts.</w:t>
      </w:r>
    </w:p>
    <w:p>
      <w:r>
        <w:t>Before submission, the data package should identify which local enrichments are regenerated from public APIs or libraries, which are bundled as shareable derived fixtures, and which are represented only by synthetic replacements or schema-compatible stubs. This distinction is especially important for pde.csv, which should not be described as public claims data.</w:t>
      </w:r>
    </w:p>
    <w:p>
      <w:pPr>
        <w:pStyle w:val="Heading2"/>
      </w:pPr>
      <w:r>
        <w:t>Code availability</w:t>
      </w:r>
    </w:p>
    <w:p>
      <w:r>
        <w:t>The software described in this manuscript is implemented in the local CMS-MPD-Recommendation workspace associated with this reviewer revision. Before journal submission, this exact code state should be archived as a versioned public release with a DOI, software license, citation file, dependency lockfile, release manifest, and one-command regeneration script for manuscript tables and figures. Until that archive exists, this manuscript should be treated as a submission-preparation draft rather than the final archival record.</w:t>
      </w:r>
    </w:p>
    <w:p>
      <w:pPr>
        <w:pStyle w:val="Heading2"/>
      </w:pPr>
      <w:r>
        <w:t>Ethics statement</w:t>
      </w:r>
    </w:p>
    <w:p>
      <w:r>
        <w:t>This study used publicly available administrative plan-design data and non-identifiable synthetic or PDE-compatible sample records for software evaluation. No intervention involving human participants was conducted, and no identifiable beneficiary-level data are reported in this manuscript draft. Institutional review board approval was therefore not required for the work described here. If restricted CMS beneficiary-level data are used in future work, those analyses should be conducted under the applicable Data Use Agreement and oversight requirements.</w:t>
      </w:r>
    </w:p>
    <w:p>
      <w:pPr>
        <w:pStyle w:val="Heading2"/>
      </w:pPr>
      <w:r>
        <w:t>Funding</w:t>
      </w:r>
    </w:p>
    <w:p>
      <w:r>
        <w:t>This research did not receive any specific grant from funding agencies in the public, commercial, or not-for-profit sectors.</w:t>
      </w:r>
    </w:p>
    <w:p>
      <w:pPr>
        <w:pStyle w:val="Heading2"/>
      </w:pPr>
      <w:r>
        <w:t>Declaration of competing interests</w:t>
      </w:r>
    </w:p>
    <w:p>
      <w:r>
        <w:t>The authors declare that they have no known competing financial interests or personal relationships that could have appeared to influence the work reported in this paper.</w:t>
      </w:r>
    </w:p>
    <w:p>
      <w:pPr>
        <w:pStyle w:val="Heading2"/>
      </w:pPr>
      <w:r>
        <w:t>CRediT authorship contribution statement</w:t>
      </w:r>
    </w:p>
    <w:p>
      <w:r>
        <w:t>Author A: Conceptualization, Methodology, Software, Formal analysis, Writing - original draft.</w:t>
      </w:r>
    </w:p>
    <w:p>
      <w:r>
        <w:t>Author B: Data curation, Validation, Visualization, Writing - review and editing.</w:t>
      </w:r>
    </w:p>
    <w:p>
      <w:r>
        <w:t>Author C: Supervision, Methodology, Writing - review and editing.</w:t>
      </w:r>
    </w:p>
    <w:p>
      <w:r>
        <w:t>Replace placeholder names and roles before submission if the actual contribution map differs.</w:t>
      </w:r>
    </w:p>
    <w:p>
      <w:pPr>
        <w:pStyle w:val="Heading2"/>
      </w:pPr>
      <w:r>
        <w:t>Declaration of generative AI and AI-assisted technologies</w:t>
      </w:r>
    </w:p>
    <w:p>
      <w:r>
        <w:t>During preparation of this manuscript draft, OpenAI Codex/ChatGPT was used to help organize manuscript revisions, align the text with journal expectations, and edit language for clarity. The authors reviewed and take responsibility for all content, interpretations, results, and conclusions. No generative AI tool was used to generate study results or alter figure evidence.</w:t>
      </w:r>
    </w:p>
    <w:p>
      <w:pPr>
        <w:pStyle w:val="Heading2"/>
      </w:pPr>
      <w:r>
        <w:t>Acknowledgements</w:t>
      </w:r>
    </w:p>
    <w:p>
      <w:r>
        <w:t>The authors acknowledge the public CMS documentation and data ecosystem that makes quarter-specific Medicare Part D plan-design analysis possible, and the counseling-oriented problem framing that shaped the system's emphasis on explanation and guardrails.</w:t>
      </w:r>
    </w:p>
    <w:p>
      <w:pPr>
        <w:pStyle w:val="Heading2"/>
      </w:pPr>
      <w:r>
        <w:t>Suggested figure and table package for submission</w:t>
      </w:r>
    </w:p>
    <w:p>
      <w:r>
        <w:t>Figure 1. Medicare Part D data lifecycle and CMS-MPD medallion pipeline.</w:t>
      </w:r>
    </w:p>
    <w:p>
      <w:r>
        <w:t>Caption: Public CMS quarterly plan-design files are ingested into bronze storage, normalized into silver relational tables, transformed into gold recommendation features, and consumed by transparent scoring and constrained reranking layers. The PDE-compatible layer is a behavioral extension, not a public-data substitute.</w:t>
      </w:r>
    </w:p>
    <w:p>
      <w:r>
        <w:t>Figure 2. Beneficiary request to recommendation workflow.</w:t>
      </w:r>
    </w:p>
    <w:p>
      <w:r>
        <w:t>Caption: Beneficiary inputs, medication normalization, ZIP eligibility, fill-level cost simulation, explanation-card construction, and final top-k ranking.</w:t>
      </w:r>
    </w:p>
    <w:p>
      <w:r>
        <w:t>Figure 3. Overall research flow, scenario generation, and evaluation design.</w:t>
      </w:r>
    </w:p>
    <w:p>
      <w:r>
        <w:t>Caption: Provenance inputs, medallion serving-layer construction, rules-first recommendation and explanation generation, mixed-source canonical scenario generation, replay dataset construction, weak-label supervision, constrained reranking, held-out evaluation, and reviewer-facing retrieval outputs.</w:t>
      </w:r>
    </w:p>
    <w:p>
      <w:r>
        <w:t>Figure 4. Explainability card example.</w:t>
      </w:r>
    </w:p>
    <w:p>
      <w:r>
        <w:t>Caption: Illustrative output showing annual premium, deductible, annual drug out-of-pocket cost, utilization restrictions, preferred pharmacy access, insulin flags, and key trade-offs.</w:t>
      </w:r>
    </w:p>
    <w:p>
      <w:r>
        <w:t>Table 1. Data inputs and provenance.</w:t>
      </w:r>
    </w:p>
    <w:p>
      <w:r>
        <w:t>Table 2. Feature groups used in modeling and ablation.</w:t>
      </w:r>
    </w:p>
    <w:p>
      <w:r>
        <w:t>Table 3. Main held-out-by-scenario ranking results.</w:t>
      </w:r>
    </w:p>
    <w:p>
      <w:r>
        <w:t>Table 4. Ablation results.</w:t>
      </w:r>
    </w:p>
    <w:p>
      <w:r>
        <w:t>Table 5. Tree-reranker performance by scenario bundle.</w:t>
      </w:r>
    </w:p>
    <w:p>
      <w:r>
        <w:t>Table 6. Candidate-set summaries for eight prescription samples.</w:t>
      </w:r>
    </w:p>
    <w:p>
      <w:r>
        <w:t>Table 7. Top hybrid recommendation by sample case.</w:t>
      </w:r>
    </w:p>
    <w:p>
      <w:r>
        <w:t>Table 8. Cost-simulation and model-ranking trace for sample cases.</w:t>
      </w:r>
    </w:p>
    <w:p>
      <w:pPr>
        <w:pStyle w:val="Heading2"/>
      </w:pPr>
      <w:r>
        <w:t>References</w:t>
      </w:r>
    </w:p>
    <w:p>
      <w:pPr>
        <w:pStyle w:val="ListNumber"/>
      </w:pPr>
      <w:r>
        <w:t>Bundorf MK, Stults CD, Klimke R, Meehan A, Chan AS, Polyakova M, Tai-Seale M. *Using an Online Decision Aid to Help Medicare Beneficiaries Choose a Prescription Drug Plan*. Washington, DC: Patient-Centered Outcomes Research Institute; 2020.</w:t>
      </w:r>
    </w:p>
    <w:p>
      <w:pPr>
        <w:pStyle w:val="ListNumber"/>
      </w:pPr>
      <w:r>
        <w:t>Stults CD, Fattahi S, Meehan A, et al. Comparative usability study of a newly created patient-centered tool and Medicare.gov Plan Finder to help Medicare beneficiaries choose prescription drug plans. *Journal of Patient Experience*. 2019;6(1):81-86.</w:t>
      </w:r>
    </w:p>
    <w:p>
      <w:pPr>
        <w:pStyle w:val="ListNumber"/>
      </w:pPr>
      <w:r>
        <w:t>Zhou C, Zhang Y. The vast majority of Medicare Part D beneficiaries still do not choose the cheapest plans that meet their medication needs. *Health Affairs*. 2012;31(10):2259-2265.</w:t>
      </w:r>
    </w:p>
    <w:p>
      <w:pPr>
        <w:pStyle w:val="ListNumber"/>
      </w:pPr>
      <w:r>
        <w:t>Hohmann LA, Hastings TJ, McFarland SJ, Hollingsworth JC, Westrick SC. Implementation of a Medicare plan selection assistance program through a community partnership. *American Journal of Pharmaceutical Education*. 2018;82(9):6452. doi:10.5688/ajpe6452</w:t>
      </w:r>
    </w:p>
    <w:p>
      <w:pPr>
        <w:pStyle w:val="ListNumber"/>
      </w:pPr>
      <w:r>
        <w:t>Aruru M, Salmon JW. Assessment of Medicare Part D communications to beneficiaries. *American Health &amp; Drug Benefits*. 2010;3(5):310-317.</w:t>
      </w:r>
    </w:p>
    <w:p>
      <w:pPr>
        <w:pStyle w:val="ListNumber"/>
      </w:pPr>
      <w:r>
        <w:t>Centers for Medicare &amp; Medicaid Services. *The Inflation Reduction Act Lowers Health Care Costs for Millions of Americans*. Fact sheet. October 5, 2022.</w:t>
      </w:r>
    </w:p>
    <w:p>
      <w:pPr>
        <w:pStyle w:val="ListNumber"/>
      </w:pPr>
      <w:r>
        <w:t>Centers for Medicare &amp; Medicaid Services. *Final CY 2025 Part D Redesign Program Instructions Fact Sheet*. April 1, 2024.</w:t>
      </w:r>
    </w:p>
    <w:p>
      <w:pPr>
        <w:pStyle w:val="ListNumber"/>
      </w:pPr>
      <w:r>
        <w:t>Centers for Medicare &amp; Medicaid Services. *Medicare Advantage and Medicare Prescription Drug Programs to Remain Stable as CMS Implements Improvements to the Programs in 2025*. Press release. September 27, 2024.</w:t>
      </w:r>
    </w:p>
    <w:p>
      <w:pPr>
        <w:pStyle w:val="ListNumber"/>
      </w:pPr>
      <w:r>
        <w:t>Centers for Medicare &amp; Medicaid Services. *Medicare Drug Price Negotiation Program: Negotiated Prices for Initial Price Applicability Year 2026*. Fact sheet. August 15, 2024.</w:t>
      </w:r>
    </w:p>
    <w:p>
      <w:pPr>
        <w:pStyle w:val="ListNumber"/>
      </w:pPr>
      <w:r>
        <w:t>Joyce G, Blaylock B, Chen J, Van Nuys K. Medicare Part D plans greatly increased utilization restrictions on prescription drugs, 2011-20. *Health Affairs*. 2024;43(3):391-397. doi:10.1377/hlthaff.2023.00999</w:t>
      </w:r>
    </w:p>
    <w:p>
      <w:pPr>
        <w:pStyle w:val="ListNumber"/>
      </w:pPr>
      <w:r>
        <w:t>Dusetzina SB, Jazowski S, Cole A, Nguyen J. Sending the wrong price signal: why do some brand-name drugs cost Medicare beneficiaries less than generics? *Health Affairs*. 2019;38(7):1188-1194. doi:10.1377/hlthaff.2018.05476</w:t>
      </w:r>
    </w:p>
    <w:p>
      <w:pPr>
        <w:pStyle w:val="ListNumber"/>
      </w:pPr>
      <w:r>
        <w:t>Dusetzina SB, Cubanski J, Nshuti L, True S, Hoadley J, Roberts D, Neuman T. Medicare Part D plans rarely cover brand-name drugs when generics are available. *Health Affairs*. 2020;39(8):1326-1333. doi:10.1377/hlthaff.2019.01694</w:t>
      </w:r>
    </w:p>
    <w:p>
      <w:pPr>
        <w:pStyle w:val="ListNumber"/>
      </w:pPr>
      <w:r>
        <w:t>Trish E, Blaylock B, Van Nuys K. Cost sharing for preferred branded drugs in Medicare Part D. *JAMA*. 2025;333(13):1170-1172. doi:10.1001/jama.2024.28092</w:t>
      </w:r>
    </w:p>
    <w:p>
      <w:pPr>
        <w:pStyle w:val="ListNumber"/>
      </w:pPr>
      <w:r>
        <w:t>Lavetti K, Simon K. Strategic formulary design in Medicare Part D plans. *American Economic Journal: Economic Policy*. 2018;10(3):154-192. doi:10.1257/pol.20160248</w:t>
      </w:r>
    </w:p>
    <w:p>
      <w:pPr>
        <w:pStyle w:val="ListNumber"/>
      </w:pPr>
      <w:r>
        <w:t>Buttorff C, James HO, Sorbero ME, Reid RO. Medicare Part D insulin coverage: formulary strategies amid policy headwinds. *Health Affairs Scholar*. 2025;3(4):qxaf042. doi:10.1093/haschl/qxaf042</w:t>
      </w:r>
    </w:p>
    <w:p>
      <w:pPr>
        <w:pStyle w:val="ListNumber"/>
      </w:pPr>
      <w:r>
        <w:t>Cai Y, Yu F, Kumar M, Gladney R, Mostafa J. Health recommender systems development, usage, and evaluation from 2010 to 2022: a scoping review. *International Journal of Environmental Research and Public Health*. 2022;19(22):15115.</w:t>
      </w:r>
    </w:p>
    <w:p>
      <w:pPr>
        <w:pStyle w:val="ListNumber"/>
      </w:pPr>
      <w:r>
        <w:t>Ananthakrishnan A, Milne-Ives M, Cong C, Meinert E. The evaluation of health recommender systems: a scoping review. *International Journal of Medical Informatics*. 2025;195:105697.</w:t>
      </w:r>
    </w:p>
    <w:p>
      <w:pPr>
        <w:pStyle w:val="ListNumber"/>
      </w:pPr>
      <w:r>
        <w:t>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w:t>
      </w:r>
    </w:p>
    <w:p>
      <w:pPr>
        <w:pStyle w:val="ListNumber"/>
      </w:pPr>
      <w:r>
        <w:t>Centers for Medicare &amp; Medicaid Services. Part D Claims Data. Available at: https://www.cms.gov/medicare/coverage/prescription-drug-coverage/part-d-claims-data. Accessed April 17, 2026.</w:t>
      </w:r>
    </w:p>
    <w:p>
      <w:pPr>
        <w:pStyle w:val="ListNumber"/>
      </w:pPr>
      <w:r>
        <w:t>Centers for Medicare &amp; Medicaid Services. Prescription Drug Event Data Guidance. Available at: https://www.cms.gov/DrugCoverageClaimsData/. Accessed April 17, 2026.</w:t>
      </w:r>
    </w:p>
    <w:p>
      <w:pPr>
        <w:pStyle w:val="ListNumber"/>
      </w:pPr>
      <w:r>
        <w:t>Abaluck J, Gruber J. Choice inconsistencies among the elderly: evidence from plan choice in the Medicare Part D program. *American Economic Review*. 2011;101(4):1180-1210. doi:10.1257/aer.101.4.1180</w:t>
      </w:r>
    </w:p>
    <w:p>
      <w:pPr>
        <w:pStyle w:val="ListNumber"/>
      </w:pPr>
      <w:r>
        <w:t>Ketcham JD, Lucarelli C, Powers CA. Paying attention or paying too much in Medicare Part D. *American Economic Review*. 2015;105(1):204-233. doi:10.1257/aer.20120651</w:t>
      </w:r>
    </w:p>
    <w:p>
      <w:pPr>
        <w:pStyle w:val="ListNumber"/>
      </w:pPr>
      <w:r>
        <w:t>McGarry BE, Maestas N, Grabowski DC. Simplifying the Medicare Plan Finder tool could help older adults choose lower-cost Part D plans. *Health Affairs*. 2018;37(8):1290-1297. doi:10.1377/hlthaff.2018.0145</w:t>
      </w:r>
    </w:p>
    <w:p>
      <w:pPr>
        <w:pStyle w:val="ListNumber"/>
      </w:pPr>
      <w:r>
        <w:t>Bundorf MK, Polyakova M, Stults C, Meehan A, Klimke R, Pun T, Chan AS, Tai-Seale M. Machine-based expert recommendations and insurance choices among Medicare Part D enrollees. *Health Affairs*. 2019;38(3):482-490. doi:10.1377/hlthaff.2018.05017</w:t>
      </w:r>
    </w:p>
    <w:p>
      <w:pPr>
        <w:pStyle w:val="ListNumber"/>
      </w:pPr>
      <w:r>
        <w:t>Bruine de Bruin W, Hodson N. Medicare Part D beneficiaries' self-reported barriers to switching plans and making plan comparisons at all. *Health Affairs Scholar*. 2024;2(11):qxae141. doi:10.1093/haschl/qxae141</w:t>
      </w:r>
    </w:p>
    <w:p>
      <w:pPr>
        <w:pStyle w:val="ListNumber"/>
      </w:pPr>
      <w:r>
        <w:t>U.S. Government Accountability Office. *Medicare Part D: CMS Has Implemented Processes to Oversee Plan Finder Pricing Accuracy and Improve Website Usability*. GAO-14-143. January 10, 2014.</w:t>
      </w:r>
    </w:p>
    <w:p>
      <w:pPr>
        <w:pStyle w:val="ListNumber"/>
      </w:pPr>
      <w:r>
        <w:t>National Library of Medicine. *RxNorm Technical Documentation*. Available at: https://www.nlm.nih.gov/research/umls/rxnorm/docs/techdoc.html. Accessed April 21, 2026.</w:t>
      </w:r>
    </w:p>
    <w:p>
      <w:pPr>
        <w:pStyle w:val="ListNumber"/>
      </w:pPr>
      <w:r>
        <w:t>U.S. Food and Drug Administration. *National Drug Code Directory*. Available at: https://www.fda.gov/drugs/drug-approvals-and-databases/national-drug-code-directory. Accessed April 21, 2026.</w:t>
      </w:r>
    </w:p>
    <w:p>
      <w:pPr>
        <w:pStyle w:val="ListNumber"/>
      </w:pPr>
      <w:r>
        <w:t>Cai CL, Bhaskar A, Kesselheim AS, Rome BN. Changes in Medicare Part D plan designs after the Inflation Reduction Act. *JAMA Internal Medicine*. 2025;185(10):1266-1273. doi:10.1001/jamainternmed.2025.4003</w:t>
      </w:r>
    </w:p>
    <w:p>
      <w:pPr>
        <w:pStyle w:val="ListNumber"/>
      </w:pPr>
      <w:r>
        <w:t>Anderson DM, McEnany M, Petry SE, Anderson KE. Inflation Reduction Act changes to Part D plan design: lower premiums, higher deductibles, and some smaller formularies. *Health Affairs*. 2026;45(4):441-447. doi:10.1377/hlthaff.2025.00644</w:t>
      </w:r>
    </w:p>
    <w:p>
      <w:pPr>
        <w:pStyle w:val="ListNumber"/>
      </w:pPr>
      <w:r>
        <w:t>Joyce G, Chen B, Blaylock B. The changing Part D landscape. *Health Affairs Scholar*. 2026;4(4):qxag078. doi:10.1093/haschl/qxag078</w:t>
      </w:r>
    </w:p>
    <w:p>
      <w:pPr>
        <w:pStyle w:val="ListNumber"/>
      </w:pPr>
      <w:r>
        <w:t>Barbaric A, Christofferson K, Benseler SM, Lalloo C, Mariakakis A, Pham Q, Swart JF, Yeung RSM, Cafazzo JA. Health recommender systems to facilitate collaborative decision-making in chronic disease management: a scoping review. *Digital Health*. 2025;11. doi:10.1177/20552076241309386</w:t>
      </w:r>
    </w:p>
    <w:p>
      <w:pPr>
        <w:pStyle w:val="ListNumber"/>
      </w:pPr>
      <w:r>
        <w:t>Xu Q, Xie W, Liao B, et al. Interpretability of clinical decision support systems based on artificial intelligence from technological and medical perspective: a systematic review. *Computational and Mathematical Methods in Medicine*. 2023;2023:9919269. doi:10.1155/2023/9919269</w:t>
      </w:r>
    </w:p>
    <w:p>
      <w:pPr>
        <w:pStyle w:val="ListNumber"/>
      </w:pPr>
      <w:r>
        <w:t>National Library of Medicine. *RxNorm API*. Available at: https://lhncbc.nlm.nih.gov/RxNav/APIs/RxNormAPIs.html. Accessed April 24, 2026.</w:t>
      </w:r>
    </w:p>
    <w:p>
      <w:pPr>
        <w:pStyle w:val="ListNumber"/>
      </w:pPr>
      <w:r>
        <w:t>uszipcode project. *uszipcode 1.0.1 documentation*. Available at: https://uszipcode.readthedocs.io/. Accessed April 24, 2026.</w:t>
      </w:r>
    </w:p>
    <w:p>
      <w:pPr>
        <w:pStyle w:val="ListNumber"/>
      </w:pPr>
      <w:r>
        <w:t>Centers for Medicare &amp; Medicaid Services. *Calendar Year (CY) 2021 Part D Senior Savings Model Drug National Drug Code (NDC) List*. Version August 17, 2020. Available at: https://www.cms.gov/priorities/innovation/files/x/partd-seniordav-ndclist.pdf. Accessed April 24, 2026.</w:t>
      </w:r>
    </w:p>
    <w:p>
      <w:pPr>
        <w:pStyle w:val="ListNumber"/>
      </w:pPr>
      <w:r>
        <w:t>Research Data Assistance Center. *Data Documentation: Part D Event*. Available at: https://resdac.org/cms-data/files/pde/data-documentation. Accessed April 24, 2026.</w:t>
      </w:r>
    </w:p>
    <w:p>
      <w:pPr>
        <w:pStyle w:val="ListNumber"/>
      </w:pPr>
      <w:r>
        <w:t>Hoerl AE, Kennard RW. Ridge regression: biased estimation for nonorthogonal problems. *Technometrics*. 1970;12(1):55-67. doi:10.1080/00401706.1970.10488634</w:t>
      </w:r>
    </w:p>
    <w:p>
      <w:pPr>
        <w:pStyle w:val="ListNumber"/>
      </w:pPr>
      <w:r>
        <w:t>Friedman JH. Greedy function approximation: a gradient boosting machine. *The Annals of Statistics*. 2001;29(5):1189-1232. doi:10.1214/aos/1013203451</w:t>
      </w:r>
    </w:p>
    <w:p>
      <w:pPr>
        <w:pStyle w:val="ListNumber"/>
      </w:pPr>
      <w:r>
        <w:t>Liu TY. Learning to rank for information retrieval. *Foundations and Trends in Information Retrieval*. 2009;3(3):225-331. doi:10.1561/1500000016</w:t>
      </w:r>
    </w:p>
    <w:p>
      <w:pPr>
        <w:pStyle w:val="ListNumber"/>
      </w:pPr>
      <w:r>
        <w:t>Jarvelin K, Kekalainen J. Cumulated gain-based evaluation of IR techniques. *ACM Transactions on Information Systems*. 2002;20(4):422-446. doi:10.1145/582415.582418</w:t>
      </w:r>
    </w:p>
    <w:p>
      <w:pPr>
        <w:pStyle w:val="ListNumber"/>
      </w:pPr>
      <w:r>
        <w:t>Ratner A, Bach SH, Ehrenberg H, Fries J, Wu S, Re C. Snorkel: rapid training data creation with weak supervision. *Proceedings of the VLDB Endowment*. 2017;11(3):269-282. doi:10.14778/3157794.3157797</w:t>
      </w:r>
    </w:p>
    <w:p>
      <w:pPr>
        <w:pStyle w:val="ListNumber"/>
      </w:pPr>
      <w:r>
        <w:t>Goncalves A, Ray P, Soper B, Stevens J, Coyle L, Sales AP. Generation and evaluation of synthetic patient data. *BMC Medical Research Methodology*. 2020;20:108. doi:10.1186/s12874-020-00977-1</w:t>
      </w:r>
    </w:p>
    <w:p>
      <w:pPr>
        <w:pStyle w:val="ListNumber"/>
      </w:pPr>
      <w:r>
        <w:t>Cochran WG. *Sampling Techniques*. 3rd ed. New York: John Wiley &amp; Sons; 1977.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Policy-aware Medicare Part D plan recommendation with rules-first simulation and constrained reranking</dc:title>
  <dc:subject>Peer-review integrated manuscript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