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6"/>
          <w:szCs w:val="26"/>
        </w:rPr>
        <w:t xml:space="preserve">TRƯỜNG ĐẠI HỌC ...................................</w:t>
      </w:r>
    </w:p>
    <w:p>
      <w:pPr>
        <w:spacing w:after="600"/>
        <w:jc w:val="center"/>
      </w:pPr>
      <w:r>
        <w:rPr>
          <w:rFonts w:ascii="Times New Roman" w:cs="Times New Roman" w:eastAsia="Times New Roman" w:hAnsi="Times New Roman"/>
          <w:b/>
          <w:bCs/>
          <w:sz w:val="26"/>
          <w:szCs w:val="26"/>
        </w:rPr>
        <w:t xml:space="preserve">KHOA CÔNG NGHỆ THÔNG TIN</w:t>
      </w:r>
    </w:p>
    <w:p>
      <w:pPr>
        <w:spacing w:after="800"/>
      </w:pPr>
    </w:p>
    <w:p>
      <w:pPr>
        <w:spacing w:after="200"/>
        <w:jc w:val="center"/>
      </w:pPr>
      <w:r>
        <w:rPr>
          <w:rFonts w:ascii="Times New Roman" w:cs="Times New Roman" w:eastAsia="Times New Roman" w:hAnsi="Times New Roman"/>
          <w:b/>
          <w:bCs/>
          <w:sz w:val="30"/>
          <w:szCs w:val="30"/>
        </w:rPr>
        <w:t xml:space="preserve">ĐỒ ÁN MÔN HỌC</w:t>
      </w:r>
    </w:p>
    <w:p>
      <w:pPr>
        <w:spacing w:after="700"/>
        <w:jc w:val="center"/>
      </w:pPr>
      <w:r>
        <w:rPr>
          <w:rFonts w:ascii="Times New Roman" w:cs="Times New Roman" w:eastAsia="Times New Roman" w:hAnsi="Times New Roman"/>
          <w:b/>
          <w:bCs/>
          <w:sz w:val="26"/>
          <w:szCs w:val="26"/>
        </w:rPr>
        <w:t xml:space="preserve">PHÂN TÍCH THIẾT KẾ HỆ THỐNG THÔNG TIN</w:t>
      </w:r>
    </w:p>
    <w:p>
      <w:pPr>
        <w:pBdr>
          <w:top w:val="single" w:color="000000" w:sz="4"/>
          <w:bottom w:val="single" w:color="000000" w:sz="4"/>
        </w:pBdr>
        <w:spacing w:after="200"/>
        <w:jc w:val="center"/>
      </w:pPr>
      <w:r>
        <w:rPr>
          <w:sz w:val="2"/>
          <w:szCs w:val="2"/>
        </w:rPr>
        <w:t xml:space="preserve"/>
      </w:r>
    </w:p>
    <w:p>
      <w:pPr>
        <w:spacing w:after="100" w:before="200"/>
        <w:jc w:val="center"/>
      </w:pPr>
      <w:r>
        <w:rPr>
          <w:rFonts w:ascii="Times New Roman" w:cs="Times New Roman" w:eastAsia="Times New Roman" w:hAnsi="Times New Roman"/>
          <w:b/>
          <w:bCs/>
          <w:sz w:val="44"/>
          <w:szCs w:val="44"/>
        </w:rPr>
        <w:t xml:space="preserve">FARMERY</w:t>
      </w:r>
    </w:p>
    <w:p>
      <w:pPr>
        <w:spacing w:after="200"/>
        <w:jc w:val="center"/>
      </w:pPr>
      <w:r>
        <w:rPr>
          <w:rFonts w:ascii="Times New Roman" w:cs="Times New Roman" w:eastAsia="Times New Roman" w:hAnsi="Times New Roman"/>
          <w:b/>
          <w:bCs/>
          <w:sz w:val="30"/>
          <w:szCs w:val="30"/>
        </w:rPr>
        <w:t xml:space="preserve">SÀN THƯƠNG MẠI ĐIỆN TỬ NÔNG SẢN B2B2C</w:t>
      </w:r>
    </w:p>
    <w:p>
      <w:pPr>
        <w:pBdr>
          <w:top w:val="single" w:color="000000" w:sz="4"/>
          <w:bottom w:val="single" w:color="000000" w:sz="4"/>
        </w:pBdr>
        <w:spacing w:after="700"/>
        <w:jc w:val="center"/>
      </w:pPr>
      <w:r>
        <w:rPr>
          <w:sz w:val="2"/>
          <w:szCs w:val="2"/>
        </w:rPr>
        <w:t xml:space="preserve"/>
      </w:r>
    </w:p>
    <w:p>
      <w:pPr>
        <w:spacing w:after="900"/>
      </w:pPr>
    </w:p>
    <w:p>
      <w:pPr>
        <w:spacing w:after="140"/>
        <w:jc w:val="center"/>
      </w:pPr>
      <w:r>
        <w:rPr>
          <w:rFonts w:ascii="Times New Roman" w:cs="Times New Roman" w:eastAsia="Times New Roman" w:hAnsi="Times New Roman"/>
          <w:sz w:val="26"/>
          <w:szCs w:val="26"/>
        </w:rPr>
        <w:t xml:space="preserve">Giảng viên hướng dẫn:  ..................................................</w:t>
      </w:r>
    </w:p>
    <w:p>
      <w:pPr>
        <w:spacing w:after="140"/>
        <w:jc w:val="center"/>
      </w:pPr>
      <w:r>
        <w:rPr>
          <w:rFonts w:ascii="Times New Roman" w:cs="Times New Roman" w:eastAsia="Times New Roman" w:hAnsi="Times New Roman"/>
          <w:b/>
          <w:bCs/>
          <w:sz w:val="26"/>
          <w:szCs w:val="26"/>
        </w:rPr>
        <w:t xml:space="preserve">Nhóm sinh viên thực hiện:</w:t>
      </w:r>
    </w:p>
    <w:p>
      <w:pPr>
        <w:spacing w:after="60"/>
        <w:jc w:val="center"/>
      </w:pPr>
      <w:r>
        <w:rPr>
          <w:rFonts w:ascii="Times New Roman" w:cs="Times New Roman" w:eastAsia="Times New Roman" w:hAnsi="Times New Roman"/>
          <w:sz w:val="26"/>
          <w:szCs w:val="26"/>
        </w:rPr>
        <w:t xml:space="preserve">1. .................................................. — MSSV: ..................</w:t>
      </w:r>
    </w:p>
    <w:p>
      <w:pPr>
        <w:spacing w:after="60"/>
        <w:jc w:val="center"/>
      </w:pPr>
      <w:r>
        <w:rPr>
          <w:rFonts w:ascii="Times New Roman" w:cs="Times New Roman" w:eastAsia="Times New Roman" w:hAnsi="Times New Roman"/>
          <w:sz w:val="26"/>
          <w:szCs w:val="26"/>
        </w:rPr>
        <w:t xml:space="preserve">2. .................................................. — MSSV: ..................</w:t>
      </w:r>
    </w:p>
    <w:p>
      <w:pPr>
        <w:spacing w:after="900"/>
        <w:jc w:val="center"/>
      </w:pPr>
      <w:r>
        <w:rPr>
          <w:rFonts w:ascii="Times New Roman" w:cs="Times New Roman" w:eastAsia="Times New Roman" w:hAnsi="Times New Roman"/>
          <w:sz w:val="26"/>
          <w:szCs w:val="26"/>
        </w:rPr>
        <w:t xml:space="preserve">3. .................................................. — MSSV: ..................</w:t>
      </w:r>
    </w:p>
    <w:p>
      <w:pPr>
        <w:spacing w:after="0"/>
        <w:jc w:val="center"/>
      </w:pPr>
      <w:r>
        <w:rPr>
          <w:rFonts w:ascii="Times New Roman" w:cs="Times New Roman" w:eastAsia="Times New Roman" w:hAnsi="Times New Roman"/>
          <w:i/>
          <w:iCs/>
          <w:sz w:val="24"/>
          <w:szCs w:val="24"/>
        </w:rPr>
        <w:t xml:space="preserve">Thành phố Hồ Chí Minh, tháng 9 năm 2026</w:t>
      </w:r>
    </w:p>
    <w:p>
      <w:pPr>
        <w:sectPr>
          <w:pgSz w:w="11907" w:h="16840" w:orient="portrait"/>
          <w:pgMar w:top="1417" w:right="1417" w:bottom="1417" w:left="1701" w:header="708" w:footer="708" w:gutter="0"/>
          <w:pgNumType/>
          <w:docGrid w:linePitch="360"/>
        </w:sectPr>
      </w:pPr>
    </w:p>
    <w:p>
      <w:pPr>
        <w:pStyle w:val="Heading1"/>
        <w:spacing w:after="300"/>
        <w:jc w:val="center"/>
      </w:pPr>
      <w:r>
        <w:rPr>
          <w:rFonts w:ascii="Times New Roman" w:cs="Times New Roman" w:eastAsia="Times New Roman" w:hAnsi="Times New Roman"/>
          <w:b/>
          <w:bCs/>
          <w:sz w:val="32"/>
          <w:szCs w:val="32"/>
        </w:rPr>
        <w:t xml:space="preserve">MỤC LỤC</w:t>
      </w:r>
    </w:p>
    <w:p>
      <w:pPr>
        <w:tabs>
          <w:tab w:val="right" w:pos="9026" w:leader="dot"/>
        </w:tabs>
        <w:spacing w:after="120"/>
        <w:ind w:left="0"/>
      </w:pPr>
      <w:r>
        <w:rPr>
          <w:rFonts w:ascii="Times New Roman" w:cs="Times New Roman" w:eastAsia="Times New Roman" w:hAnsi="Times New Roman"/>
          <w:b/>
          <w:bCs/>
          <w:sz w:val="26"/>
          <w:szCs w:val="26"/>
        </w:rPr>
        <w:t xml:space="preserve">PHẦN A. BẢNG PHÂN CÔNG CÔNG VIỆC NHÓM</w:t>
      </w:r>
      <w:r>
        <w:rPr>
          <w:rFonts w:ascii="Times New Roman" w:cs="Times New Roman" w:eastAsia="Times New Roman" w:hAnsi="Times New Roman"/>
          <w:b/>
          <w:bCs/>
          <w:sz w:val="26"/>
          <w:szCs w:val="26"/>
        </w:rPr>
        <w:t xml:space="preserve">	3</w:t>
      </w:r>
    </w:p>
    <w:p>
      <w:pPr>
        <w:tabs>
          <w:tab w:val="right" w:pos="9026" w:leader="dot"/>
        </w:tabs>
        <w:spacing w:after="120"/>
        <w:ind w:left="0"/>
      </w:pPr>
      <w:r>
        <w:rPr>
          <w:rFonts w:ascii="Times New Roman" w:cs="Times New Roman" w:eastAsia="Times New Roman" w:hAnsi="Times New Roman"/>
          <w:b/>
          <w:bCs/>
          <w:sz w:val="26"/>
          <w:szCs w:val="26"/>
        </w:rPr>
        <w:t xml:space="preserve">CHƯƠNG 1. TỔNG QUAN ĐỀ TÀI VÀ CƠ SỞ LÝ THUYẾT</w:t>
      </w:r>
      <w:r>
        <w:rPr>
          <w:rFonts w:ascii="Times New Roman" w:cs="Times New Roman" w:eastAsia="Times New Roman" w:hAnsi="Times New Roman"/>
          <w:b/>
          <w:bCs/>
          <w:sz w:val="26"/>
          <w:szCs w:val="26"/>
        </w:rPr>
        <w:t xml:space="preserve">	5</w:t>
      </w:r>
    </w:p>
    <w:p>
      <w:pPr>
        <w:tabs>
          <w:tab w:val="right" w:pos="9026" w:leader="dot"/>
        </w:tabs>
        <w:spacing w:after="120"/>
        <w:ind w:left="300"/>
      </w:pPr>
      <w:r>
        <w:rPr>
          <w:rFonts w:ascii="Times New Roman" w:cs="Times New Roman" w:eastAsia="Times New Roman" w:hAnsi="Times New Roman"/>
          <w:b w:val="false"/>
          <w:bCs w:val="false"/>
          <w:sz w:val="26"/>
          <w:szCs w:val="26"/>
        </w:rPr>
        <w:t xml:space="preserve">1.1. Đề tài và lĩnh vực</w:t>
      </w:r>
      <w:r>
        <w:rPr>
          <w:rFonts w:ascii="Times New Roman" w:cs="Times New Roman" w:eastAsia="Times New Roman" w:hAnsi="Times New Roman"/>
          <w:b w:val="false"/>
          <w:bCs w:val="false"/>
          <w:sz w:val="26"/>
          <w:szCs w:val="26"/>
        </w:rPr>
        <w:t xml:space="preserve">	5</w:t>
      </w:r>
    </w:p>
    <w:p>
      <w:pPr>
        <w:tabs>
          <w:tab w:val="right" w:pos="9026" w:leader="dot"/>
        </w:tabs>
        <w:spacing w:after="120"/>
        <w:ind w:left="600"/>
      </w:pPr>
      <w:r>
        <w:rPr>
          <w:rFonts w:ascii="Times New Roman" w:cs="Times New Roman" w:eastAsia="Times New Roman" w:hAnsi="Times New Roman"/>
          <w:b w:val="false"/>
          <w:bCs w:val="false"/>
          <w:sz w:val="26"/>
          <w:szCs w:val="26"/>
        </w:rPr>
        <w:t xml:space="preserve">1.1.1. Thực trạng chuỗi cung ứng nông sản Việt Nam</w:t>
      </w:r>
      <w:r>
        <w:rPr>
          <w:rFonts w:ascii="Times New Roman" w:cs="Times New Roman" w:eastAsia="Times New Roman" w:hAnsi="Times New Roman"/>
          <w:b w:val="false"/>
          <w:bCs w:val="false"/>
          <w:sz w:val="26"/>
          <w:szCs w:val="26"/>
        </w:rPr>
        <w:t xml:space="preserve">	5</w:t>
      </w:r>
    </w:p>
    <w:p>
      <w:pPr>
        <w:tabs>
          <w:tab w:val="right" w:pos="9026" w:leader="dot"/>
        </w:tabs>
        <w:spacing w:after="120"/>
        <w:ind w:left="600"/>
      </w:pPr>
      <w:r>
        <w:rPr>
          <w:rFonts w:ascii="Times New Roman" w:cs="Times New Roman" w:eastAsia="Times New Roman" w:hAnsi="Times New Roman"/>
          <w:b w:val="false"/>
          <w:bCs w:val="false"/>
          <w:sz w:val="26"/>
          <w:szCs w:val="26"/>
        </w:rPr>
        <w:t xml:space="preserve">1.1.2. Bối cảnh chuyển đổi số nông nghiệp tại Việt Nam</w:t>
      </w:r>
      <w:r>
        <w:rPr>
          <w:rFonts w:ascii="Times New Roman" w:cs="Times New Roman" w:eastAsia="Times New Roman" w:hAnsi="Times New Roman"/>
          <w:b w:val="false"/>
          <w:bCs w:val="false"/>
          <w:sz w:val="26"/>
          <w:szCs w:val="26"/>
        </w:rPr>
        <w:t xml:space="preserve">	6</w:t>
      </w:r>
    </w:p>
    <w:p>
      <w:pPr>
        <w:tabs>
          <w:tab w:val="right" w:pos="9026" w:leader="dot"/>
        </w:tabs>
        <w:spacing w:after="120"/>
        <w:ind w:left="600"/>
      </w:pPr>
      <w:r>
        <w:rPr>
          <w:rFonts w:ascii="Times New Roman" w:cs="Times New Roman" w:eastAsia="Times New Roman" w:hAnsi="Times New Roman"/>
          <w:b w:val="false"/>
          <w:bCs w:val="false"/>
          <w:sz w:val="26"/>
          <w:szCs w:val="26"/>
        </w:rPr>
        <w:t xml:space="preserve">1.1.3. So sánh các sàn thương mại điện tử nông sản hiện có</w:t>
      </w:r>
      <w:r>
        <w:rPr>
          <w:rFonts w:ascii="Times New Roman" w:cs="Times New Roman" w:eastAsia="Times New Roman" w:hAnsi="Times New Roman"/>
          <w:b w:val="false"/>
          <w:bCs w:val="false"/>
          <w:sz w:val="26"/>
          <w:szCs w:val="26"/>
        </w:rPr>
        <w:t xml:space="preserve">	8</w:t>
      </w:r>
    </w:p>
    <w:p>
      <w:pPr>
        <w:tabs>
          <w:tab w:val="right" w:pos="9026" w:leader="dot"/>
        </w:tabs>
        <w:spacing w:after="120"/>
        <w:ind w:left="600"/>
      </w:pPr>
      <w:r>
        <w:rPr>
          <w:rFonts w:ascii="Times New Roman" w:cs="Times New Roman" w:eastAsia="Times New Roman" w:hAnsi="Times New Roman"/>
          <w:b w:val="false"/>
          <w:bCs w:val="false"/>
          <w:sz w:val="26"/>
          <w:szCs w:val="26"/>
        </w:rPr>
        <w:t xml:space="preserve">1.1.4. Phân tích các nhóm người dùng</w:t>
      </w:r>
      <w:r>
        <w:rPr>
          <w:rFonts w:ascii="Times New Roman" w:cs="Times New Roman" w:eastAsia="Times New Roman" w:hAnsi="Times New Roman"/>
          <w:b w:val="false"/>
          <w:bCs w:val="false"/>
          <w:sz w:val="26"/>
          <w:szCs w:val="26"/>
        </w:rPr>
        <w:t xml:space="preserve">	9</w:t>
      </w:r>
    </w:p>
    <w:p>
      <w:pPr>
        <w:tabs>
          <w:tab w:val="right" w:pos="9026" w:leader="dot"/>
        </w:tabs>
        <w:spacing w:after="120"/>
        <w:ind w:left="300"/>
      </w:pPr>
      <w:r>
        <w:rPr>
          <w:rFonts w:ascii="Times New Roman" w:cs="Times New Roman" w:eastAsia="Times New Roman" w:hAnsi="Times New Roman"/>
          <w:b w:val="false"/>
          <w:bCs w:val="false"/>
          <w:sz w:val="26"/>
          <w:szCs w:val="26"/>
        </w:rPr>
        <w:t xml:space="preserve">1.2. Quy trình nghiệp vụ</w:t>
      </w:r>
      <w:r>
        <w:rPr>
          <w:rFonts w:ascii="Times New Roman" w:cs="Times New Roman" w:eastAsia="Times New Roman" w:hAnsi="Times New Roman"/>
          <w:b w:val="false"/>
          <w:bCs w:val="false"/>
          <w:sz w:val="26"/>
          <w:szCs w:val="26"/>
        </w:rPr>
        <w:t xml:space="preserve">	10</w:t>
      </w:r>
    </w:p>
    <w:p>
      <w:pPr>
        <w:tabs>
          <w:tab w:val="right" w:pos="9026" w:leader="dot"/>
        </w:tabs>
        <w:spacing w:after="120"/>
        <w:ind w:left="600"/>
      </w:pPr>
      <w:r>
        <w:rPr>
          <w:rFonts w:ascii="Times New Roman" w:cs="Times New Roman" w:eastAsia="Times New Roman" w:hAnsi="Times New Roman"/>
          <w:b w:val="false"/>
          <w:bCs w:val="false"/>
          <w:sz w:val="26"/>
          <w:szCs w:val="26"/>
        </w:rPr>
        <w:t xml:space="preserve">1.2.1. Đăng ký và xác thực nhà bán, kiểm duyệt chứng nhận</w:t>
      </w:r>
      <w:r>
        <w:rPr>
          <w:rFonts w:ascii="Times New Roman" w:cs="Times New Roman" w:eastAsia="Times New Roman" w:hAnsi="Times New Roman"/>
          <w:b w:val="false"/>
          <w:bCs w:val="false"/>
          <w:sz w:val="26"/>
          <w:szCs w:val="26"/>
        </w:rPr>
        <w:t xml:space="preserve">	10</w:t>
      </w:r>
    </w:p>
    <w:p>
      <w:pPr>
        <w:tabs>
          <w:tab w:val="right" w:pos="9026" w:leader="dot"/>
        </w:tabs>
        <w:spacing w:after="120"/>
        <w:ind w:left="600"/>
      </w:pPr>
      <w:r>
        <w:rPr>
          <w:rFonts w:ascii="Times New Roman" w:cs="Times New Roman" w:eastAsia="Times New Roman" w:hAnsi="Times New Roman"/>
          <w:b w:val="false"/>
          <w:bCs w:val="false"/>
          <w:sz w:val="26"/>
          <w:szCs w:val="26"/>
        </w:rPr>
        <w:t xml:space="preserve">1.2.2. Đăng và kiểm duyệt sản phẩm, sinh mã QR truy xuất</w:t>
      </w:r>
      <w:r>
        <w:rPr>
          <w:rFonts w:ascii="Times New Roman" w:cs="Times New Roman" w:eastAsia="Times New Roman" w:hAnsi="Times New Roman"/>
          <w:b w:val="false"/>
          <w:bCs w:val="false"/>
          <w:sz w:val="26"/>
          <w:szCs w:val="26"/>
        </w:rPr>
        <w:t xml:space="preserve">	10</w:t>
      </w:r>
    </w:p>
    <w:p>
      <w:pPr>
        <w:tabs>
          <w:tab w:val="right" w:pos="9026" w:leader="dot"/>
        </w:tabs>
        <w:spacing w:after="120"/>
        <w:ind w:left="600"/>
      </w:pPr>
      <w:r>
        <w:rPr>
          <w:rFonts w:ascii="Times New Roman" w:cs="Times New Roman" w:eastAsia="Times New Roman" w:hAnsi="Times New Roman"/>
          <w:b w:val="false"/>
          <w:bCs w:val="false"/>
          <w:sz w:val="26"/>
          <w:szCs w:val="26"/>
        </w:rPr>
        <w:t xml:space="preserve">1.2.3. Quy trình mua lẻ (B2C)</w:t>
      </w:r>
      <w:r>
        <w:rPr>
          <w:rFonts w:ascii="Times New Roman" w:cs="Times New Roman" w:eastAsia="Times New Roman" w:hAnsi="Times New Roman"/>
          <w:b w:val="false"/>
          <w:bCs w:val="false"/>
          <w:sz w:val="26"/>
          <w:szCs w:val="26"/>
        </w:rPr>
        <w:t xml:space="preserve">	11</w:t>
      </w:r>
    </w:p>
    <w:p>
      <w:pPr>
        <w:tabs>
          <w:tab w:val="right" w:pos="9026" w:leader="dot"/>
        </w:tabs>
        <w:spacing w:after="120"/>
        <w:ind w:left="600"/>
      </w:pPr>
      <w:r>
        <w:rPr>
          <w:rFonts w:ascii="Times New Roman" w:cs="Times New Roman" w:eastAsia="Times New Roman" w:hAnsi="Times New Roman"/>
          <w:b w:val="false"/>
          <w:bCs w:val="false"/>
          <w:sz w:val="26"/>
          <w:szCs w:val="26"/>
        </w:rPr>
        <w:t xml:space="preserve">1.2.4. Quy trình mua sỉ (B2B)</w:t>
      </w:r>
      <w:r>
        <w:rPr>
          <w:rFonts w:ascii="Times New Roman" w:cs="Times New Roman" w:eastAsia="Times New Roman" w:hAnsi="Times New Roman"/>
          <w:b w:val="false"/>
          <w:bCs w:val="false"/>
          <w:sz w:val="26"/>
          <w:szCs w:val="26"/>
        </w:rPr>
        <w:t xml:space="preserve">	11</w:t>
      </w:r>
    </w:p>
    <w:p>
      <w:pPr>
        <w:tabs>
          <w:tab w:val="right" w:pos="9026" w:leader="dot"/>
        </w:tabs>
        <w:spacing w:after="120"/>
        <w:ind w:left="600"/>
      </w:pPr>
      <w:r>
        <w:rPr>
          <w:rFonts w:ascii="Times New Roman" w:cs="Times New Roman" w:eastAsia="Times New Roman" w:hAnsi="Times New Roman"/>
          <w:b w:val="false"/>
          <w:bCs w:val="false"/>
          <w:sz w:val="26"/>
          <w:szCs w:val="26"/>
        </w:rPr>
        <w:t xml:space="preserve">1.2.5. Vận chuyển hàng dễ hư hỏng và xử lý khiếu nại</w:t>
      </w:r>
      <w:r>
        <w:rPr>
          <w:rFonts w:ascii="Times New Roman" w:cs="Times New Roman" w:eastAsia="Times New Roman" w:hAnsi="Times New Roman"/>
          <w:b w:val="false"/>
          <w:bCs w:val="false"/>
          <w:sz w:val="26"/>
          <w:szCs w:val="26"/>
        </w:rPr>
        <w:t xml:space="preserve">	12</w:t>
      </w:r>
    </w:p>
    <w:p>
      <w:pPr>
        <w:tabs>
          <w:tab w:val="right" w:pos="9026" w:leader="dot"/>
        </w:tabs>
        <w:spacing w:after="120"/>
        <w:ind w:left="600"/>
      </w:pPr>
      <w:r>
        <w:rPr>
          <w:rFonts w:ascii="Times New Roman" w:cs="Times New Roman" w:eastAsia="Times New Roman" w:hAnsi="Times New Roman"/>
          <w:b w:val="false"/>
          <w:bCs w:val="false"/>
          <w:sz w:val="26"/>
          <w:szCs w:val="26"/>
        </w:rPr>
        <w:t xml:space="preserve">1.2.6. Quản trị hệ thống</w:t>
      </w:r>
      <w:r>
        <w:rPr>
          <w:rFonts w:ascii="Times New Roman" w:cs="Times New Roman" w:eastAsia="Times New Roman" w:hAnsi="Times New Roman"/>
          <w:b w:val="false"/>
          <w:bCs w:val="false"/>
          <w:sz w:val="26"/>
          <w:szCs w:val="26"/>
        </w:rPr>
        <w:t xml:space="preserve">	12</w:t>
      </w:r>
    </w:p>
    <w:p>
      <w:pPr>
        <w:tabs>
          <w:tab w:val="right" w:pos="9026" w:leader="dot"/>
        </w:tabs>
        <w:spacing w:after="120"/>
        <w:ind w:left="300"/>
      </w:pPr>
      <w:r>
        <w:rPr>
          <w:rFonts w:ascii="Times New Roman" w:cs="Times New Roman" w:eastAsia="Times New Roman" w:hAnsi="Times New Roman"/>
          <w:b w:val="false"/>
          <w:bCs w:val="false"/>
          <w:sz w:val="26"/>
          <w:szCs w:val="26"/>
        </w:rPr>
        <w:t xml:space="preserve">1.3. Cơ sở lý thuyết</w:t>
      </w:r>
      <w:r>
        <w:rPr>
          <w:rFonts w:ascii="Times New Roman" w:cs="Times New Roman" w:eastAsia="Times New Roman" w:hAnsi="Times New Roman"/>
          <w:b w:val="false"/>
          <w:bCs w:val="false"/>
          <w:sz w:val="26"/>
          <w:szCs w:val="26"/>
        </w:rPr>
        <w:t xml:space="preserve">	13</w:t>
      </w:r>
    </w:p>
    <w:p>
      <w:pPr>
        <w:tabs>
          <w:tab w:val="right" w:pos="9026" w:leader="dot"/>
        </w:tabs>
        <w:spacing w:after="120"/>
        <w:ind w:left="600"/>
      </w:pPr>
      <w:r>
        <w:rPr>
          <w:rFonts w:ascii="Times New Roman" w:cs="Times New Roman" w:eastAsia="Times New Roman" w:hAnsi="Times New Roman"/>
          <w:b w:val="false"/>
          <w:bCs w:val="false"/>
          <w:sz w:val="26"/>
          <w:szCs w:val="26"/>
        </w:rPr>
        <w:t xml:space="preserve">1.3.1. Mô hình thương mại điện tử B2C, B2B, B2B2C và marketplace nhiều người bán</w:t>
      </w:r>
      <w:r>
        <w:rPr>
          <w:rFonts w:ascii="Times New Roman" w:cs="Times New Roman" w:eastAsia="Times New Roman" w:hAnsi="Times New Roman"/>
          <w:b w:val="false"/>
          <w:bCs w:val="false"/>
          <w:sz w:val="26"/>
          <w:szCs w:val="26"/>
        </w:rPr>
        <w:t xml:space="preserve">	13</w:t>
      </w:r>
    </w:p>
    <w:p>
      <w:pPr>
        <w:tabs>
          <w:tab w:val="right" w:pos="9026" w:leader="dot"/>
        </w:tabs>
        <w:spacing w:after="120"/>
        <w:ind w:left="600"/>
      </w:pPr>
      <w:r>
        <w:rPr>
          <w:rFonts w:ascii="Times New Roman" w:cs="Times New Roman" w:eastAsia="Times New Roman" w:hAnsi="Times New Roman"/>
          <w:b w:val="false"/>
          <w:bCs w:val="false"/>
          <w:sz w:val="26"/>
          <w:szCs w:val="26"/>
        </w:rPr>
        <w:t xml:space="preserve">1.3.2. Chuỗi cung ứng nông sản ngắn và disintermediation</w:t>
      </w:r>
      <w:r>
        <w:rPr>
          <w:rFonts w:ascii="Times New Roman" w:cs="Times New Roman" w:eastAsia="Times New Roman" w:hAnsi="Times New Roman"/>
          <w:b w:val="false"/>
          <w:bCs w:val="false"/>
          <w:sz w:val="26"/>
          <w:szCs w:val="26"/>
        </w:rPr>
        <w:t xml:space="preserve">	14</w:t>
      </w:r>
    </w:p>
    <w:p>
      <w:pPr>
        <w:tabs>
          <w:tab w:val="right" w:pos="9026" w:leader="dot"/>
        </w:tabs>
        <w:spacing w:after="120"/>
        <w:ind w:left="600"/>
      </w:pPr>
      <w:r>
        <w:rPr>
          <w:rFonts w:ascii="Times New Roman" w:cs="Times New Roman" w:eastAsia="Times New Roman" w:hAnsi="Times New Roman"/>
          <w:b w:val="false"/>
          <w:bCs w:val="false"/>
          <w:sz w:val="26"/>
          <w:szCs w:val="26"/>
        </w:rPr>
        <w:t xml:space="preserve">1.3.3. Truy xuất nguồn gốc thực phẩm: chuẩn GS1 và vai trò của blockchain</w:t>
      </w:r>
      <w:r>
        <w:rPr>
          <w:rFonts w:ascii="Times New Roman" w:cs="Times New Roman" w:eastAsia="Times New Roman" w:hAnsi="Times New Roman"/>
          <w:b w:val="false"/>
          <w:bCs w:val="false"/>
          <w:sz w:val="26"/>
          <w:szCs w:val="26"/>
        </w:rPr>
        <w:t xml:space="preserve">	15</w:t>
      </w:r>
    </w:p>
    <w:p>
      <w:pPr>
        <w:tabs>
          <w:tab w:val="right" w:pos="9026" w:leader="dot"/>
        </w:tabs>
        <w:spacing w:after="120"/>
        <w:ind w:left="600"/>
      </w:pPr>
      <w:r>
        <w:rPr>
          <w:rFonts w:ascii="Times New Roman" w:cs="Times New Roman" w:eastAsia="Times New Roman" w:hAnsi="Times New Roman"/>
          <w:b w:val="false"/>
          <w:bCs w:val="false"/>
          <w:sz w:val="26"/>
          <w:szCs w:val="26"/>
        </w:rPr>
        <w:t xml:space="preserve">1.3.4. Hệ thống đánh giá, uy tín và bất cân xứng thông tin</w:t>
      </w:r>
      <w:r>
        <w:rPr>
          <w:rFonts w:ascii="Times New Roman" w:cs="Times New Roman" w:eastAsia="Times New Roman" w:hAnsi="Times New Roman"/>
          <w:b w:val="false"/>
          <w:bCs w:val="false"/>
          <w:sz w:val="26"/>
          <w:szCs w:val="26"/>
        </w:rPr>
        <w:t xml:space="preserve">	16</w:t>
      </w:r>
    </w:p>
    <w:p>
      <w:pPr>
        <w:tabs>
          <w:tab w:val="right" w:pos="9026" w:leader="dot"/>
        </w:tabs>
        <w:spacing w:after="120"/>
        <w:ind w:left="600"/>
      </w:pPr>
      <w:r>
        <w:rPr>
          <w:rFonts w:ascii="Times New Roman" w:cs="Times New Roman" w:eastAsia="Times New Roman" w:hAnsi="Times New Roman"/>
          <w:b w:val="false"/>
          <w:bCs w:val="false"/>
          <w:sz w:val="26"/>
          <w:szCs w:val="26"/>
        </w:rPr>
        <w:t xml:space="preserve">1.3.5. Nền tảng công nghệ: kiến trúc hệ thống, phân quyền RBAC và thanh toán trung gian</w:t>
      </w:r>
      <w:r>
        <w:rPr>
          <w:rFonts w:ascii="Times New Roman" w:cs="Times New Roman" w:eastAsia="Times New Roman" w:hAnsi="Times New Roman"/>
          <w:b w:val="false"/>
          <w:bCs w:val="false"/>
          <w:sz w:val="26"/>
          <w:szCs w:val="26"/>
        </w:rPr>
        <w:t xml:space="preserve">	17</w:t>
      </w:r>
    </w:p>
    <w:p>
      <w:pPr>
        <w:tabs>
          <w:tab w:val="right" w:pos="9026" w:leader="dot"/>
        </w:tabs>
        <w:spacing w:after="120"/>
        <w:ind w:left="0"/>
      </w:pPr>
      <w:r>
        <w:rPr>
          <w:rFonts w:ascii="Times New Roman" w:cs="Times New Roman" w:eastAsia="Times New Roman" w:hAnsi="Times New Roman"/>
          <w:b/>
          <w:bCs/>
          <w:sz w:val="26"/>
          <w:szCs w:val="26"/>
        </w:rPr>
        <w:t xml:space="preserve">DANH MỤC TÀI LIỆU THAM KHẢO</w:t>
      </w:r>
      <w:r>
        <w:rPr>
          <w:rFonts w:ascii="Times New Roman" w:cs="Times New Roman" w:eastAsia="Times New Roman" w:hAnsi="Times New Roman"/>
          <w:b/>
          <w:bCs/>
          <w:sz w:val="26"/>
          <w:szCs w:val="26"/>
        </w:rPr>
        <w:t xml:space="preserve">	18</w:t>
      </w:r>
    </w:p>
    <w:p>
      <w:pPr>
        <w:sectPr>
          <w:headerReference w:type="default" r:id="rId7"/>
          <w:footerReference w:type="default" r:id="rId8"/>
          <w:pgSz w:w="11907" w:h="16840" w:orient="portrait"/>
          <w:pgMar w:top="1417" w:right="1417" w:bottom="1417" w:left="1701" w:header="708" w:footer="708" w:gutter="0"/>
          <w:pgNumType/>
          <w:docGrid w:linePitch="360"/>
        </w:sectPr>
      </w:pPr>
    </w:p>
    <w:p>
      <w:pPr>
        <w:pStyle w:val="Heading1"/>
        <w:spacing w:after="240"/>
      </w:pPr>
      <w:r>
        <w:rPr>
          <w:rFonts w:ascii="Times New Roman" w:cs="Times New Roman" w:eastAsia="Times New Roman" w:hAnsi="Times New Roman"/>
          <w:b/>
          <w:bCs/>
          <w:sz w:val="32"/>
          <w:szCs w:val="32"/>
        </w:rPr>
        <w:t xml:space="preserve">PHẦN A. BẢNG PHÂN CÔNG CÔNG VIỆC NHÓM</w:t>
      </w:r>
    </w:p>
    <w:p>
      <w:pPr>
        <w:spacing w:after="200" w:line="360"/>
        <w:jc w:val="both"/>
      </w:pPr>
      <w:r>
        <w:rPr>
          <w:rFonts w:ascii="Times New Roman" w:cs="Times New Roman" w:eastAsia="Times New Roman" w:hAnsi="Times New Roman"/>
          <w:sz w:val="26"/>
          <w:szCs w:val="26"/>
        </w:rPr>
        <w:t xml:space="preserve">Nhóm thực hiện gồm 3 thành viên. Công việc được chia theo 3 mảng nội dung tương ứng với 3 mục của Chương 1 “Tổng quan đề tài và cơ sở lý thuyết”, thời điểm giao việc ngày 07/09/2026, hạn hoàn thành ngày 11/09/2026.</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600"/>
        <w:gridCol w:w="2200"/>
        <w:gridCol w:w="1200"/>
        <w:gridCol w:w="1200"/>
      </w:tblGrid>
      <w:tr>
        <w:trPr>
          <w:tblHeader/>
        </w:trPr>
        <w:tc>
          <w:tcPr>
            <w:tcW w:type="dxa" w:w="500"/>
            <w:shd w:fill="D9D9D9"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i w:val="false"/>
                <w:iCs w:val="false"/>
                <w:sz w:val="22"/>
                <w:szCs w:val="22"/>
              </w:rPr>
              <w:t xml:space="preserve">STT</w:t>
            </w:r>
          </w:p>
        </w:tc>
        <w:tc>
          <w:tcPr>
            <w:tcW w:type="dxa" w:w="1400"/>
            <w:shd w:fill="D9D9D9" w:val="clear"/>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i w:val="false"/>
                <w:iCs w:val="false"/>
                <w:sz w:val="22"/>
                <w:szCs w:val="22"/>
              </w:rPr>
              <w:t xml:space="preserve">Mảng công việc</w:t>
            </w:r>
          </w:p>
        </w:tc>
        <w:tc>
          <w:tcPr>
            <w:tcW w:type="dxa" w:w="3600"/>
            <w:shd w:fill="D9D9D9" w:val="clear"/>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i w:val="false"/>
                <w:iCs w:val="false"/>
                <w:sz w:val="22"/>
                <w:szCs w:val="22"/>
              </w:rPr>
              <w:t xml:space="preserve">Nội dung công việc chi tiết</w:t>
            </w:r>
          </w:p>
        </w:tc>
        <w:tc>
          <w:tcPr>
            <w:tcW w:type="dxa" w:w="2200"/>
            <w:shd w:fill="D9D9D9" w:val="clear"/>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i w:val="false"/>
                <w:iCs w:val="false"/>
                <w:sz w:val="22"/>
                <w:szCs w:val="22"/>
              </w:rPr>
              <w:t xml:space="preserve">Sản phẩm đầu ra</w:t>
            </w:r>
          </w:p>
        </w:tc>
        <w:tc>
          <w:tcPr>
            <w:tcW w:type="dxa" w:w="1200"/>
            <w:shd w:fill="D9D9D9" w:val="clear"/>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i w:val="false"/>
                <w:iCs w:val="false"/>
                <w:sz w:val="22"/>
                <w:szCs w:val="22"/>
              </w:rPr>
              <w:t xml:space="preserve">Phụ trách</w:t>
            </w:r>
          </w:p>
        </w:tc>
        <w:tc>
          <w:tcPr>
            <w:tcW w:type="dxa" w:w="1200"/>
            <w:shd w:fill="D9D9D9" w:val="clear"/>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i w:val="false"/>
                <w:iCs w:val="false"/>
                <w:sz w:val="22"/>
                <w:szCs w:val="22"/>
              </w:rPr>
              <w:t xml:space="preserve">Deadline</w:t>
            </w:r>
          </w:p>
        </w:tc>
      </w:tr>
      <w:tr>
        <w:tc>
          <w:tcPr>
            <w:tcW w:type="dxa" w:w="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i w:val="false"/>
                <w:iCs w:val="false"/>
                <w:sz w:val="22"/>
                <w:szCs w:val="22"/>
              </w:rPr>
              <w:t xml:space="preserve">1</w:t>
            </w:r>
          </w:p>
        </w:tc>
        <w:tc>
          <w:tcPr>
            <w:tcW w:type="dxa" w:w="14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i w:val="false"/>
                <w:iCs w:val="false"/>
                <w:sz w:val="22"/>
                <w:szCs w:val="22"/>
              </w:rPr>
              <w:t xml:space="preserve">Đề tài &amp; lĩnh vực</w:t>
            </w:r>
          </w:p>
        </w:tc>
        <w:tc>
          <w:tcPr>
            <w:tcW w:type="dxa" w:w="36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Tổng hợp số liệu thực trạng chuỗi cung ứng nông sản Việt Nam (vai trò thương lái, hiện tượng “được mùa mất giá”, tỷ lệ giá trị nông dân nhận được); bối cảnh OCOP, chính sách chuyển đổi số, VietGAP/GlobalGAP; so sánh tối thiểu 4 sàn thương mại điện tử nông sản trong và ngoài nước; phân tích 4 nhóm người dùng.</w:t>
            </w:r>
          </w:p>
        </w:tc>
        <w:tc>
          <w:tcPr>
            <w:tcW w:type="dxa" w:w="2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Mục 1 của Chương 1</w:t>
            </w:r>
          </w:p>
        </w:tc>
        <w:tc>
          <w:tcPr>
            <w:tcW w:type="dxa" w:w="12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i w:val="false"/>
                <w:iCs w:val="false"/>
                <w:sz w:val="22"/>
                <w:szCs w:val="22"/>
              </w:rPr>
              <w:t xml:space="preserve">Thành viên 1</w:t>
            </w:r>
          </w:p>
        </w:tc>
        <w:tc>
          <w:tcPr>
            <w:tcW w:type="dxa" w:w="12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i w:val="false"/>
                <w:iCs w:val="false"/>
                <w:sz w:val="22"/>
                <w:szCs w:val="22"/>
              </w:rPr>
              <w:t xml:space="preserve">10/09/2026</w:t>
            </w:r>
          </w:p>
        </w:tc>
      </w:tr>
      <w:tr>
        <w:tc>
          <w:tcPr>
            <w:tcW w:type="dxa" w:w="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i w:val="false"/>
                <w:iCs w:val="false"/>
                <w:sz w:val="22"/>
                <w:szCs w:val="22"/>
              </w:rPr>
              <w:t xml:space="preserve">2</w:t>
            </w:r>
          </w:p>
        </w:tc>
        <w:tc>
          <w:tcPr>
            <w:tcW w:type="dxa" w:w="14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i w:val="false"/>
                <w:iCs w:val="false"/>
                <w:sz w:val="22"/>
                <w:szCs w:val="22"/>
              </w:rPr>
              <w:t xml:space="preserve">Quy trình nghiệp vụ</w:t>
            </w:r>
          </w:p>
        </w:tc>
        <w:tc>
          <w:tcPr>
            <w:tcW w:type="dxa" w:w="36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Xây dựng 6 quy trình nghiệp vụ cốt lõi (đăng ký/xác thực nhà bán, đăng và kiểm duyệt sản phẩm kèm mã QR truy xuất, mua lẻ, mua sỉ B2B, vận chuyển hàng dễ hư hỏng và xử lý khiếu nại, quản trị hệ thống) thành sơ đồ quy trình (BPMN/flowchart).</w:t>
            </w:r>
          </w:p>
        </w:tc>
        <w:tc>
          <w:tcPr>
            <w:tcW w:type="dxa" w:w="2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Mục 2 của Chương 1 và bộ sơ đồ quy trình</w:t>
            </w:r>
          </w:p>
        </w:tc>
        <w:tc>
          <w:tcPr>
            <w:tcW w:type="dxa" w:w="12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i w:val="false"/>
                <w:iCs w:val="false"/>
                <w:sz w:val="22"/>
                <w:szCs w:val="22"/>
              </w:rPr>
              <w:t xml:space="preserve">Thành viên 2</w:t>
            </w:r>
          </w:p>
        </w:tc>
        <w:tc>
          <w:tcPr>
            <w:tcW w:type="dxa" w:w="12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i w:val="false"/>
                <w:iCs w:val="false"/>
                <w:sz w:val="22"/>
                <w:szCs w:val="22"/>
              </w:rPr>
              <w:t xml:space="preserve">10/09/2026</w:t>
            </w:r>
          </w:p>
        </w:tc>
      </w:tr>
      <w:tr>
        <w:tc>
          <w:tcPr>
            <w:tcW w:type="dxa" w:w="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i w:val="false"/>
                <w:iCs w:val="false"/>
                <w:sz w:val="22"/>
                <w:szCs w:val="22"/>
              </w:rPr>
              <w:t xml:space="preserve">3</w:t>
            </w:r>
          </w:p>
        </w:tc>
        <w:tc>
          <w:tcPr>
            <w:tcW w:type="dxa" w:w="14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i w:val="false"/>
                <w:iCs w:val="false"/>
                <w:sz w:val="22"/>
                <w:szCs w:val="22"/>
              </w:rPr>
              <w:t xml:space="preserve">Cơ sở lý thuyết</w:t>
            </w:r>
          </w:p>
        </w:tc>
        <w:tc>
          <w:tcPr>
            <w:tcW w:type="dxa" w:w="36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Tổng hợp, kiểm chứng và trích dẫn 5 nhóm lý thuyết nền tảng (mô hình thương mại điện tử B2B2C, chuỗi cung ứng ngắn và disintermediation, truy xuất nguồn gốc theo chuẩn GS1 và vai trò của blockchain, hệ thống uy tín và bất cân xứng thông tin, kiến trúc hệ thống — RBAC — thanh toán trung gian/escrow); liên hệ áp dụng cụ thể vào thiết kế Farmery.</w:t>
            </w:r>
          </w:p>
        </w:tc>
        <w:tc>
          <w:tcPr>
            <w:tcW w:type="dxa" w:w="2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Mục 3 của Chương 1</w:t>
            </w:r>
          </w:p>
        </w:tc>
        <w:tc>
          <w:tcPr>
            <w:tcW w:type="dxa" w:w="12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i w:val="false"/>
                <w:iCs w:val="false"/>
                <w:sz w:val="22"/>
                <w:szCs w:val="22"/>
              </w:rPr>
              <w:t xml:space="preserve">Thành viên 3</w:t>
            </w:r>
          </w:p>
        </w:tc>
        <w:tc>
          <w:tcPr>
            <w:tcW w:type="dxa" w:w="12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i w:val="false"/>
                <w:iCs w:val="false"/>
                <w:sz w:val="22"/>
                <w:szCs w:val="22"/>
              </w:rPr>
              <w:t xml:space="preserve">10/09/2026</w:t>
            </w:r>
          </w:p>
        </w:tc>
      </w:tr>
      <w:tr>
        <w:tc>
          <w:tcPr>
            <w:tcW w:type="dxa" w:w="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i w:val="false"/>
                <w:iCs w:val="false"/>
                <w:sz w:val="22"/>
                <w:szCs w:val="22"/>
              </w:rPr>
              <w:t xml:space="preserve">4</w:t>
            </w:r>
          </w:p>
        </w:tc>
        <w:tc>
          <w:tcPr>
            <w:tcW w:type="dxa" w:w="14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i w:val="false"/>
                <w:iCs w:val="false"/>
                <w:sz w:val="22"/>
                <w:szCs w:val="22"/>
              </w:rPr>
              <w:t xml:space="preserve">Tổng hợp &amp; định dạng báo cáo</w:t>
            </w:r>
          </w:p>
        </w:tc>
        <w:tc>
          <w:tcPr>
            <w:tcW w:type="dxa" w:w="36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Ghép nội dung 3 mục vào báo cáo chung, thống nhất văn phong, phông chữ, cách đánh số hình/bảng, chuẩn hóa danh mục tài liệu tham khảo theo một chuẩn trích dẫn thống nhất.</w:t>
            </w:r>
          </w:p>
        </w:tc>
        <w:tc>
          <w:tcPr>
            <w:tcW w:type="dxa" w:w="2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Bản thảo hoàn chỉnh Chương 1</w:t>
            </w:r>
          </w:p>
        </w:tc>
        <w:tc>
          <w:tcPr>
            <w:tcW w:type="dxa" w:w="12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i w:val="false"/>
                <w:iCs w:val="false"/>
                <w:sz w:val="22"/>
                <w:szCs w:val="22"/>
              </w:rPr>
              <w:t xml:space="preserve">Cả nhóm</w:t>
            </w:r>
          </w:p>
        </w:tc>
        <w:tc>
          <w:tcPr>
            <w:tcW w:type="dxa" w:w="12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i w:val="false"/>
                <w:iCs w:val="false"/>
                <w:sz w:val="22"/>
                <w:szCs w:val="22"/>
              </w:rPr>
              <w:t xml:space="preserve">11/09/2026</w:t>
            </w:r>
          </w:p>
        </w:tc>
      </w:tr>
      <w:tr>
        <w:tc>
          <w:tcPr>
            <w:tcW w:type="dxa" w:w="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i w:val="false"/>
                <w:iCs w:val="false"/>
                <w:sz w:val="22"/>
                <w:szCs w:val="22"/>
              </w:rPr>
              <w:t xml:space="preserve">5</w:t>
            </w:r>
          </w:p>
        </w:tc>
        <w:tc>
          <w:tcPr>
            <w:tcW w:type="dxa" w:w="14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i w:val="false"/>
                <w:iCs w:val="false"/>
                <w:sz w:val="22"/>
                <w:szCs w:val="22"/>
              </w:rPr>
              <w:t xml:space="preserve">Rà soát chéo &amp; kiểm tra số liệu</w:t>
            </w:r>
          </w:p>
        </w:tc>
        <w:tc>
          <w:tcPr>
            <w:tcW w:type="dxa" w:w="36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Mỗi thành viên rà soát phần do thành viên khác biên soạn: kiểm tra nguồn và năm của số liệu, tính nhất quán logic, chính tả và thuật ngữ chuyên ngành.</w:t>
            </w:r>
          </w:p>
        </w:tc>
        <w:tc>
          <w:tcPr>
            <w:tcW w:type="dxa" w:w="2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Bản góp ý và bản sửa cuối cùng</w:t>
            </w:r>
          </w:p>
        </w:tc>
        <w:tc>
          <w:tcPr>
            <w:tcW w:type="dxa" w:w="12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i w:val="false"/>
                <w:iCs w:val="false"/>
                <w:sz w:val="22"/>
                <w:szCs w:val="22"/>
              </w:rPr>
              <w:t xml:space="preserve">Cả nhóm</w:t>
            </w:r>
          </w:p>
        </w:tc>
        <w:tc>
          <w:tcPr>
            <w:tcW w:type="dxa" w:w="12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i w:val="false"/>
                <w:iCs w:val="false"/>
                <w:sz w:val="22"/>
                <w:szCs w:val="22"/>
              </w:rPr>
              <w:t xml:space="preserve">11/09/2026</w:t>
            </w:r>
          </w:p>
        </w:tc>
      </w:tr>
      <w:tr>
        <w:tc>
          <w:tcPr>
            <w:tcW w:type="dxa" w:w="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i w:val="false"/>
                <w:iCs w:val="false"/>
                <w:sz w:val="22"/>
                <w:szCs w:val="22"/>
              </w:rPr>
              <w:t xml:space="preserve">6</w:t>
            </w:r>
          </w:p>
        </w:tc>
        <w:tc>
          <w:tcPr>
            <w:tcW w:type="dxa" w:w="14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i w:val="false"/>
                <w:iCs w:val="false"/>
                <w:sz w:val="22"/>
                <w:szCs w:val="22"/>
              </w:rPr>
              <w:t xml:space="preserve">Hoàn thiện &amp; nộp bài</w:t>
            </w:r>
          </w:p>
        </w:tc>
        <w:tc>
          <w:tcPr>
            <w:tcW w:type="dxa" w:w="36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Xuất file báo cáo theo định dạng yêu cầu của môn học, kiểm tra định dạng tổng thể, nộp lên hệ thống/gửi giảng viên hướng dẫn.</w:t>
            </w:r>
          </w:p>
        </w:tc>
        <w:tc>
          <w:tcPr>
            <w:tcW w:type="dxa" w:w="2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File báo cáo nộp cuối cùng</w:t>
            </w:r>
          </w:p>
        </w:tc>
        <w:tc>
          <w:tcPr>
            <w:tcW w:type="dxa" w:w="12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i w:val="false"/>
                <w:iCs w:val="false"/>
                <w:sz w:val="22"/>
                <w:szCs w:val="22"/>
              </w:rPr>
              <w:t xml:space="preserve">Cả nhóm</w:t>
            </w:r>
          </w:p>
        </w:tc>
        <w:tc>
          <w:tcPr>
            <w:tcW w:type="dxa" w:w="12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i w:val="false"/>
                <w:iCs w:val="false"/>
                <w:sz w:val="22"/>
                <w:szCs w:val="22"/>
              </w:rPr>
              <w:t xml:space="preserve">11/09/2026</w:t>
            </w:r>
          </w:p>
        </w:tc>
      </w:tr>
    </w:tbl>
    <w:p>
      <w:pPr>
        <w:spacing w:after="200"/>
      </w:pPr>
    </w:p>
    <w:p>
      <w:pPr>
        <w:pStyle w:val="Heading3"/>
        <w:spacing w:after="140" w:before="280"/>
      </w:pPr>
      <w:r>
        <w:rPr>
          <w:rFonts w:ascii="Times New Roman" w:cs="Times New Roman" w:eastAsia="Times New Roman" w:hAnsi="Times New Roman"/>
          <w:b/>
          <w:bCs/>
          <w:i w:val="false"/>
          <w:iCs w:val="false"/>
          <w:sz w:val="26"/>
          <w:szCs w:val="26"/>
        </w:rPr>
        <w:t xml:space="preserve">Ghi chú vận hành nhóm</w:t>
      </w:r>
    </w:p>
    <w:p>
      <w:pPr>
        <w:pStyle w:val="ListParagraph"/>
        <w:numPr>
          <w:ilvl w:val="0"/>
          <w:numId w:val="2"/>
        </w:numPr>
        <w:spacing w:after="120" w:line="360"/>
        <w:jc w:val="both"/>
      </w:pPr>
      <w:r>
        <w:rPr>
          <w:rFonts w:ascii="Times New Roman" w:cs="Times New Roman" w:eastAsia="Times New Roman" w:hAnsi="Times New Roman"/>
          <w:sz w:val="26"/>
          <w:szCs w:val="26"/>
        </w:rPr>
        <w:t xml:space="preserve">Duy trì một kênh trao đổi chung (nhóm chat hoặc bảng công việc) để cập nhật tiến độ hằng ngày, tránh dồn khối lượng công việc vào sát hạn nộp.</w:t>
      </w:r>
    </w:p>
    <w:p>
      <w:pPr>
        <w:pStyle w:val="ListParagraph"/>
        <w:numPr>
          <w:ilvl w:val="0"/>
          <w:numId w:val="2"/>
        </w:numPr>
        <w:spacing w:after="120" w:line="360"/>
        <w:jc w:val="both"/>
      </w:pPr>
      <w:r>
        <w:rPr>
          <w:rFonts w:ascii="Times New Roman" w:cs="Times New Roman" w:eastAsia="Times New Roman" w:hAnsi="Times New Roman"/>
          <w:sz w:val="26"/>
          <w:szCs w:val="26"/>
        </w:rPr>
        <w:t xml:space="preserve">Khi một mảng công việc có nguy cơ trễ hạn, các thành viên còn lại cần được thông báo sớm để kịp hỗ trợ, do các bước tổng hợp và rà soát phụ thuộc vào việc hoàn thành đầy đủ nội dung của từng mảng.</w:t>
      </w:r>
    </w:p>
    <w:p>
      <w:pPr>
        <w:pStyle w:val="ListParagraph"/>
        <w:numPr>
          <w:ilvl w:val="0"/>
          <w:numId w:val="2"/>
        </w:numPr>
        <w:spacing w:after="120" w:line="360"/>
        <w:jc w:val="both"/>
      </w:pPr>
      <w:r>
        <w:rPr>
          <w:rFonts w:ascii="Times New Roman" w:cs="Times New Roman" w:eastAsia="Times New Roman" w:hAnsi="Times New Roman"/>
          <w:sz w:val="26"/>
          <w:szCs w:val="26"/>
        </w:rPr>
        <w:t xml:space="preserve">Mảng “Quy trình nghiệp vụ” nên được ưu tiên thực hiện sớm vì cần thời gian xây dựng sơ đồ, không chỉ soạn thảo văn bản.</w:t>
      </w:r>
    </w:p>
    <w:p>
      <w:pPr>
        <w:pStyle w:val="Heading1"/>
        <w:pageBreakBefore/>
        <w:spacing w:after="100"/>
        <w:jc w:val="center"/>
      </w:pPr>
      <w:r>
        <w:rPr>
          <w:rFonts w:ascii="Times New Roman" w:cs="Times New Roman" w:eastAsia="Times New Roman" w:hAnsi="Times New Roman"/>
          <w:b/>
          <w:bCs/>
          <w:sz w:val="32"/>
          <w:szCs w:val="32"/>
        </w:rPr>
        <w:t xml:space="preserve">CHƯƠNG 1</w:t>
      </w:r>
    </w:p>
    <w:p>
      <w:pPr>
        <w:spacing w:after="400"/>
        <w:jc w:val="center"/>
      </w:pPr>
      <w:r>
        <w:rPr>
          <w:rFonts w:ascii="Times New Roman" w:cs="Times New Roman" w:eastAsia="Times New Roman" w:hAnsi="Times New Roman"/>
          <w:b/>
          <w:bCs/>
          <w:sz w:val="32"/>
          <w:szCs w:val="32"/>
        </w:rPr>
        <w:t xml:space="preserve">TỔNG QUAN ĐỀ TÀI VÀ CƠ SỞ LÝ THUYẾT</w:t>
      </w:r>
    </w:p>
    <w:p>
      <w:pPr>
        <w:pStyle w:val="Heading1"/>
        <w:spacing w:after="240"/>
      </w:pPr>
      <w:r>
        <w:rPr>
          <w:rFonts w:ascii="Times New Roman" w:cs="Times New Roman" w:eastAsia="Times New Roman" w:hAnsi="Times New Roman"/>
          <w:b/>
          <w:bCs/>
          <w:sz w:val="32"/>
          <w:szCs w:val="32"/>
        </w:rPr>
        <w:t xml:space="preserve">1.1. Đề tài và lĩnh vực</w:t>
      </w:r>
    </w:p>
    <w:p>
      <w:pPr>
        <w:pStyle w:val="Heading2"/>
        <w:spacing w:after="180" w:before="360"/>
      </w:pPr>
      <w:r>
        <w:rPr>
          <w:rFonts w:ascii="Times New Roman" w:cs="Times New Roman" w:eastAsia="Times New Roman" w:hAnsi="Times New Roman"/>
          <w:b/>
          <w:bCs/>
          <w:sz w:val="28"/>
          <w:szCs w:val="28"/>
        </w:rPr>
        <w:t xml:space="preserve">1.1.1. Thực trạng chuỗi cung ứng nông sản Việt Nam</w:t>
      </w:r>
    </w:p>
    <w:p>
      <w:pPr>
        <w:pStyle w:val="Heading3"/>
        <w:spacing w:after="140" w:before="280"/>
      </w:pPr>
      <w:r>
        <w:rPr>
          <w:rFonts w:ascii="Times New Roman" w:cs="Times New Roman" w:eastAsia="Times New Roman" w:hAnsi="Times New Roman"/>
          <w:b/>
          <w:bCs/>
          <w:i w:val="false"/>
          <w:iCs w:val="false"/>
          <w:sz w:val="26"/>
          <w:szCs w:val="26"/>
        </w:rPr>
        <w:t xml:space="preserve">a) Vai trò của thương lái trong chuỗi cung ứng</w:t>
      </w:r>
    </w:p>
    <w:p>
      <w:pPr>
        <w:spacing w:after="200" w:line="360"/>
        <w:jc w:val="both"/>
      </w:pPr>
      <w:r>
        <w:rPr>
          <w:rFonts w:ascii="Times New Roman" w:cs="Times New Roman" w:eastAsia="Times New Roman" w:hAnsi="Times New Roman"/>
          <w:sz w:val="26"/>
          <w:szCs w:val="26"/>
        </w:rPr>
        <w:t xml:space="preserve">Chuỗi cung ứng nông sản truyền thống tại Việt Nam hiện vẫn phụ thuộc đáng kể vào các khâu trung gian. Theo số liệu được Tạp chí Công Thương tổng hợp từ khảo sát của Viện Chính sách và Chiến lược Phát triển Nông nghiệp Nông thôn (IPSARD), một loại nông sản trung bình phải trải qua ít nhất 4–5 khâu trung gian trước khi đến tay người tiêu dùng cuối, khiến giá thành tăng thêm khoảng 30–40% so với giá tại trang trại [1]. Cùng nguồn này, tính đến năm 2023, hệ thống chợ truyền thống vẫn chiếm khoảng 80% sản lượng nông sản tiêu thụ tại các đô thị lớn như Hà Nội và Thành phố Hồ Chí Minh, trong khi kênh bán lẻ hiện đại (siêu thị, chuỗi cửa hàng) chỉ chiếm khoảng 15–20% [1]. Đến năm 2024, tỷ lệ nông sản được sản xuất theo hình thức liên kết chuỗi giữa nông dân/hợp tác xã với doanh nghiệp mới đạt 21,6% theo báo cáo của Bộ Nông nghiệp và Phát triển nông thôn [1], cho thấy phần sản lượng còn lại phần lớn vẫn giao dịch qua kênh tự do — nơi thương lái giữ vai trò định giá chi phối.</w:t>
      </w:r>
    </w:p>
    <w:p>
      <w:pPr>
        <w:spacing w:after="200" w:line="360"/>
        <w:jc w:val="both"/>
      </w:pPr>
      <w:r>
        <w:rPr>
          <w:rFonts w:ascii="Times New Roman" w:cs="Times New Roman" w:eastAsia="Times New Roman" w:hAnsi="Times New Roman"/>
          <w:sz w:val="26"/>
          <w:szCs w:val="26"/>
        </w:rPr>
        <w:t xml:space="preserve">Vai trò của thương lái trong bối cảnh này mang tính hai mặt. Một mặt, họ giải quyết bài toán thu gom, sơ chế và vận chuyển phân tán mà từng nông hộ nhỏ khó tự thực hiện. Mặt khác, do nắm thông tin thị trường tốt hơn nông dân (hiện tượng bất cân xứng thông tin — trình bày chi tiết tại mục 1.3.4) và thường là điểm bán duy nhất tại địa phương vào thời điểm thu hoạch, thương lái có vị thế đàm phán giá vượt trội, dẫn đến hiện tượng ép giá khi vào vụ thu hoạch rộ. Một số nguồn ngành (Viện Logistics và Chuỗi cung ứng Việt Nam) còn cho rằng phần lớn nông sản xuất khẩu của Việt Nam phải đi qua trung gian mang thương hiệu nước ngoài và phần giá trị nông dân, doanh nghiệp trong nước thực nhận chỉ chiếm một tỷ lệ nhỏ so với giá bán đến tay người tiêu dùng cuối; tuy vậy nguồn này không công bố rõ năm khảo sát và phương pháp thống kê, nên cần được xem là minh họa xu hướng chung của ngành hơn là số liệu chính thức có thể trích dẫn tuyệt đối, và nên được đối chiếu thêm với báo cáo ngành hàng cụ thể khi đưa vào các phần phân tích định lượng của đồ án.</w:t>
      </w:r>
    </w:p>
    <w:p>
      <w:pPr>
        <w:pStyle w:val="Heading3"/>
        <w:spacing w:after="140" w:before="280"/>
      </w:pPr>
      <w:r>
        <w:rPr>
          <w:rFonts w:ascii="Times New Roman" w:cs="Times New Roman" w:eastAsia="Times New Roman" w:hAnsi="Times New Roman"/>
          <w:b/>
          <w:bCs/>
          <w:i w:val="false"/>
          <w:iCs w:val="false"/>
          <w:sz w:val="26"/>
          <w:szCs w:val="26"/>
        </w:rPr>
        <w:t xml:space="preserve">b) Nguyên nhân hiện tượng “được mùa mất giá”</w:t>
      </w:r>
    </w:p>
    <w:p>
      <w:pPr>
        <w:spacing w:after="200" w:line="360"/>
        <w:jc w:val="both"/>
      </w:pPr>
      <w:r>
        <w:rPr>
          <w:rFonts w:ascii="Times New Roman" w:cs="Times New Roman" w:eastAsia="Times New Roman" w:hAnsi="Times New Roman"/>
          <w:sz w:val="26"/>
          <w:szCs w:val="26"/>
        </w:rPr>
        <w:t xml:space="preserve">Nguyên nhân của hiện tượng này thường được nhìn nhận qua ba nhóm yếu tố chính. Thứ nhất, cung tăng đồng loạt khi vào vụ thu hoạch do sản xuất còn theo tập quán mùa vụ, thiếu quy hoạch rải vụ giữa các vùng trồng. Thứ hai, thiếu phương án tiêu thụ đa kênh cũng như năng lực chế biến sâu và bảo quản để hấp thụ sản lượng dư thừa ngoài kênh tiêu thụ tươi. Thứ ba, tỷ lệ hao hụt và hư hỏng sau thu hoạch còn cao đối với một số nhóm nông sản tươi, buộc nông dân phải bán tháo với giá thấp trước khi hàng hỏng hoàn toàn — nội dung này được một số chuyên gia ngành nông nghiệp nêu trên báo chí kinh tế trong nước, trong đó có bài viết của TheLeader năm 2024 [2].</w:t>
      </w:r>
    </w:p>
    <w:p>
      <w:pPr>
        <w:spacing w:after="200" w:line="360"/>
        <w:jc w:val="both"/>
      </w:pPr>
      <w:r>
        <w:rPr>
          <w:rFonts w:ascii="Times New Roman" w:cs="Times New Roman" w:eastAsia="Times New Roman" w:hAnsi="Times New Roman"/>
          <w:sz w:val="26"/>
          <w:szCs w:val="26"/>
        </w:rPr>
        <w:t xml:space="preserve">Ba nhóm nguyên nhân trên cũng chính là ba “điểm đau” mà một sàn thương mại điện tử như Farmery hướng tới giải quyết trực tiếp: (i) kết nối cung và cầu theo thời gian thực, mở rộng thị trường tiêu thụ vượt ra ngoài phạm vi địa lý của thương lái địa phương; (ii) cho phép đặt hàng B2B theo lịch hoặc theo hợp đồng để nông dân chủ động kế hoạch sản xuất; (iii) tối ưu hóa logistics lạnh và rút ngắn thời gian từ thu hoạch đến giao hàng cho người tiêu dùng.</w:t>
      </w:r>
    </w:p>
    <w:p>
      <w:pPr>
        <w:pStyle w:val="Heading2"/>
        <w:spacing w:after="180" w:before="360"/>
      </w:pPr>
      <w:r>
        <w:rPr>
          <w:rFonts w:ascii="Times New Roman" w:cs="Times New Roman" w:eastAsia="Times New Roman" w:hAnsi="Times New Roman"/>
          <w:b/>
          <w:bCs/>
          <w:sz w:val="28"/>
          <w:szCs w:val="28"/>
        </w:rPr>
        <w:t xml:space="preserve">1.1.2. Bối cảnh chuyển đổi số nông nghiệp tại Việt Nam</w:t>
      </w:r>
    </w:p>
    <w:p>
      <w:pPr>
        <w:pStyle w:val="Heading3"/>
        <w:spacing w:after="140" w:before="280"/>
      </w:pPr>
      <w:r>
        <w:rPr>
          <w:rFonts w:ascii="Times New Roman" w:cs="Times New Roman" w:eastAsia="Times New Roman" w:hAnsi="Times New Roman"/>
          <w:b/>
          <w:bCs/>
          <w:i w:val="false"/>
          <w:iCs w:val="false"/>
          <w:sz w:val="26"/>
          <w:szCs w:val="26"/>
        </w:rPr>
        <w:t xml:space="preserve">a) Chương trình Mỗi xã một sản phẩm (OCOP)</w:t>
      </w:r>
    </w:p>
    <w:p>
      <w:pPr>
        <w:spacing w:after="200" w:line="360"/>
        <w:jc w:val="both"/>
      </w:pPr>
      <w:r>
        <w:rPr>
          <w:rFonts w:ascii="Times New Roman" w:cs="Times New Roman" w:eastAsia="Times New Roman" w:hAnsi="Times New Roman"/>
          <w:sz w:val="26"/>
          <w:szCs w:val="26"/>
        </w:rPr>
        <w:t xml:space="preserve">Chương trình quốc gia “Mỗi xã một sản phẩm” (One Commune One Product – OCOP) hỗ trợ chuẩn hóa và nâng cao giá trị các sản phẩm nông thôn, nông sản đặc trưng vùng miền. Theo Văn phòng Điều phối nông thôn mới Trung ương, tính đến hết năm 2024, cả nước đã có 14.642 sản phẩm đạt chuẩn OCOP từ 3 sao trở lên, tăng thêm 3.586 sản phẩm so với năm 2023; trong đó 73,2% đạt 3 sao, 23,5% đạt 4 sao và 51 sản phẩm đạt hạng cao nhất 5 sao cấp quốc gia [4]. Số chủ thể tham gia là 8.086 đơn vị, gồm 32,7% là hợp tác xã, 24,1% là doanh nghiệp nhỏ và 42,7% là cơ sở sản xuất, hộ kinh doanh, phần còn lại là tổ hợp tác [4]. Đây là nguồn cung sản phẩm đã có thương hiệu và câu chuyện xuất xứ khá rõ ràng, phù hợp để đưa lên một sàn thương mại điện tử có tính năng truy xuất nguồn gốc như Farmery.</w:t>
      </w:r>
    </w:p>
    <w:p>
      <w:pPr>
        <w:pStyle w:val="Heading3"/>
        <w:spacing w:after="140" w:before="280"/>
      </w:pPr>
      <w:r>
        <w:rPr>
          <w:rFonts w:ascii="Times New Roman" w:cs="Times New Roman" w:eastAsia="Times New Roman" w:hAnsi="Times New Roman"/>
          <w:b/>
          <w:bCs/>
          <w:i w:val="false"/>
          <w:iCs w:val="false"/>
          <w:sz w:val="26"/>
          <w:szCs w:val="26"/>
        </w:rPr>
        <w:t xml:space="preserve">b) Chính sách và định hướng chuyển đổi số nông nghiệp</w:t>
      </w:r>
    </w:p>
    <w:p>
      <w:pPr>
        <w:spacing w:after="200" w:line="360"/>
        <w:jc w:val="both"/>
      </w:pPr>
      <w:r>
        <w:rPr>
          <w:rFonts w:ascii="Times New Roman" w:cs="Times New Roman" w:eastAsia="Times New Roman" w:hAnsi="Times New Roman"/>
          <w:sz w:val="26"/>
          <w:szCs w:val="26"/>
        </w:rPr>
        <w:t xml:space="preserve">Về căn cứ chính sách, Quyết định số 749/QĐ-TTg ngày 03/6/2020 của Thủ tướng Chính phủ phê duyệt “Chương trình Chuyển đổi số quốc gia đến năm 2025, định hướng đến năm 2030” đã xác định nông nghiệp là một trong 8 lĩnh vực cần ưu tiên chuyển đổi số trước — cùng với Y tế, Giáo dục, Tài chính - Ngân hàng, Giao thông vận tải và logistics, Năng lượng, Tài nguyên và Môi trường, Sản xuất công nghiệp — do đây là những lĩnh vực có tác động xã hội, liên quan hằng ngày tới người dân và mang lại hiệu quả rõ rệt khi chuyển đổi số [5]. Trong lĩnh vực nông nghiệp, chương trình định hướng phát triển nông nghiệp thông minh và chính xác, xây dựng dữ liệu lớn về đất đai và cây trồng, tự động hóa quy trình sản xuất và quản lý chuỗi cung ứng, đồng thời thúc đẩy thương mại điện tử nông sản [5]. Đây là một căn cứ chính sách quan trọng để đề tài Farmery khẳng định sự phù hợp với định hướng phát triển của Nhà nước.</w:t>
      </w:r>
    </w:p>
    <w:p>
      <w:pPr>
        <w:pStyle w:val="Heading3"/>
        <w:spacing w:after="140" w:before="280"/>
      </w:pPr>
      <w:r>
        <w:rPr>
          <w:rFonts w:ascii="Times New Roman" w:cs="Times New Roman" w:eastAsia="Times New Roman" w:hAnsi="Times New Roman"/>
          <w:b/>
          <w:bCs/>
          <w:i w:val="false"/>
          <w:iCs w:val="false"/>
          <w:sz w:val="26"/>
          <w:szCs w:val="26"/>
        </w:rPr>
        <w:t xml:space="preserve">c) Tiêu chuẩn thực hành nông nghiệp tốt: VietGAP và GlobalGAP</w:t>
      </w:r>
    </w:p>
    <w:p>
      <w:pPr>
        <w:spacing w:after="200" w:line="360"/>
        <w:jc w:val="both"/>
      </w:pPr>
      <w:r>
        <w:rPr>
          <w:rFonts w:ascii="Times New Roman" w:cs="Times New Roman" w:eastAsia="Times New Roman" w:hAnsi="Times New Roman"/>
          <w:sz w:val="26"/>
          <w:szCs w:val="26"/>
        </w:rPr>
        <w:t xml:space="preserve">Về tiêu chuẩn chất lượng, VietGAP (Vietnamese Good Agricultural Practices) là tiêu chuẩn thực hành nông nghiệp tốt do Việt Nam ban hành, được các tổ chức chứng nhận trong nước được cơ quan nhà nước có thẩm quyền chỉ định thực hiện đánh giá và cấp chứng nhận [7]; tiêu chuẩn này phù hợp với các chuỗi cung ứng nội địa như siêu thị, bếp ăn tập thể và chợ đầu mối. GlobalGAP là tiêu chuẩn thực hành nông nghiệp tốt được công nhận trên phạm vi toàn cầu, đóng vai trò gần như điều kiện bắt buộc để nông sản Việt Nam tiếp cận các thị trường khó tính như Liên minh châu Âu, Nhật Bản hay Hoa Kỳ [24]; sản phẩm đạt chứng nhận GlobalGAP được gán mã số định danh riêng (GGN) và đăng ký trong cơ sở dữ liệu toàn cầu, hỗ trợ việc truy xuất minh bạch hơn khi giao dịch quốc tế. Theo các tài liệu tư vấn tiêu chuẩn hiện được công bố rộng rãi, bộ tiêu chí của GlobalGAP có phạm vi và mức độ chi tiết lớn hơn đáng kể so với VietGAP; do đó một cơ sở đã đạt GlobalGAP về nguyên tắc được xem là đáp ứng vượt mức yêu cầu của VietGAP, và VietGAP thường được nhìn nhận như bước đệm năng lực trước khi nông dân hoặc hợp tác xã hướng tới GlobalGAP nếu có định hướng xuất khẩu [7]. Đây là căn cứ để Farmery thiết kế quy trình kiểm duyệt chứng nhận theo hai cấp độ tương ứng với hai nhóm khách hàng: tiêu thụ nội địa (chấp nhận VietGAP) và hướng xuất khẩu/đối tác B2B yêu cầu cao hơn (khuyến khích GlobalGAP).</w:t>
      </w:r>
    </w:p>
    <w:p>
      <w:pPr>
        <w:spacing w:after="200" w:line="360"/>
        <w:jc w:val="both"/>
      </w:pPr>
      <w:r>
        <w:rPr>
          <w:rFonts w:ascii="Times New Roman" w:cs="Times New Roman" w:eastAsia="Times New Roman" w:hAnsi="Times New Roman"/>
          <w:sz w:val="26"/>
          <w:szCs w:val="26"/>
        </w:rPr>
        <w:t xml:space="preserve">Cần lưu ý rằng diện tích canh tác đạt chứng nhận VietGAP trên thực tế vẫn còn khá khiêm tốn: theo thông tin tại một hội thảo góp ý xây dựng tiêu chuẩn quốc gia cho rau an toàn do Cục Trồng trọt và Bảo vệ thực vật phối hợp tổ chức, diện tích rau đạt chứng nhận VietGAP năm 2025 mới chiếm khoảng 0,5–0,6% tổng diện tích canh tác rau cả nước, chủ yếu do phần lớn diện tích vẫn do các hộ nông dân quy mô nhỏ đảm nhiệm [26]. Số liệu này cho thấy dư địa rất lớn để một nền tảng như Farmery hỗ trợ nông dân/hợp tác xã tiếp cận và duy trì chứng nhận, đồng thời gợi ý rằng hệ thống kiểm duyệt của sàn không nên đặt chứng nhận làm điều kiện bắt buộc duy nhất mà cần có thêm cơ chế minh bạch thông tin thay thế (nhật ký canh tác, hình ảnh, đánh giá) cho nhóm nhà bán chưa có chứng nhận chính thức.</w:t>
      </w:r>
    </w:p>
    <w:p>
      <w:pPr>
        <w:pStyle w:val="Heading2"/>
        <w:spacing w:after="180" w:before="360"/>
      </w:pPr>
      <w:r>
        <w:rPr>
          <w:rFonts w:ascii="Times New Roman" w:cs="Times New Roman" w:eastAsia="Times New Roman" w:hAnsi="Times New Roman"/>
          <w:b/>
          <w:bCs/>
          <w:sz w:val="28"/>
          <w:szCs w:val="28"/>
        </w:rPr>
        <w:t xml:space="preserve">1.1.3. So sánh các sàn thương mại điện tử nông sản hiện có</w:t>
      </w:r>
    </w:p>
    <w:p>
      <w:pPr>
        <w:spacing w:after="200" w:line="360"/>
        <w:jc w:val="both"/>
      </w:pPr>
      <w:r>
        <w:rPr>
          <w:rFonts w:ascii="Times New Roman" w:cs="Times New Roman" w:eastAsia="Times New Roman" w:hAnsi="Times New Roman"/>
          <w:sz w:val="26"/>
          <w:szCs w:val="26"/>
        </w:rPr>
        <w:t xml:space="preserve">Bảng 1.1 tổng hợp so sánh giữa hai sàn tiêu biểu tại Việt Nam và hai mô hình quốc tế thường được tham khảo khi nghiên cứu về thương mại điện tử nông sản.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2500"/>
        <w:gridCol w:w="2500"/>
      </w:tblGrid>
      <w:tr>
        <w:trPr>
          <w:tblHeader/>
        </w:trPr>
        <w:tc>
          <w:tcPr>
            <w:tcW w:type="dxa" w:w="1800"/>
            <w:shd w:fill="D9D9D9" w:val="clear"/>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i w:val="false"/>
                <w:iCs w:val="false"/>
                <w:sz w:val="22"/>
                <w:szCs w:val="22"/>
              </w:rPr>
              <w:t xml:space="preserve">Nền tảng</w:t>
            </w:r>
          </w:p>
        </w:tc>
        <w:tc>
          <w:tcPr>
            <w:tcW w:type="dxa" w:w="3300"/>
            <w:shd w:fill="D9D9D9" w:val="clear"/>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i w:val="false"/>
                <w:iCs w:val="false"/>
                <w:sz w:val="22"/>
                <w:szCs w:val="22"/>
              </w:rPr>
              <w:t xml:space="preserve">Phạm vi/Mô hình</w:t>
            </w:r>
          </w:p>
        </w:tc>
        <w:tc>
          <w:tcPr>
            <w:tcW w:type="dxa" w:w="2500"/>
            <w:shd w:fill="D9D9D9" w:val="clear"/>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i w:val="false"/>
                <w:iCs w:val="false"/>
                <w:sz w:val="22"/>
                <w:szCs w:val="22"/>
              </w:rPr>
              <w:t xml:space="preserve">Điểm mạnh nổi bật</w:t>
            </w:r>
          </w:p>
        </w:tc>
        <w:tc>
          <w:tcPr>
            <w:tcW w:type="dxa" w:w="2500"/>
            <w:shd w:fill="D9D9D9" w:val="clear"/>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i w:val="false"/>
                <w:iCs w:val="false"/>
                <w:sz w:val="22"/>
                <w:szCs w:val="22"/>
              </w:rPr>
              <w:t xml:space="preserve">Hạn chế so với định hướng Farmery</w:t>
            </w:r>
          </w:p>
        </w:tc>
      </w:tr>
      <w:tr>
        <w:tc>
          <w:tcPr>
            <w:tcW w:type="dxa" w:w="18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i w:val="false"/>
                <w:iCs w:val="false"/>
                <w:sz w:val="22"/>
                <w:szCs w:val="22"/>
              </w:rPr>
              <w:t xml:space="preserve">FoodMap (Việt Nam)</w:t>
            </w:r>
          </w:p>
        </w:tc>
        <w:tc>
          <w:tcPr>
            <w:tcW w:type="dxa" w:w="33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B2C và B2B, kết nối hơn 300 nông trại/nhà sản xuất, gắn mã QR truy xuất trên sản phẩm.</w:t>
            </w:r>
          </w:p>
        </w:tc>
        <w:tc>
          <w:tcPr>
            <w:tcW w:type="dxa" w:w="25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Truy xuất nguồn gốc bằng QR; tăng trưởng nhanh trong giai đoạn dịch COVID-19.</w:t>
            </w:r>
          </w:p>
        </w:tc>
        <w:tc>
          <w:tcPr>
            <w:tcW w:type="dxa" w:w="25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Truy xuất mới dừng ở thông tin cơ bản, chưa gắn nhật ký canh tác chi tiết theo chuẩn quốc tế.</w:t>
            </w:r>
          </w:p>
        </w:tc>
      </w:tr>
      <w:tr>
        <w:tc>
          <w:tcPr>
            <w:tcW w:type="dxa" w:w="18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i w:val="false"/>
                <w:iCs w:val="false"/>
                <w:sz w:val="22"/>
                <w:szCs w:val="22"/>
              </w:rPr>
              <w:t xml:space="preserve">Postmart.vn / Vỏ Sò (Việt Nam)</w:t>
            </w:r>
          </w:p>
        </w:tc>
        <w:tc>
          <w:tcPr>
            <w:tcW w:type="dxa" w:w="33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Sàn thương mại điện tử của doanh nghiệp bưu chính nhà nước, hỗ trợ đưa nông sản (kể cả sản phẩm OCOP) lên môi trường số.</w:t>
            </w:r>
          </w:p>
        </w:tc>
        <w:tc>
          <w:tcPr>
            <w:tcW w:type="dxa" w:w="25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Mạng lưới logistics bưu chính rộng khắp toàn quốc; được hậu thuẫn truyền thông.</w:t>
            </w:r>
          </w:p>
        </w:tc>
        <w:tc>
          <w:tcPr>
            <w:tcW w:type="dxa" w:w="25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Thiên về hỗ trợ tiêu thụ thời vụ/ứng phó thiên tai hơn là chiến lược B2B dài hạn; thiếu tính năng đàm phán giá sỉ theo MOQ.</w:t>
            </w:r>
          </w:p>
        </w:tc>
      </w:tr>
      <w:tr>
        <w:tc>
          <w:tcPr>
            <w:tcW w:type="dxa" w:w="18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i w:val="false"/>
                <w:iCs w:val="false"/>
                <w:sz w:val="22"/>
                <w:szCs w:val="22"/>
              </w:rPr>
              <w:t xml:space="preserve">e-Choupal (Ấn Độ)</w:t>
            </w:r>
          </w:p>
        </w:tc>
        <w:tc>
          <w:tcPr>
            <w:tcW w:type="dxa" w:w="33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Mô hình “click and mortar” dùng kiosk internet tại làng để kết nối trực tiếp nông dân với thị trường thu mua của ITC.</w:t>
            </w:r>
          </w:p>
        </w:tc>
        <w:tc>
          <w:tcPr>
            <w:tcW w:type="dxa" w:w="25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Giảm phụ thuộc thương lái địa phương; cơ chế định giá minh bạch tại điểm thu mua.</w:t>
            </w:r>
          </w:p>
        </w:tc>
        <w:tc>
          <w:tcPr>
            <w:tcW w:type="dxa" w:w="25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Chủ yếu phục vụ chuỗi cung ứng nội bộ của một tập đoàn, không phải marketplace mở đa người bán/đa người mua.</w:t>
            </w:r>
          </w:p>
        </w:tc>
      </w:tr>
      <w:tr>
        <w:tc>
          <w:tcPr>
            <w:tcW w:type="dxa" w:w="18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i w:val="false"/>
                <w:iCs w:val="false"/>
                <w:sz w:val="22"/>
                <w:szCs w:val="22"/>
              </w:rPr>
              <w:t xml:space="preserve">Pinduoduo / Duo Duo Grocery (Trung Quốc)</w:t>
            </w:r>
          </w:p>
        </w:tc>
        <w:tc>
          <w:tcPr>
            <w:tcW w:type="dxa" w:w="33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Mô hình mua chung (group buying) kết hợp bán trực tiếp từ nông dân đến người tiêu dùng.</w:t>
            </w:r>
          </w:p>
        </w:tc>
        <w:tc>
          <w:tcPr>
            <w:tcW w:type="dxa" w:w="25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Quy mô kết nối rất lớn; quy trình đặt hàng và giao hàng nhanh từ nông trại địa phương.</w:t>
            </w:r>
          </w:p>
        </w:tc>
        <w:tc>
          <w:tcPr>
            <w:tcW w:type="dxa" w:w="25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Hướng chủ yếu tới người tiêu dùng cuối (B2C), không tích hợp sâu luồng mua sỉ B2B theo hợp đồng.</w:t>
            </w:r>
          </w:p>
        </w:tc>
      </w:tr>
    </w:tbl>
    <w:p>
      <w:pPr>
        <w:spacing w:after="100"/>
      </w:pPr>
    </w:p>
    <w:p>
      <w:pPr>
        <w:spacing w:after="200"/>
        <w:jc w:val="center"/>
      </w:pPr>
      <w:r>
        <w:rPr>
          <w:rFonts w:ascii="Times New Roman" w:cs="Times New Roman" w:eastAsia="Times New Roman" w:hAnsi="Times New Roman"/>
          <w:i/>
          <w:iCs/>
          <w:sz w:val="22"/>
          <w:szCs w:val="22"/>
        </w:rPr>
        <w:t xml:space="preserve">Bảng 1.1. So sánh một số nền tảng thương mại điện tử nông sản tiêu biểu [8], [9], [10], [11]</w:t>
      </w:r>
    </w:p>
    <w:p>
      <w:pPr>
        <w:spacing w:after="200" w:line="360"/>
        <w:jc w:val="both"/>
      </w:pPr>
      <w:r>
        <w:rPr>
          <w:rFonts w:ascii="Times New Roman" w:cs="Times New Roman" w:eastAsia="Times New Roman" w:hAnsi="Times New Roman"/>
          <w:sz w:val="26"/>
          <w:szCs w:val="26"/>
        </w:rPr>
        <w:t xml:space="preserve">Về dữ liệu minh họa cho từng nền tảng: FoodMap đã gọi vốn 500.000 USD ở vòng hạt giống (tháng 9/2020) và 2,9 triệu USD ở vòng pre-Series A (tháng 12/2021), thời điểm giãn cách xã hội vì dịch COVID-19 năm 2021 đã giúp lượng người dùng và doanh số của nền tảng này tăng trưởng đột biến [8]. Postmart.vn và Vỏ Sò, trong một chiến dịch hỗ trợ tiêu thụ nông sản mùa dịch do Bộ Khoa học và Công nghệ ghi nhận, đã giúp tiêu thụ gần 1.200 tấn nông sản cho các tỉnh phía Nam [9]. Với e-Choupal, theo Business Standard, mô hình do tập đoàn ITC (Ấn Độ) triển khai từ năm 2000 đã tiếp cận khoảng 4 triệu nông dân tại 225 huyện thuộc 22 bang, giúp thu nhập của nông dân tham gia tăng thêm khoảng 50% nhờ cơ chế định giá minh bạch tại điểm thu mua [10]. Với Pinduoduo, theo thông cáo được Nasdaq đăng tải, tính đến năm 2021 nền tảng này đã kết nối trực tiếp hơn 12 triệu nông dân với người tiêu dùng, và riêng năm 2020 tổng giá trị giao dịch liên quan nông nghiệp đã tăng đáng kể so với năm 2019 [11].</w:t>
      </w:r>
    </w:p>
    <w:p>
      <w:pPr>
        <w:spacing w:after="200" w:line="360"/>
        <w:jc w:val="both"/>
      </w:pPr>
      <w:r>
        <w:rPr>
          <w:rFonts w:ascii="Times New Roman" w:cs="Times New Roman" w:eastAsia="Times New Roman" w:hAnsi="Times New Roman"/>
          <w:sz w:val="26"/>
          <w:szCs w:val="26"/>
        </w:rPr>
        <w:t xml:space="preserve">Nhìn chung, phần lớn các nền tảng nêu trên chỉ mạnh ở một phía của chuỗi giao dịch — hoặc thiên về phục vụ người tiêu dùng cuối (Postmart/Vỏ Sò, Pinduoduo), hoặc thiên về thu mua tập trung phục vụ chuỗi cung ứng nội bộ của một doanh nghiệp (e-Choupal) — mà chưa tích hợp đầy đủ cả hai luồng bán lẻ và bán sỉ theo số lượng tối thiểu (MOQ)/giá theo bậc trên cùng một nền tảng như định hướng của Farmery. Bên cạnh đó, tính năng truy xuất nguồn gốc bằng mã QR tại các sàn Việt Nam hiện chủ yếu phục vụ minh bạch thông tin cơ bản, chưa gắn liền chặt chẽ với nhật ký canh tác chi tiết theo các nguyên lý định danh quốc tế (trình bày tại mục 1.3.3), và hạ tầng logistics lạnh cho hàng dễ hư hỏng tại Việt Nam nhìn chung còn hạn chế so với các nền tảng quy mô lớn ở nước ngoài. Đây là những khoảng trống mà Farmery đặt mục tiêu thu hẹp: kết hợp truy xuất nguồn gốc gắn với nhật ký canh tác, hỗ trợ song song bán lẻ và bán sỉ B2B theo MOQ, đồng thời ưu tiên thiết kế quy trình vận chuyển riêng cho hàng tươi dễ hư hỏng.</w:t>
      </w:r>
    </w:p>
    <w:p>
      <w:pPr>
        <w:pStyle w:val="Heading2"/>
        <w:spacing w:after="180" w:before="360"/>
      </w:pPr>
      <w:r>
        <w:rPr>
          <w:rFonts w:ascii="Times New Roman" w:cs="Times New Roman" w:eastAsia="Times New Roman" w:hAnsi="Times New Roman"/>
          <w:b/>
          <w:bCs/>
          <w:sz w:val="28"/>
          <w:szCs w:val="28"/>
        </w:rPr>
        <w:t xml:space="preserve">1.1.4. Phân tích các nhóm người dùng</w:t>
      </w:r>
    </w:p>
    <w:p>
      <w:pPr>
        <w:spacing w:after="200" w:line="360"/>
        <w:jc w:val="both"/>
      </w:pPr>
      <w:r>
        <w:rPr>
          <w:rFonts w:ascii="Times New Roman" w:cs="Times New Roman" w:eastAsia="Times New Roman" w:hAnsi="Times New Roman"/>
          <w:sz w:val="26"/>
          <w:szCs w:val="26"/>
        </w:rPr>
        <w:t xml:space="preserve">Hệ thống Farmery được thiết kế phục vụ đồng thời bốn nhóm người dùng với nhu cầu và rào cản khác nhau, được tổng hợp tại Bảng 1.2.</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4000"/>
      </w:tblGrid>
      <w:tr>
        <w:trPr>
          <w:tblHeader/>
        </w:trPr>
        <w:tc>
          <w:tcPr>
            <w:tcW w:type="dxa" w:w="2200"/>
            <w:shd w:fill="D9D9D9" w:val="clear"/>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i w:val="false"/>
                <w:iCs w:val="false"/>
                <w:sz w:val="22"/>
                <w:szCs w:val="22"/>
              </w:rPr>
              <w:t xml:space="preserve">Nhóm người dùng</w:t>
            </w:r>
          </w:p>
        </w:tc>
        <w:tc>
          <w:tcPr>
            <w:tcW w:type="dxa" w:w="3900"/>
            <w:shd w:fill="D9D9D9" w:val="clear"/>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i w:val="false"/>
                <w:iCs w:val="false"/>
                <w:sz w:val="22"/>
                <w:szCs w:val="22"/>
              </w:rPr>
              <w:t xml:space="preserve">Nhu cầu chính</w:t>
            </w:r>
          </w:p>
        </w:tc>
        <w:tc>
          <w:tcPr>
            <w:tcW w:type="dxa" w:w="4000"/>
            <w:shd w:fill="D9D9D9" w:val="clear"/>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i w:val="false"/>
                <w:iCs w:val="false"/>
                <w:sz w:val="22"/>
                <w:szCs w:val="22"/>
              </w:rPr>
              <w:t xml:space="preserve">Khó khăn / rào cản chính</w:t>
            </w:r>
          </w:p>
        </w:tc>
      </w:tr>
      <w:tr>
        <w:tc>
          <w:tcPr>
            <w:tcW w:type="dxa" w:w="22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i w:val="false"/>
                <w:iCs w:val="false"/>
                <w:sz w:val="22"/>
                <w:szCs w:val="22"/>
              </w:rPr>
              <w:t xml:space="preserve">Nông dân / hợp tác xã</w:t>
            </w:r>
          </w:p>
        </w:tc>
        <w:tc>
          <w:tcPr>
            <w:tcW w:type="dxa" w:w="39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Bán sản lượng thu hoạch với giá công bằng hơn kênh thương lái; tiếp cận trực tiếp khách hàng B2B để có đơn hàng ổn định theo hợp đồng; xây dựng thương hiệu và uy tín cá nhân qua lịch sử đánh giá, chứng nhận.</w:t>
            </w:r>
          </w:p>
        </w:tc>
        <w:tc>
          <w:tcPr>
            <w:tcW w:type="dxa" w:w="40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Hạn chế kỹ năng số và thiết bị ở vùng sâu vùng xa; thiếu năng lực ghi nhật ký canh tác đúng chuẩn; tâm lý e ngại nền tảng công nghệ mới thay thế thương lái mà chưa chắc mang lại lợi ích tương xứng.</w:t>
            </w:r>
          </w:p>
        </w:tc>
      </w:tr>
      <w:tr>
        <w:tc>
          <w:tcPr>
            <w:tcW w:type="dxa" w:w="22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i w:val="false"/>
                <w:iCs w:val="false"/>
                <w:sz w:val="22"/>
                <w:szCs w:val="22"/>
              </w:rPr>
              <w:t xml:space="preserve">Người tiêu dùng cá nhân</w:t>
            </w:r>
          </w:p>
        </w:tc>
        <w:tc>
          <w:tcPr>
            <w:tcW w:type="dxa" w:w="39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Mua nông sản tươi, an toàn, truy xuất được nguồn gốc rõ ràng, giá hợp lý, giao hàng nhanh và đúng chất lượng như mô tả.</w:t>
            </w:r>
          </w:p>
        </w:tc>
        <w:tc>
          <w:tcPr>
            <w:tcW w:type="dxa" w:w="40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Khó phân biệt sản phẩm “sạch” thật với sản phẩm gắn mác marketing; lo ngại hàng tươi hư hỏng khi vận chuyển; thói quen mua sắm tại chợ/siêu thị truyền thống vẫn phổ biến.</w:t>
            </w:r>
          </w:p>
        </w:tc>
      </w:tr>
      <w:tr>
        <w:tc>
          <w:tcPr>
            <w:tcW w:type="dxa" w:w="22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i w:val="false"/>
                <w:iCs w:val="false"/>
                <w:sz w:val="22"/>
                <w:szCs w:val="22"/>
              </w:rPr>
              <w:t xml:space="preserve">Doanh nghiệp thu mua</w:t>
            </w:r>
          </w:p>
        </w:tc>
        <w:tc>
          <w:tcPr>
            <w:tcW w:type="dxa" w:w="39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Nguồn cung ổn định về số lượng và chất lượng theo tiêu chuẩn phù hợp mục đích (nội địa hoặc xuất khẩu); đặt hàng theo hợp đồng/lịch giao định kỳ; cơ chế giá theo sản lượng và thanh toán linh hoạt.</w:t>
            </w:r>
          </w:p>
        </w:tc>
        <w:tc>
          <w:tcPr>
            <w:tcW w:type="dxa" w:w="40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Khó tìm và xác minh nhiều nhà cung cấp nhỏ lẻ phân tán; rủi ro đứt gãy nguồn cung khi mất mùa; thiếu công cụ quản lý hợp đồng và hóa đơn tập trung với nhiều đối tác.</w:t>
            </w:r>
          </w:p>
        </w:tc>
      </w:tr>
      <w:tr>
        <w:tc>
          <w:tcPr>
            <w:tcW w:type="dxa" w:w="22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i w:val="false"/>
                <w:iCs w:val="false"/>
                <w:sz w:val="22"/>
                <w:szCs w:val="22"/>
              </w:rPr>
              <w:t xml:space="preserve">Quản trị viên hệ thống</w:t>
            </w:r>
          </w:p>
        </w:tc>
        <w:tc>
          <w:tcPr>
            <w:tcW w:type="dxa" w:w="39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Công cụ kiểm duyệt hiệu quả nhà bán, sản phẩm, chứng nhận; công cụ giám sát và xử lý vi phạm; báo cáo thống kê phục vụ ra quyết định vận hành.</w:t>
            </w:r>
          </w:p>
        </w:tc>
        <w:tc>
          <w:tcPr>
            <w:tcW w:type="dxa" w:w="40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i w:val="false"/>
                <w:iCs w:val="false"/>
                <w:sz w:val="22"/>
                <w:szCs w:val="22"/>
              </w:rPr>
              <w:t xml:space="preserve">Khối lượng kiểm duyệt lớn khi số lượng nhà bán tăng nhanh; khó xác minh tính xác thực của chứng nhận nếu chưa có kết nối dữ liệu với cơ quan cấp chứng nhận; cân bằng giữa kiểm duyệt chặt chẽ và tốc độ xử lý.</w:t>
            </w:r>
          </w:p>
        </w:tc>
      </w:tr>
    </w:tbl>
    <w:p>
      <w:pPr>
        <w:spacing w:after="100"/>
      </w:pPr>
    </w:p>
    <w:p>
      <w:pPr>
        <w:spacing w:after="300"/>
        <w:jc w:val="center"/>
      </w:pPr>
      <w:r>
        <w:rPr>
          <w:rFonts w:ascii="Times New Roman" w:cs="Times New Roman" w:eastAsia="Times New Roman" w:hAnsi="Times New Roman"/>
          <w:i/>
          <w:iCs/>
          <w:sz w:val="22"/>
          <w:szCs w:val="22"/>
        </w:rPr>
        <w:t xml:space="preserve">Bảng 1.2. Phân tích nhu cầu và rào cản của bốn nhóm người dùng chính</w:t>
      </w:r>
    </w:p>
    <w:p>
      <w:pPr>
        <w:pStyle w:val="Heading1"/>
        <w:spacing w:after="240"/>
      </w:pPr>
      <w:r>
        <w:rPr>
          <w:rFonts w:ascii="Times New Roman" w:cs="Times New Roman" w:eastAsia="Times New Roman" w:hAnsi="Times New Roman"/>
          <w:b/>
          <w:bCs/>
          <w:sz w:val="32"/>
          <w:szCs w:val="32"/>
        </w:rPr>
        <w:t xml:space="preserve">1.2. Quy trình nghiệp vụ</w:t>
      </w:r>
    </w:p>
    <w:p>
      <w:pPr>
        <w:spacing w:after="200" w:line="360"/>
        <w:jc w:val="both"/>
      </w:pPr>
      <w:r>
        <w:rPr>
          <w:rFonts w:ascii="Times New Roman" w:cs="Times New Roman" w:eastAsia="Times New Roman" w:hAnsi="Times New Roman"/>
          <w:sz w:val="26"/>
          <w:szCs w:val="26"/>
        </w:rPr>
        <w:t xml:space="preserve">Mỗi quy trình dưới đây được trình bày theo các bước tuần tự, có ghi rõ tác nhân thực hiện (actor), dữ liệu vào/ra, điều kiện chuyển bước và các trường hợp ngoại lệ. Bộ quy trình này là cơ sở trực tiếp để xây dựng các sơ đồ BPMN/flowchart và đặc tả use-case ở các chương thiết kế tiếp theo của đồ án.</w:t>
      </w:r>
    </w:p>
    <w:p>
      <w:pPr>
        <w:pStyle w:val="Heading2"/>
        <w:spacing w:after="180" w:before="360"/>
      </w:pPr>
      <w:r>
        <w:rPr>
          <w:rFonts w:ascii="Times New Roman" w:cs="Times New Roman" w:eastAsia="Times New Roman" w:hAnsi="Times New Roman"/>
          <w:b/>
          <w:bCs/>
          <w:sz w:val="28"/>
          <w:szCs w:val="28"/>
        </w:rPr>
        <w:t xml:space="preserve">1.2.1. Đăng ký và xác thực nhà bán, kiểm duyệt chứng nhận</w:t>
      </w:r>
    </w:p>
    <w:p>
      <w:pPr>
        <w:pStyle w:val="ListParagraph"/>
        <w:numPr>
          <w:ilvl w:val="0"/>
          <w:numId w:val="3"/>
        </w:numPr>
        <w:spacing w:after="120" w:line="360"/>
        <w:jc w:val="both"/>
      </w:pPr>
      <w:r>
        <w:rPr>
          <w:rFonts w:ascii="Times New Roman" w:cs="Times New Roman" w:eastAsia="Times New Roman" w:hAnsi="Times New Roman"/>
          <w:sz w:val="26"/>
          <w:szCs w:val="26"/>
        </w:rPr>
        <w:t xml:space="preserve">Nhà bán (nông dân hoặc hợp tác xã) đăng ký tài khoản, nhập thông tin định danh (căn cước công dân hoặc mã số thuế đối với hợp tác xã) và thông tin trang trại, vùng canh tác.</w:t>
      </w:r>
    </w:p>
    <w:p>
      <w:pPr>
        <w:pStyle w:val="ListParagraph"/>
        <w:numPr>
          <w:ilvl w:val="0"/>
          <w:numId w:val="3"/>
        </w:numPr>
        <w:spacing w:after="120" w:line="360"/>
        <w:jc w:val="both"/>
      </w:pPr>
      <w:r>
        <w:rPr>
          <w:rFonts w:ascii="Times New Roman" w:cs="Times New Roman" w:eastAsia="Times New Roman" w:hAnsi="Times New Roman"/>
          <w:sz w:val="26"/>
          <w:szCs w:val="26"/>
        </w:rPr>
        <w:t xml:space="preserve">Hệ thống gửi mã xác thực (OTP) qua số điện thoại hoặc email; nếu nhập sai quá 5 lần, tài khoản bị khóa tạm thời trong 30 phút.</w:t>
      </w:r>
    </w:p>
    <w:p>
      <w:pPr>
        <w:pStyle w:val="ListParagraph"/>
        <w:numPr>
          <w:ilvl w:val="0"/>
          <w:numId w:val="3"/>
        </w:numPr>
        <w:spacing w:after="120" w:line="360"/>
        <w:jc w:val="both"/>
      </w:pPr>
      <w:r>
        <w:rPr>
          <w:rFonts w:ascii="Times New Roman" w:cs="Times New Roman" w:eastAsia="Times New Roman" w:hAnsi="Times New Roman"/>
          <w:sz w:val="26"/>
          <w:szCs w:val="26"/>
        </w:rPr>
        <w:t xml:space="preserve">Nhà bán tải lên giấy chứng nhận VietGAP, GlobalGAP hoặc hữu cơ (nếu có), kèm mã số chứng nhận, cơ quan cấp và ngày hết hạn.</w:t>
      </w:r>
    </w:p>
    <w:p>
      <w:pPr>
        <w:pStyle w:val="ListParagraph"/>
        <w:numPr>
          <w:ilvl w:val="0"/>
          <w:numId w:val="3"/>
        </w:numPr>
        <w:spacing w:after="120" w:line="360"/>
        <w:jc w:val="both"/>
      </w:pPr>
      <w:r>
        <w:rPr>
          <w:rFonts w:ascii="Times New Roman" w:cs="Times New Roman" w:eastAsia="Times New Roman" w:hAnsi="Times New Roman"/>
          <w:sz w:val="26"/>
          <w:szCs w:val="26"/>
        </w:rPr>
        <w:t xml:space="preserve">Bộ phận kiểm duyệt đối chiếu thông tin chứng nhận với dữ liệu của cơ quan cấp (nếu có kết nối) hoặc xác minh thủ công.</w:t>
      </w:r>
    </w:p>
    <w:p>
      <w:pPr>
        <w:pStyle w:val="ListParagraph"/>
        <w:numPr>
          <w:ilvl w:val="0"/>
          <w:numId w:val="3"/>
        </w:numPr>
        <w:spacing w:after="120" w:line="360"/>
        <w:jc w:val="both"/>
      </w:pPr>
      <w:r>
        <w:rPr>
          <w:rFonts w:ascii="Times New Roman" w:cs="Times New Roman" w:eastAsia="Times New Roman" w:hAnsi="Times New Roman"/>
          <w:sz w:val="26"/>
          <w:szCs w:val="26"/>
        </w:rPr>
        <w:t xml:space="preserve">Hệ thống ghi nhận kết quả: nếu đạt, tài khoản chuyển trạng thái “Đã xác thực” và được gắn nhãn chứng nhận tương ứng hiển thị công khai; nếu không đạt, hệ thống gửi thông báo lý do và hướng dẫn bổ sung.</w:t>
      </w:r>
    </w:p>
    <w:p>
      <w:pPr>
        <w:spacing w:after="200" w:line="360"/>
        <w:jc w:val="both"/>
      </w:pPr>
      <w:r>
        <w:rPr>
          <w:rFonts w:ascii="Times New Roman" w:cs="Times New Roman" w:eastAsia="Times New Roman" w:hAnsi="Times New Roman"/>
          <w:sz w:val="26"/>
          <w:szCs w:val="26"/>
        </w:rPr>
        <w:t xml:space="preserve">Ngoại lệ: khi chứng nhận còn hiệu lực dưới 30 ngày, hệ thống tự động nhắc nhà bán gia hạn; nếu hết hạn mà chưa gia hạn, nhãn chứng nhận trên sản phẩm liên quan sẽ tự động bị ẩn cho đến khi được cập nhật, sản phẩm không bị gỡ bỏ. Trường hợp phát hiện chứng nhận giả mạo qua xác minh hoặc khiếu nại, tài khoản bị khóa vĩnh viễn, được ghi vào danh sách vi phạm và không được phép đăng ký lại bằng cùng thông tin định danh.</w:t>
      </w:r>
    </w:p>
    <w:p>
      <w:pPr>
        <w:pStyle w:val="Heading2"/>
        <w:spacing w:after="180" w:before="360"/>
      </w:pPr>
      <w:r>
        <w:rPr>
          <w:rFonts w:ascii="Times New Roman" w:cs="Times New Roman" w:eastAsia="Times New Roman" w:hAnsi="Times New Roman"/>
          <w:b/>
          <w:bCs/>
          <w:sz w:val="28"/>
          <w:szCs w:val="28"/>
        </w:rPr>
        <w:t xml:space="preserve">1.2.2. Đăng và kiểm duyệt sản phẩm, sinh mã QR truy xuất</w:t>
      </w:r>
    </w:p>
    <w:p>
      <w:pPr>
        <w:pStyle w:val="ListParagraph"/>
        <w:numPr>
          <w:ilvl w:val="0"/>
          <w:numId w:val="4"/>
        </w:numPr>
        <w:spacing w:after="120" w:line="360"/>
        <w:jc w:val="both"/>
      </w:pPr>
      <w:r>
        <w:rPr>
          <w:rFonts w:ascii="Times New Roman" w:cs="Times New Roman" w:eastAsia="Times New Roman" w:hAnsi="Times New Roman"/>
          <w:sz w:val="26"/>
          <w:szCs w:val="26"/>
        </w:rPr>
        <w:t xml:space="preserve">Nhà bán đã xác thực tạo sản phẩm mới với đầy đủ thông tin: tên, mô tả, hình ảnh, đơn vị tính, giá bán lẻ, giá bán sỉ theo bậc (nếu có), sản lượng và ngày dự kiến thu hoạch.</w:t>
      </w:r>
    </w:p>
    <w:p>
      <w:pPr>
        <w:pStyle w:val="ListParagraph"/>
        <w:numPr>
          <w:ilvl w:val="0"/>
          <w:numId w:val="4"/>
        </w:numPr>
        <w:spacing w:after="120" w:line="360"/>
        <w:jc w:val="both"/>
      </w:pPr>
      <w:r>
        <w:rPr>
          <w:rFonts w:ascii="Times New Roman" w:cs="Times New Roman" w:eastAsia="Times New Roman" w:hAnsi="Times New Roman"/>
          <w:sz w:val="26"/>
          <w:szCs w:val="26"/>
        </w:rPr>
        <w:t xml:space="preserve">Nhà bán ghi nhật ký canh tác theo từng giai đoạn (gieo trồng, chăm sóc, thu hoạch), mỗi lần ghi gồm ngày tháng, hoạt động và hình ảnh minh chứng nếu có; các bản ghi được gắn với một lô sản phẩm (batch) cụ thể.</w:t>
      </w:r>
    </w:p>
    <w:p>
      <w:pPr>
        <w:pStyle w:val="ListParagraph"/>
        <w:numPr>
          <w:ilvl w:val="0"/>
          <w:numId w:val="4"/>
        </w:numPr>
        <w:spacing w:after="120" w:line="360"/>
        <w:jc w:val="both"/>
      </w:pPr>
      <w:r>
        <w:rPr>
          <w:rFonts w:ascii="Times New Roman" w:cs="Times New Roman" w:eastAsia="Times New Roman" w:hAnsi="Times New Roman"/>
          <w:sz w:val="26"/>
          <w:szCs w:val="26"/>
        </w:rPr>
        <w:t xml:space="preserve">Hệ thống kiểm duyệt tự động sơ bộ: kiểm tra hình ảnh không trùng lặp, mô tả không chứa từ khóa cấm, giá không bất thường so với mặt bằng chung của danh mục.</w:t>
      </w:r>
    </w:p>
    <w:p>
      <w:pPr>
        <w:pStyle w:val="ListParagraph"/>
        <w:numPr>
          <w:ilvl w:val="0"/>
          <w:numId w:val="4"/>
        </w:numPr>
        <w:spacing w:after="120" w:line="360"/>
        <w:jc w:val="both"/>
      </w:pPr>
      <w:r>
        <w:rPr>
          <w:rFonts w:ascii="Times New Roman" w:cs="Times New Roman" w:eastAsia="Times New Roman" w:hAnsi="Times New Roman"/>
          <w:sz w:val="26"/>
          <w:szCs w:val="26"/>
        </w:rPr>
        <w:t xml:space="preserve">Bộ phận kiểm duyệt thực hiện kiểm tra thủ công lần cuối đối với sản phẩm mới hoặc nhà bán chưa có lịch sử giao dịch; nhà bán có uy tín lâu năm có thể áp dụng cơ chế hậu kiểm để rút ngắn thời gian chờ duyệt.</w:t>
      </w:r>
    </w:p>
    <w:p>
      <w:pPr>
        <w:pStyle w:val="ListParagraph"/>
        <w:numPr>
          <w:ilvl w:val="0"/>
          <w:numId w:val="4"/>
        </w:numPr>
        <w:spacing w:after="120" w:line="360"/>
        <w:jc w:val="both"/>
      </w:pPr>
      <w:r>
        <w:rPr>
          <w:rFonts w:ascii="Times New Roman" w:cs="Times New Roman" w:eastAsia="Times New Roman" w:hAnsi="Times New Roman"/>
          <w:sz w:val="26"/>
          <w:szCs w:val="26"/>
        </w:rPr>
        <w:t xml:space="preserve">Hệ thống sinh mã QR truy xuất duy nhất cho từng lô sản phẩm, liên kết tới trang truy xuất công khai gồm hồ sơ nhà bán, chứng nhận, nhật ký canh tác và các mốc vận chuyển liên quan.</w:t>
      </w:r>
    </w:p>
    <w:p>
      <w:pPr>
        <w:spacing w:after="200" w:line="360"/>
        <w:jc w:val="both"/>
      </w:pPr>
      <w:r>
        <w:rPr>
          <w:rFonts w:ascii="Times New Roman" w:cs="Times New Roman" w:eastAsia="Times New Roman" w:hAnsi="Times New Roman"/>
          <w:sz w:val="26"/>
          <w:szCs w:val="26"/>
        </w:rPr>
        <w:t xml:space="preserve">Điều kiện: sản phẩm chỉ được duyệt và hiển thị công khai khi có tối thiểu một bản ghi nhật ký canh tác gần nhất và hình ảnh sản phẩm thực tế. Ngoại lệ: khi nhà bán thay đổi thông tin trọng yếu sau khi đã duyệt (giá thay đổi vượt 20% hoặc mô tả chất lượng thay đổi), sản phẩm được chuyển về trạng thái chờ duyệt lại; các thay đổi nhỏ (còn hàng/hết hàng) không yêu cầu duyệt lại.</w:t>
      </w:r>
    </w:p>
    <w:p>
      <w:pPr>
        <w:pStyle w:val="Heading2"/>
        <w:spacing w:after="180" w:before="360"/>
      </w:pPr>
      <w:r>
        <w:rPr>
          <w:rFonts w:ascii="Times New Roman" w:cs="Times New Roman" w:eastAsia="Times New Roman" w:hAnsi="Times New Roman"/>
          <w:b/>
          <w:bCs/>
          <w:sz w:val="28"/>
          <w:szCs w:val="28"/>
        </w:rPr>
        <w:t xml:space="preserve">1.2.3. Quy trình mua lẻ (B2C)</w:t>
      </w:r>
    </w:p>
    <w:p>
      <w:pPr>
        <w:pStyle w:val="ListParagraph"/>
        <w:numPr>
          <w:ilvl w:val="0"/>
          <w:numId w:val="5"/>
        </w:numPr>
        <w:spacing w:after="120" w:line="360"/>
        <w:jc w:val="both"/>
      </w:pPr>
      <w:r>
        <w:rPr>
          <w:rFonts w:ascii="Times New Roman" w:cs="Times New Roman" w:eastAsia="Times New Roman" w:hAnsi="Times New Roman"/>
          <w:sz w:val="26"/>
          <w:szCs w:val="26"/>
        </w:rPr>
        <w:t xml:space="preserve">Người tiêu dùng tìm kiếm và lọc sản phẩm theo danh mục, vùng trồng, chứng nhận hoặc mức giá.</w:t>
      </w:r>
    </w:p>
    <w:p>
      <w:pPr>
        <w:pStyle w:val="ListParagraph"/>
        <w:numPr>
          <w:ilvl w:val="0"/>
          <w:numId w:val="5"/>
        </w:numPr>
        <w:spacing w:after="120" w:line="360"/>
        <w:jc w:val="both"/>
      </w:pPr>
      <w:r>
        <w:rPr>
          <w:rFonts w:ascii="Times New Roman" w:cs="Times New Roman" w:eastAsia="Times New Roman" w:hAnsi="Times New Roman"/>
          <w:sz w:val="26"/>
          <w:szCs w:val="26"/>
        </w:rPr>
        <w:t xml:space="preserve">Người tiêu dùng xem chi tiết sản phẩm, có thể tra cứu trang truy xuất nguồn gốc trước khi quyết định mua.</w:t>
      </w:r>
    </w:p>
    <w:p>
      <w:pPr>
        <w:pStyle w:val="ListParagraph"/>
        <w:numPr>
          <w:ilvl w:val="0"/>
          <w:numId w:val="5"/>
        </w:numPr>
        <w:spacing w:after="120" w:line="360"/>
        <w:jc w:val="both"/>
      </w:pPr>
      <w:r>
        <w:rPr>
          <w:rFonts w:ascii="Times New Roman" w:cs="Times New Roman" w:eastAsia="Times New Roman" w:hAnsi="Times New Roman"/>
          <w:sz w:val="26"/>
          <w:szCs w:val="26"/>
        </w:rPr>
        <w:t xml:space="preserve">Người tiêu dùng thêm sản phẩm vào giỏ hàng với số lượng giới hạn theo sản lượng còn lại của lô hàng.</w:t>
      </w:r>
    </w:p>
    <w:p>
      <w:pPr>
        <w:pStyle w:val="ListParagraph"/>
        <w:numPr>
          <w:ilvl w:val="0"/>
          <w:numId w:val="5"/>
        </w:numPr>
        <w:spacing w:after="120" w:line="360"/>
        <w:jc w:val="both"/>
      </w:pPr>
      <w:r>
        <w:rPr>
          <w:rFonts w:ascii="Times New Roman" w:cs="Times New Roman" w:eastAsia="Times New Roman" w:hAnsi="Times New Roman"/>
          <w:sz w:val="26"/>
          <w:szCs w:val="26"/>
        </w:rPr>
        <w:t xml:space="preserve">Người tiêu dùng thanh toán qua ví điện tử, chuyển khoản hoặc thanh toán khi nhận hàng (COD), đồng thời chọn khung giờ giao phù hợp với hàng tươi.</w:t>
      </w:r>
    </w:p>
    <w:p>
      <w:pPr>
        <w:pStyle w:val="ListParagraph"/>
        <w:numPr>
          <w:ilvl w:val="0"/>
          <w:numId w:val="5"/>
        </w:numPr>
        <w:spacing w:after="120" w:line="360"/>
        <w:jc w:val="both"/>
      </w:pPr>
      <w:r>
        <w:rPr>
          <w:rFonts w:ascii="Times New Roman" w:cs="Times New Roman" w:eastAsia="Times New Roman" w:hAnsi="Times New Roman"/>
          <w:sz w:val="26"/>
          <w:szCs w:val="26"/>
        </w:rPr>
        <w:t xml:space="preserve">Hệ thống xác nhận đơn hàng, tạm trừ sản lượng khỏi lô hàng và thông báo cho nhà bán chuẩn bị hàng.</w:t>
      </w:r>
    </w:p>
    <w:p>
      <w:pPr>
        <w:pStyle w:val="ListParagraph"/>
        <w:numPr>
          <w:ilvl w:val="0"/>
          <w:numId w:val="5"/>
        </w:numPr>
        <w:spacing w:after="120" w:line="360"/>
        <w:jc w:val="both"/>
      </w:pPr>
      <w:r>
        <w:rPr>
          <w:rFonts w:ascii="Times New Roman" w:cs="Times New Roman" w:eastAsia="Times New Roman" w:hAnsi="Times New Roman"/>
          <w:sz w:val="26"/>
          <w:szCs w:val="26"/>
        </w:rPr>
        <w:t xml:space="preserve">Nhà bán đóng gói theo tiêu chuẩn dành cho hàng dễ hư hỏng và bàn giao cho đơn vị vận chuyển.</w:t>
      </w:r>
    </w:p>
    <w:p>
      <w:pPr>
        <w:pStyle w:val="ListParagraph"/>
        <w:numPr>
          <w:ilvl w:val="0"/>
          <w:numId w:val="5"/>
        </w:numPr>
        <w:spacing w:after="120" w:line="360"/>
        <w:jc w:val="both"/>
      </w:pPr>
      <w:r>
        <w:rPr>
          <w:rFonts w:ascii="Times New Roman" w:cs="Times New Roman" w:eastAsia="Times New Roman" w:hAnsi="Times New Roman"/>
          <w:sz w:val="26"/>
          <w:szCs w:val="26"/>
        </w:rPr>
        <w:t xml:space="preserve">Người tiêu dùng xác nhận đã nhận hàng và có thể đánh giá sản phẩm, nhà bán trong khoảng thời gian quy định sau khi nhận hàng.</w:t>
      </w:r>
    </w:p>
    <w:p>
      <w:pPr>
        <w:spacing w:after="200" w:line="360"/>
        <w:jc w:val="both"/>
      </w:pPr>
      <w:r>
        <w:rPr>
          <w:rFonts w:ascii="Times New Roman" w:cs="Times New Roman" w:eastAsia="Times New Roman" w:hAnsi="Times New Roman"/>
          <w:sz w:val="26"/>
          <w:szCs w:val="26"/>
        </w:rPr>
        <w:t xml:space="preserve">Ngoại lệ: nếu thanh toán trực tuyến thất bại, đơn hàng được giữ ở trạng thái chờ thanh toán tối đa 15 phút trước khi tự hủy và giải phóng lại sản lượng. Nếu người nhận từ chối nhận hàng COD, đơn chuyển trạng thái hoàn hàng và chi phí vận chuyển hai chiều được xử lý theo chính sách đã công bố. Khi nhiều đơn đặt cùng lúc vượt sản lượng còn lại, hệ thống ưu tiên đơn thanh toán/xác nhận trước; các đơn còn lại được tự động hủy kèm thông báo hết hàng.</w:t>
      </w:r>
    </w:p>
    <w:p>
      <w:pPr>
        <w:pStyle w:val="Heading2"/>
        <w:spacing w:after="180" w:before="360"/>
      </w:pPr>
      <w:r>
        <w:rPr>
          <w:rFonts w:ascii="Times New Roman" w:cs="Times New Roman" w:eastAsia="Times New Roman" w:hAnsi="Times New Roman"/>
          <w:b/>
          <w:bCs/>
          <w:sz w:val="28"/>
          <w:szCs w:val="28"/>
        </w:rPr>
        <w:t xml:space="preserve">1.2.4. Quy trình mua sỉ (B2B)</w:t>
      </w:r>
    </w:p>
    <w:p>
      <w:pPr>
        <w:pStyle w:val="ListParagraph"/>
        <w:numPr>
          <w:ilvl w:val="0"/>
          <w:numId w:val="6"/>
        </w:numPr>
        <w:spacing w:after="120" w:line="360"/>
        <w:jc w:val="both"/>
      </w:pPr>
      <w:r>
        <w:rPr>
          <w:rFonts w:ascii="Times New Roman" w:cs="Times New Roman" w:eastAsia="Times New Roman" w:hAnsi="Times New Roman"/>
          <w:sz w:val="26"/>
          <w:szCs w:val="26"/>
        </w:rPr>
        <w:t xml:space="preserve">Doanh nghiệp thu mua gửi yêu cầu báo giá (RFQ) tới một hoặc nhiều nhà bán, nêu rõ sản phẩm, số lượng dự kiến, tiêu chuẩn chất lượng yêu cầu và lịch giao mong muốn.</w:t>
      </w:r>
    </w:p>
    <w:p>
      <w:pPr>
        <w:pStyle w:val="ListParagraph"/>
        <w:numPr>
          <w:ilvl w:val="0"/>
          <w:numId w:val="6"/>
        </w:numPr>
        <w:spacing w:after="120" w:line="360"/>
        <w:jc w:val="both"/>
      </w:pPr>
      <w:r>
        <w:rPr>
          <w:rFonts w:ascii="Times New Roman" w:cs="Times New Roman" w:eastAsia="Times New Roman" w:hAnsi="Times New Roman"/>
          <w:sz w:val="26"/>
          <w:szCs w:val="26"/>
        </w:rPr>
        <w:t xml:space="preserve">Hệ thống kiểm tra số lượng yêu cầu có đạt số lượng tối thiểu (MOQ) của nhà bán hay không; nếu chưa đạt, hệ thống gợi ý gộp đơn với doanh nghiệp khác cùng khu vực hoặc chuyển hướng sang kênh mua lẻ.</w:t>
      </w:r>
    </w:p>
    <w:p>
      <w:pPr>
        <w:pStyle w:val="ListParagraph"/>
        <w:numPr>
          <w:ilvl w:val="0"/>
          <w:numId w:val="6"/>
        </w:numPr>
        <w:spacing w:after="120" w:line="360"/>
        <w:jc w:val="both"/>
      </w:pPr>
      <w:r>
        <w:rPr>
          <w:rFonts w:ascii="Times New Roman" w:cs="Times New Roman" w:eastAsia="Times New Roman" w:hAnsi="Times New Roman"/>
          <w:sz w:val="26"/>
          <w:szCs w:val="26"/>
        </w:rPr>
        <w:t xml:space="preserve">Nhà bán phản hồi báo giá theo giá bậc (ví dụ: mức giá khác nhau theo từng ngưỡng số lượng), thời gian có thể đáp ứng và điều kiện thanh toán.</w:t>
      </w:r>
    </w:p>
    <w:p>
      <w:pPr>
        <w:pStyle w:val="ListParagraph"/>
        <w:numPr>
          <w:ilvl w:val="0"/>
          <w:numId w:val="6"/>
        </w:numPr>
        <w:spacing w:after="120" w:line="360"/>
        <w:jc w:val="both"/>
      </w:pPr>
      <w:r>
        <w:rPr>
          <w:rFonts w:ascii="Times New Roman" w:cs="Times New Roman" w:eastAsia="Times New Roman" w:hAnsi="Times New Roman"/>
          <w:sz w:val="26"/>
          <w:szCs w:val="26"/>
        </w:rPr>
        <w:t xml:space="preserve">Hai bên thương lượng qua hệ thống nhắn tin nội bộ cho đến khi thống nhất số lượng, đơn giá và lịch giao.</w:t>
      </w:r>
    </w:p>
    <w:p>
      <w:pPr>
        <w:pStyle w:val="ListParagraph"/>
        <w:numPr>
          <w:ilvl w:val="0"/>
          <w:numId w:val="6"/>
        </w:numPr>
        <w:spacing w:after="120" w:line="360"/>
        <w:jc w:val="both"/>
      </w:pPr>
      <w:r>
        <w:rPr>
          <w:rFonts w:ascii="Times New Roman" w:cs="Times New Roman" w:eastAsia="Times New Roman" w:hAnsi="Times New Roman"/>
          <w:sz w:val="26"/>
          <w:szCs w:val="26"/>
        </w:rPr>
        <w:t xml:space="preserve">Hệ thống sinh hợp đồng điện tử từ mẫu chuẩn, điền đầy đủ các điều khoản đã thống nhất, bao gồm điều khoản phạt vi phạm và điều khoản thanh toán/công nợ.</w:t>
      </w:r>
    </w:p>
    <w:p>
      <w:pPr>
        <w:pStyle w:val="ListParagraph"/>
        <w:numPr>
          <w:ilvl w:val="0"/>
          <w:numId w:val="6"/>
        </w:numPr>
        <w:spacing w:after="120" w:line="360"/>
        <w:jc w:val="both"/>
      </w:pPr>
      <w:r>
        <w:rPr>
          <w:rFonts w:ascii="Times New Roman" w:cs="Times New Roman" w:eastAsia="Times New Roman" w:hAnsi="Times New Roman"/>
          <w:sz w:val="26"/>
          <w:szCs w:val="26"/>
        </w:rPr>
        <w:t xml:space="preserve">Hai bên ký xác nhận hợp đồng bằng chữ ký điện tử hoặc mã xác nhận trong hệ thống.</w:t>
      </w:r>
    </w:p>
    <w:p>
      <w:pPr>
        <w:pStyle w:val="ListParagraph"/>
        <w:numPr>
          <w:ilvl w:val="0"/>
          <w:numId w:val="6"/>
        </w:numPr>
        <w:spacing w:after="120" w:line="360"/>
        <w:jc w:val="both"/>
      </w:pPr>
      <w:r>
        <w:rPr>
          <w:rFonts w:ascii="Times New Roman" w:cs="Times New Roman" w:eastAsia="Times New Roman" w:hAnsi="Times New Roman"/>
          <w:sz w:val="26"/>
          <w:szCs w:val="26"/>
        </w:rPr>
        <w:t xml:space="preserve">Nhà bán giao hàng theo từng đợt theo lịch đã ký; mỗi đợt giao, hệ thống sinh hóa đơn tương ứng và cập nhật vào sổ công nợ của doanh nghiệp thu mua.</w:t>
      </w:r>
    </w:p>
    <w:p>
      <w:pPr>
        <w:pStyle w:val="ListParagraph"/>
        <w:numPr>
          <w:ilvl w:val="0"/>
          <w:numId w:val="6"/>
        </w:numPr>
        <w:spacing w:after="120" w:line="360"/>
        <w:jc w:val="both"/>
      </w:pPr>
      <w:r>
        <w:rPr>
          <w:rFonts w:ascii="Times New Roman" w:cs="Times New Roman" w:eastAsia="Times New Roman" w:hAnsi="Times New Roman"/>
          <w:sz w:val="26"/>
          <w:szCs w:val="26"/>
        </w:rPr>
        <w:t xml:space="preserve">Doanh nghiệp thu mua xác nhận nhận hàng và chất lượng từng đợt, sau đó thanh toán theo kỳ hạn công nợ đã thỏa thuận.</w:t>
      </w:r>
    </w:p>
    <w:p>
      <w:pPr>
        <w:spacing w:after="200" w:line="360"/>
        <w:jc w:val="both"/>
      </w:pPr>
      <w:r>
        <w:rPr>
          <w:rFonts w:ascii="Times New Roman" w:cs="Times New Roman" w:eastAsia="Times New Roman" w:hAnsi="Times New Roman"/>
          <w:sz w:val="26"/>
          <w:szCs w:val="26"/>
        </w:rPr>
        <w:t xml:space="preserve">Ngoại lệ: khi nhà bán không giao đủ số lượng hoặc đúng lịch một đợt giao, điều khoản phạt trong hợp đồng được áp dụng và sự việc được ghi nhận vào lịch sử uy tín của nhà bán. Khi doanh nghiệp thu mua chậm thanh toán quá hạn công nợ, hệ thống nhắc nhở tự động và có thể tạm khóa quyền đặt yêu cầu báo giá mới cho đến khi hoàn tất thanh toán. Trường hợp một trong hai bên muốn hủy hợp đồng giữa kỳ, việc xử lý tuân theo điều khoản hủy đã ký kết từ đầu.</w:t>
      </w:r>
    </w:p>
    <w:p>
      <w:pPr>
        <w:pStyle w:val="Heading2"/>
        <w:spacing w:after="180" w:before="360"/>
      </w:pPr>
      <w:r>
        <w:rPr>
          <w:rFonts w:ascii="Times New Roman" w:cs="Times New Roman" w:eastAsia="Times New Roman" w:hAnsi="Times New Roman"/>
          <w:b/>
          <w:bCs/>
          <w:sz w:val="28"/>
          <w:szCs w:val="28"/>
        </w:rPr>
        <w:t xml:space="preserve">1.2.5. Vận chuyển hàng dễ hư hỏng và xử lý khiếu nại</w:t>
      </w:r>
    </w:p>
    <w:p>
      <w:pPr>
        <w:pStyle w:val="ListParagraph"/>
        <w:numPr>
          <w:ilvl w:val="0"/>
          <w:numId w:val="7"/>
        </w:numPr>
        <w:spacing w:after="120" w:line="360"/>
        <w:jc w:val="both"/>
      </w:pPr>
      <w:r>
        <w:rPr>
          <w:rFonts w:ascii="Times New Roman" w:cs="Times New Roman" w:eastAsia="Times New Roman" w:hAnsi="Times New Roman"/>
          <w:sz w:val="26"/>
          <w:szCs w:val="26"/>
        </w:rPr>
        <w:t xml:space="preserve">Nhà bán đóng gói theo hướng dẫn bảo quản riêng cho từng nhóm nông sản (nhiệt độ, độ ẩm, vật liệu chống dập) do hệ thống gợi ý theo danh mục sản phẩm.</w:t>
      </w:r>
    </w:p>
    <w:p>
      <w:pPr>
        <w:pStyle w:val="ListParagraph"/>
        <w:numPr>
          <w:ilvl w:val="0"/>
          <w:numId w:val="7"/>
        </w:numPr>
        <w:spacing w:after="120" w:line="360"/>
        <w:jc w:val="both"/>
      </w:pPr>
      <w:r>
        <w:rPr>
          <w:rFonts w:ascii="Times New Roman" w:cs="Times New Roman" w:eastAsia="Times New Roman" w:hAnsi="Times New Roman"/>
          <w:sz w:val="26"/>
          <w:szCs w:val="26"/>
        </w:rPr>
        <w:t xml:space="preserve">Hệ thống ưu tiên lựa chọn phương thức vận chuyển có hỗ trợ bảo quản lạnh hoặc thời gian giao nhanh đối với các danh mục được đánh dấu dễ hư hỏng; đơn hàng có thời gian giao vượt ngưỡng an toàn sẽ được cảnh báo trước khi khách xác nhận đặt hàng.</w:t>
      </w:r>
    </w:p>
    <w:p>
      <w:pPr>
        <w:pStyle w:val="ListParagraph"/>
        <w:numPr>
          <w:ilvl w:val="0"/>
          <w:numId w:val="7"/>
        </w:numPr>
        <w:spacing w:after="120" w:line="360"/>
        <w:jc w:val="both"/>
      </w:pPr>
      <w:r>
        <w:rPr>
          <w:rFonts w:ascii="Times New Roman" w:cs="Times New Roman" w:eastAsia="Times New Roman" w:hAnsi="Times New Roman"/>
          <w:sz w:val="26"/>
          <w:szCs w:val="26"/>
        </w:rPr>
        <w:t xml:space="preserve">Đơn vị vận chuyển cập nhật trạng thái đơn hàng theo thời gian thực trong suốt quá trình giao nhận.</w:t>
      </w:r>
    </w:p>
    <w:p>
      <w:pPr>
        <w:pStyle w:val="ListParagraph"/>
        <w:numPr>
          <w:ilvl w:val="0"/>
          <w:numId w:val="7"/>
        </w:numPr>
        <w:spacing w:after="120" w:line="360"/>
        <w:jc w:val="both"/>
      </w:pPr>
      <w:r>
        <w:rPr>
          <w:rFonts w:ascii="Times New Roman" w:cs="Times New Roman" w:eastAsia="Times New Roman" w:hAnsi="Times New Roman"/>
          <w:sz w:val="26"/>
          <w:szCs w:val="26"/>
        </w:rPr>
        <w:t xml:space="preserve">Người nhận kiểm tra hàng ngay khi nhận; nếu phát hiện hư hỏng, gửi khiếu nại trong khung thời gian quy định kèm hình ảnh hoặc video minh chứng.</w:t>
      </w:r>
    </w:p>
    <w:p>
      <w:pPr>
        <w:pStyle w:val="ListParagraph"/>
        <w:numPr>
          <w:ilvl w:val="0"/>
          <w:numId w:val="7"/>
        </w:numPr>
        <w:spacing w:after="120" w:line="360"/>
        <w:jc w:val="both"/>
      </w:pPr>
      <w:r>
        <w:rPr>
          <w:rFonts w:ascii="Times New Roman" w:cs="Times New Roman" w:eastAsia="Times New Roman" w:hAnsi="Times New Roman"/>
          <w:sz w:val="26"/>
          <w:szCs w:val="26"/>
        </w:rPr>
        <w:t xml:space="preserve">Hệ thống phân loại khiếu nại theo nguyên nhân khả năng (đóng gói/chất lượng từ nhà bán, lỗi vận chuyển, hoặc bảo quản sai từ phía người nhận).</w:t>
      </w:r>
    </w:p>
    <w:p>
      <w:pPr>
        <w:pStyle w:val="ListParagraph"/>
        <w:numPr>
          <w:ilvl w:val="0"/>
          <w:numId w:val="7"/>
        </w:numPr>
        <w:spacing w:after="120" w:line="360"/>
        <w:jc w:val="both"/>
      </w:pPr>
      <w:r>
        <w:rPr>
          <w:rFonts w:ascii="Times New Roman" w:cs="Times New Roman" w:eastAsia="Times New Roman" w:hAnsi="Times New Roman"/>
          <w:sz w:val="26"/>
          <w:szCs w:val="26"/>
        </w:rPr>
        <w:t xml:space="preserve">Bộ phận phụ trách ra quyết định xử lý: hoàn tiền toàn phần, hoàn tiền một phần, đổi lô hàng mới, hoặc từ chối khiếu nại nếu bằng chứng không đầy đủ.</w:t>
      </w:r>
    </w:p>
    <w:p>
      <w:pPr>
        <w:spacing w:after="200" w:line="360"/>
        <w:jc w:val="both"/>
      </w:pPr>
      <w:r>
        <w:rPr>
          <w:rFonts w:ascii="Times New Roman" w:cs="Times New Roman" w:eastAsia="Times New Roman" w:hAnsi="Times New Roman"/>
          <w:sz w:val="26"/>
          <w:szCs w:val="26"/>
        </w:rPr>
        <w:t xml:space="preserve">Ngoại lệ: khiếu nại lặp lại nhiều lần từ cùng một nhà bán trong thời gian ngắn sẽ tự động được gắn cờ cảnh báo và tạm hạ mức ưu tiên hiển thị sản phẩm cho đến khi được rà soát; khiếu nại có dấu hiệu bất thường từ phía người mua sẽ được chuyển cho bộ phận quản trị xem xét thủ công trước khi hoàn tiền.</w:t>
      </w:r>
    </w:p>
    <w:p>
      <w:pPr>
        <w:pStyle w:val="Heading2"/>
        <w:spacing w:after="180" w:before="360"/>
      </w:pPr>
      <w:r>
        <w:rPr>
          <w:rFonts w:ascii="Times New Roman" w:cs="Times New Roman" w:eastAsia="Times New Roman" w:hAnsi="Times New Roman"/>
          <w:b/>
          <w:bCs/>
          <w:sz w:val="28"/>
          <w:szCs w:val="28"/>
        </w:rPr>
        <w:t xml:space="preserve">1.2.6. Quản trị hệ thống</w:t>
      </w:r>
    </w:p>
    <w:p>
      <w:pPr>
        <w:pStyle w:val="ListParagraph"/>
        <w:numPr>
          <w:ilvl w:val="0"/>
          <w:numId w:val="8"/>
        </w:numPr>
        <w:spacing w:after="120" w:line="360"/>
        <w:jc w:val="both"/>
      </w:pPr>
      <w:r>
        <w:rPr>
          <w:rFonts w:ascii="Times New Roman" w:cs="Times New Roman" w:eastAsia="Times New Roman" w:hAnsi="Times New Roman"/>
          <w:sz w:val="26"/>
          <w:szCs w:val="26"/>
        </w:rPr>
        <w:t xml:space="preserve">Quản trị viên thực hiện kiểm duyệt định kỳ hồ sơ nhà bán mới, sản phẩm mới hoặc có thay đổi trọng yếu, và các chứng nhận sắp hết hạn.</w:t>
      </w:r>
    </w:p>
    <w:p>
      <w:pPr>
        <w:pStyle w:val="ListParagraph"/>
        <w:numPr>
          <w:ilvl w:val="0"/>
          <w:numId w:val="8"/>
        </w:numPr>
        <w:spacing w:after="120" w:line="360"/>
        <w:jc w:val="both"/>
      </w:pPr>
      <w:r>
        <w:rPr>
          <w:rFonts w:ascii="Times New Roman" w:cs="Times New Roman" w:eastAsia="Times New Roman" w:hAnsi="Times New Roman"/>
          <w:sz w:val="26"/>
          <w:szCs w:val="26"/>
        </w:rPr>
        <w:t xml:space="preserve">Quản trị viên giám sát các cảnh báo tự động từ hệ thống, bao gồm tỷ lệ khiếu nại bất thường và các dấu hiệu giao dịch có nguy cơ gian lận.</w:t>
      </w:r>
    </w:p>
    <w:p>
      <w:pPr>
        <w:pStyle w:val="ListParagraph"/>
        <w:numPr>
          <w:ilvl w:val="0"/>
          <w:numId w:val="8"/>
        </w:numPr>
        <w:spacing w:after="120" w:line="360"/>
        <w:jc w:val="both"/>
      </w:pPr>
      <w:r>
        <w:rPr>
          <w:rFonts w:ascii="Times New Roman" w:cs="Times New Roman" w:eastAsia="Times New Roman" w:hAnsi="Times New Roman"/>
          <w:sz w:val="26"/>
          <w:szCs w:val="26"/>
        </w:rPr>
        <w:t xml:space="preserve">Vi phạm được xử lý theo quy trình phân cấp từ nhắc nhở, cảnh cáo công khai, tạm khóa cho đến khóa vĩnh viễn tài khoản, tùy theo mức độ và số lần vi phạm, có lưu vết đầy đủ lý do và quyết định.</w:t>
      </w:r>
    </w:p>
    <w:p>
      <w:pPr>
        <w:pStyle w:val="ListParagraph"/>
        <w:numPr>
          <w:ilvl w:val="0"/>
          <w:numId w:val="8"/>
        </w:numPr>
        <w:spacing w:after="120" w:line="360"/>
        <w:jc w:val="both"/>
      </w:pPr>
      <w:r>
        <w:rPr>
          <w:rFonts w:ascii="Times New Roman" w:cs="Times New Roman" w:eastAsia="Times New Roman" w:hAnsi="Times New Roman"/>
          <w:sz w:val="26"/>
          <w:szCs w:val="26"/>
        </w:rPr>
        <w:t xml:space="preserve">Quản trị viên truy xuất báo cáo thống kê định kỳ để hỗ trợ ra quyết định vận hành và báo cáo cho các bên liên quan.</w:t>
      </w:r>
    </w:p>
    <w:p>
      <w:pPr>
        <w:spacing w:after="200" w:line="360"/>
        <w:jc w:val="both"/>
      </w:pPr>
      <w:r>
        <w:rPr>
          <w:rFonts w:ascii="Times New Roman" w:cs="Times New Roman" w:eastAsia="Times New Roman" w:hAnsi="Times New Roman"/>
          <w:sz w:val="26"/>
          <w:szCs w:val="26"/>
        </w:rPr>
        <w:t xml:space="preserve">Ngoại lệ: khi phát hiện vi phạm nghiêm trọng như giả mạo chứng nhận hoặc gian lận, tài khoản bị khóa ngay lập tức mà không qua các bước nhắc nhở trung gian, đồng thời toàn bộ đơn hàng đang xử lý của tài khoản đó được rà soát để bảo vệ quyền lợi của khách hàng đã đặt trước.</w:t>
      </w:r>
    </w:p>
    <w:p>
      <w:pPr>
        <w:pStyle w:val="Heading1"/>
        <w:spacing w:after="240"/>
      </w:pPr>
      <w:r>
        <w:rPr>
          <w:rFonts w:ascii="Times New Roman" w:cs="Times New Roman" w:eastAsia="Times New Roman" w:hAnsi="Times New Roman"/>
          <w:b/>
          <w:bCs/>
          <w:sz w:val="32"/>
          <w:szCs w:val="32"/>
        </w:rPr>
        <w:t xml:space="preserve">1.3. Cơ sở lý thuyết</w:t>
      </w:r>
    </w:p>
    <w:p>
      <w:pPr>
        <w:pStyle w:val="Heading2"/>
        <w:spacing w:after="180" w:before="360"/>
      </w:pPr>
      <w:r>
        <w:rPr>
          <w:rFonts w:ascii="Times New Roman" w:cs="Times New Roman" w:eastAsia="Times New Roman" w:hAnsi="Times New Roman"/>
          <w:b/>
          <w:bCs/>
          <w:sz w:val="28"/>
          <w:szCs w:val="28"/>
        </w:rPr>
        <w:t xml:space="preserve">1.3.1. Mô hình thương mại điện tử B2C, B2B, B2B2C và marketplace nhiều người bán</w:t>
      </w:r>
    </w:p>
    <w:p>
      <w:pPr>
        <w:spacing w:after="200" w:line="360"/>
        <w:jc w:val="both"/>
      </w:pPr>
      <w:r>
        <w:rPr>
          <w:rFonts w:ascii="Times New Roman" w:cs="Times New Roman" w:eastAsia="Times New Roman" w:hAnsi="Times New Roman"/>
          <w:sz w:val="26"/>
          <w:szCs w:val="26"/>
        </w:rPr>
        <w:t xml:space="preserve">Trong thương mại điện tử, các mô hình giao dịch thường được phân loại theo bản chất của các bên tham gia. B2C (Business-to-Consumer) là giao dịch giữa doanh nghiệp và người tiêu dùng cá nhân, đặc trưng bởi đơn hàng nhỏ, số lượng lớn và quyết định mua diễn ra nhanh. B2B (Business-to-Business) là giao dịch giữa các doanh nghiệp hoặc tổ chức, đặc trưng bởi đơn hàng lớn, chu kỳ mua phức tạp hơn (báo giá, thương lượng, hợp đồng) và thường gắn với quan hệ hợp tác lâu dài kèm công nợ. B2B2C (Business-to-Business-to-Consumer) là mô hình lai, trong đó một nền tảng trung gian kết nối nhà cung cấp gốc với người tiêu dùng cuối, đồng thời cũng phục vụ các doanh nghiệp khác mua với vai trò trung gian tiếp theo trong chuỗi. Bên cạnh đó, marketplace nhiều người bán (multi-vendor marketplace) là mô hình vận hành kỹ thuật cho phép nhiều nhà cung cấp độc lập cùng đăng bán trên một nền tảng chung, trong đó nền tảng đóng vai trò trung gian về công nghệ, thanh toán và uy tín — đây là lớp hạ tầng kỹ thuật mà cả ba mô hình thương mại kể trên đều có thể được xây dựng trên đó.</w:t>
      </w:r>
    </w:p>
    <w:p>
      <w:pPr>
        <w:spacing w:after="200" w:line="360"/>
        <w:jc w:val="both"/>
      </w:pPr>
      <w:r>
        <w:rPr>
          <w:rFonts w:ascii="Times New Roman" w:cs="Times New Roman" w:eastAsia="Times New Roman" w:hAnsi="Times New Roman"/>
          <w:sz w:val="26"/>
          <w:szCs w:val="26"/>
        </w:rPr>
        <w:t xml:space="preserve">Farmery lựa chọn mô hình B2B2C dạng marketplace nhiều người bán vì đặc thù của nông sản đòi hỏi phục vụ đồng thời hai nhóm khách hàng có hành vi mua khác nhau rõ rệt — người tiêu dùng cá nhân mua lẻ và doanh nghiệp mua sỉ theo hợp đồng — từ cùng một nguồn cung là nông dân và hợp tác xã, trong khi nền tảng vẫn cần giữ vai trò trung gian bảo đảm uy tín, truy xuất nguồn gốc và thanh toán an toàn cho cả hai luồng giao dịch. Nếu chỉ lựa chọn mô hình B2C thuần túy, hệ thống sẽ không đáp ứng được nhu cầu đặt hàng số lượng lớn theo lịch của nhà hàng hoặc siêu thị; ngược lại, nếu chỉ lựa chọn mô hình B2B thuần túy, hệ thống sẽ bỏ lỡ thị trường tiêu dùng cá nhân rộng lớn và làm giảm động lực đa dạng hóa đầu ra cho nông dân.</w:t>
      </w:r>
    </w:p>
    <w:p>
      <w:pPr>
        <w:pStyle w:val="Heading2"/>
        <w:spacing w:after="180" w:before="360"/>
      </w:pPr>
      <w:r>
        <w:rPr>
          <w:rFonts w:ascii="Times New Roman" w:cs="Times New Roman" w:eastAsia="Times New Roman" w:hAnsi="Times New Roman"/>
          <w:b/>
          <w:bCs/>
          <w:sz w:val="28"/>
          <w:szCs w:val="28"/>
        </w:rPr>
        <w:t xml:space="preserve">1.3.2. Chuỗi cung ứng nông sản ngắn và disintermediation</w:t>
      </w:r>
    </w:p>
    <w:p>
      <w:pPr>
        <w:spacing w:after="200" w:line="360"/>
        <w:jc w:val="both"/>
      </w:pPr>
      <w:r>
        <w:rPr>
          <w:rFonts w:ascii="Times New Roman" w:cs="Times New Roman" w:eastAsia="Times New Roman" w:hAnsi="Times New Roman"/>
          <w:sz w:val="26"/>
          <w:szCs w:val="26"/>
        </w:rPr>
        <w:t xml:space="preserve">Chuỗi cung ứng nông sản ngắn (Short Food Supply Chain – SFSC) được Ủy ban châu Âu mô tả là chuỗi cung ứng có số lượng hạn chế các tác nhân kinh tế tham gia, dựa trên sự hợp tác, phát triển kinh tế địa phương và mối liên hệ địa lý, xã hội gần gũi giữa nhà sản xuất và người tiêu dùng [12]. Các hình thức phổ biến của SFSC gồm bán trực tiếp từ nông dân đến người tiêu dùng, hình thức giao hàng theo hộp (box scheme) và nông nghiệp được hỗ trợ bởi cộng đồng (Community-Supported Agriculture). Lợi ích chính của mô hình này là tăng tính minh bạch và niềm tin cho người tiêu dùng, đồng thời mang lại lợi nhuận kinh tế tốt hơn cho nhà sản xuất; hạn chế chính là khối lượng sản xuất và phân phối bị giới hạn, chi phí vận hành trên mỗi đơn vị sản phẩm cao hơn và khó mở rộng quy mô so với chuỗi cung ứng dài truyền thống [12].</w:t>
      </w:r>
    </w:p>
    <w:p>
      <w:pPr>
        <w:spacing w:after="200" w:line="360"/>
        <w:jc w:val="both"/>
      </w:pPr>
      <w:r>
        <w:rPr>
          <w:rFonts w:ascii="Times New Roman" w:cs="Times New Roman" w:eastAsia="Times New Roman" w:hAnsi="Times New Roman"/>
          <w:sz w:val="26"/>
          <w:szCs w:val="26"/>
        </w:rPr>
        <w:t xml:space="preserve">Khái niệm liên quan chặt chẽ là disintermediation (loại bỏ trung gian) — quá trình công nghệ số cho phép nhà sản xuất tiếp cận trực tiếp người mua cuối, cắt giảm các tầng trung gian truyền thống như thương lái hoặc chợ đầu mối. Về bản chất, Farmery là một nỗ lực disintermediation có kiểm soát: không loại bỏ hoàn toàn vai trò trung gian, vì hệ thống vẫn cần đơn vị vận chuyển và bản thân nền tảng cũng đóng vai trò trung gian về công nghệ và uy tín, nhưng loại bỏ các tầng trung gian thương mại thuần túy hưởng chênh lệch giá mà không tạo thêm giá trị tương xứng, đồng thời vẫn giữ được lợi ích về quy mô thị trường nhờ nền tảng số — điều mà chuỗi cung ứng ngắn truyền thống thường khó đạt được do giới hạn về phạm vi địa lý.</w:t>
      </w:r>
    </w:p>
    <w:p>
      <w:pPr>
        <w:pStyle w:val="Heading2"/>
        <w:spacing w:after="180" w:before="360"/>
      </w:pPr>
      <w:r>
        <w:rPr>
          <w:rFonts w:ascii="Times New Roman" w:cs="Times New Roman" w:eastAsia="Times New Roman" w:hAnsi="Times New Roman"/>
          <w:b/>
          <w:bCs/>
          <w:sz w:val="28"/>
          <w:szCs w:val="28"/>
        </w:rPr>
        <w:t xml:space="preserve">1.3.3. Truy xuất nguồn gốc thực phẩm: chuẩn GS1 và vai trò của blockchain</w:t>
      </w:r>
    </w:p>
    <w:p>
      <w:pPr>
        <w:spacing w:after="200" w:line="360"/>
        <w:jc w:val="both"/>
      </w:pPr>
      <w:r>
        <w:rPr>
          <w:rFonts w:ascii="Times New Roman" w:cs="Times New Roman" w:eastAsia="Times New Roman" w:hAnsi="Times New Roman"/>
          <w:sz w:val="26"/>
          <w:szCs w:val="26"/>
        </w:rPr>
        <w:t xml:space="preserve">GS1 là tổ chức quốc tế phi lợi nhuận xây dựng các chuẩn định danh và trao đổi dữ liệu dùng chung toàn cầu cho chuỗi cung ứng, trong đó bao gồm bộ chuẩn dành riêng cho truy xuất nguồn gốc [13]. Nguyên lý cốt lõi của truy xuất nguồn gốc theo GS1 là gán định danh duy nhất cho từng cấp độ đối tượng trong chuỗi cung ứng — sản phẩm, địa điểm hoặc đơn vị tham gia, và lô hàng cụ thể — sau đó ghi nhận các sự kiện chuỗi cung ứng (sản xuất, đóng gói, vận chuyển, nhận hàng) gắn với các định danh này, cho phép truy vết theo cả hai chiều: sản phẩm đi đến đâu và sản phẩm xuất phát từ đâu. Mã QR mà Farmery gắn cho từng lô sản phẩm về bản chất là lớp giao diện người dùng cho một hệ thống định danh và sự kiện tuân theo nguyên lý này: mã QR mã hóa định danh của lô hàng, còn dữ liệu nhật ký canh tác và vận chuyển đứng sau chính là các “sự kiện” gắn với định danh đó.</w:t>
      </w:r>
    </w:p>
    <w:p>
      <w:pPr>
        <w:spacing w:after="200" w:line="360"/>
        <w:jc w:val="both"/>
      </w:pPr>
      <w:r>
        <w:rPr>
          <w:rFonts w:ascii="Times New Roman" w:cs="Times New Roman" w:eastAsia="Times New Roman" w:hAnsi="Times New Roman"/>
          <w:sz w:val="26"/>
          <w:szCs w:val="26"/>
        </w:rPr>
        <w:t xml:space="preserve">Blockchain thường được đề xuất như một lớp lưu trữ dữ liệu truy xuất nguồn gốc có tính bất biến và minh bạch, không phụ thuộc vào một bên trung gian duy nhất kiểm soát toàn bộ dữ liệu, giúp tăng độ tin cậy khi nhiều bên độc lập cùng ghi nhận dữ liệu vào chuỗi. Tuy nhiên, các nghiên cứu gần đây cho thấy việc áp dụng blockchain cho truy xuất nguồn gốc thực phẩm vẫn gặp nhiều rào cản thực tế. Một nghiên cứu năm 2024 về các yếu tố ảnh hưởng đến việc áp dụng công nghệ blockchain trong chuỗi cung ứng thực phẩm cho thấy mức độ sẵn sàng của các doanh nghiệp vừa và nhỏ trong ngành còn thấp, chủ yếu do thiếu nhân lực kỹ thuật, chi phí chuyển đổi và sự không chắc chắn về lợi ích kinh tế trực tiếp [14]. Một nghiên cứu tình huống năm 2025 trên chuỗi cung ứng gia cầm tại Thái Lan cũng cho thấy chi phí hạ tầng và vận hành của giải pháp blockchain cao hơn đáng kể so với hệ thống cơ sở dữ liệu tập trung truyền thống ở hầu hết quy mô triển khai thực tế [15]. Với quy mô một sàn thương mại điện tử nông sản mới như Farmery, việc lưu trữ nhật ký canh tác và dữ liệu truy xuất trên một cơ sở dữ liệu tập trung tuân theo nguyên lý định danh của GS1 là phương án khả thi và tiết kiệm chi phí hơn ở giai đoạn đầu; giải pháp blockchain có thể được cân nhắc bổ sung ở giai đoạn sau nếu nhu cầu tăng độ tin cậy cho đối tác xuất khẩu hoặc số lượng bên tham gia độc lập vào chuỗi tăng đủ lớn để việc phi tập trung hóa mang lại lợi ích rõ ràng, vượt qua chi phí vận hành bổ sung.</w:t>
      </w:r>
    </w:p>
    <w:p>
      <w:pPr>
        <w:pStyle w:val="Heading2"/>
        <w:spacing w:after="180" w:before="360"/>
      </w:pPr>
      <w:r>
        <w:rPr>
          <w:rFonts w:ascii="Times New Roman" w:cs="Times New Roman" w:eastAsia="Times New Roman" w:hAnsi="Times New Roman"/>
          <w:b/>
          <w:bCs/>
          <w:sz w:val="28"/>
          <w:szCs w:val="28"/>
        </w:rPr>
        <w:t xml:space="preserve">1.3.4. Hệ thống đánh giá, uy tín và bất cân xứng thông tin</w:t>
      </w:r>
    </w:p>
    <w:p>
      <w:pPr>
        <w:spacing w:after="200" w:line="360"/>
        <w:jc w:val="both"/>
      </w:pPr>
      <w:r>
        <w:rPr>
          <w:rFonts w:ascii="Times New Roman" w:cs="Times New Roman" w:eastAsia="Times New Roman" w:hAnsi="Times New Roman"/>
          <w:sz w:val="26"/>
          <w:szCs w:val="26"/>
        </w:rPr>
        <w:t xml:space="preserve">Nền tảng lý thuyết cho vấn đề này là khái niệm bất cân xứng thông tin (information asymmetry) do nhà kinh tế học George Akerlof đề xuất trong bài viết kinh điển năm 1970 “The Market for Lemons” [16]. Theo lý thuyết này, khi người bán biết nhiều hơn người mua về chất lượng thực của sản phẩm và người mua không có cách xác minh trước khi mua, thị trường có xu hướng bị hàng kém chất lượng lấn át hàng tốt, vì người bán hàng tốt không thể chứng minh sự khác biệt để đòi mức giá cao hơn tương xứng và dần rút khỏi thị trường hoặc phải hạ chất lượng để cạnh tranh về giá. Đây chính là rủi ro mà một sàn thương mại điện tử nông sản cần giải quyết: nếu không có cơ chế minh bạch phù hợp, người tiêu dùng khó có cách phân biệt nông sản canh tác an toàn thực sự với sản phẩm chỉ gắn mác marketing.</w:t>
      </w:r>
    </w:p>
    <w:p>
      <w:pPr>
        <w:spacing w:after="200" w:line="360"/>
        <w:jc w:val="both"/>
      </w:pPr>
      <w:r>
        <w:rPr>
          <w:rFonts w:ascii="Times New Roman" w:cs="Times New Roman" w:eastAsia="Times New Roman" w:hAnsi="Times New Roman"/>
          <w:sz w:val="26"/>
          <w:szCs w:val="26"/>
        </w:rPr>
        <w:t xml:space="preserve">Hệ thống đánh giá và uy tín (reputation system) là cơ chế phổ biến để giảm bất cân xứng thông tin trên các sàn giao dịch trực tuyến, bằng cách tích lũy phản hồi từ các giao dịch trước đó thành một chỉ số uy tín công khai cho từng người bán. Theo bài tổng quan của Steven Tadelis về các hệ thống danh tiếng và phản hồi trên các nền tảng trực tuyến, các cơ chế này giúp thị trường vận hành hiệu quả hơn bằng cách tạo động lực cho người bán duy trì chất lượng để bảo vệ uy tín dài hạn, mặc dù vẫn tồn tại một số thiên lệch như tâm lý ngại đưa ra đánh giá tiêu cực hoặc xu hướng đánh giá tập trung ở nhóm khách hàng có trải nghiệm cực đoan [17]. Với Farmery, hệ thống đánh giá cần được kết hợp với dữ liệu truy xuất nguồn gốc khách quan và chứng nhận đã được xác minh như hai lớp bổ sung cho đánh giá chủ quan của người dùng, nhằm giảm thiểu rủi ro đánh giá giả hoặc bị thao túng — điều đặc biệt quan trọng với nhóm khách hàng B2B khi giá trị mỗi giao dịch lớn hơn nhiều so với giao dịch B2C.</w:t>
      </w:r>
    </w:p>
    <w:p>
      <w:pPr>
        <w:pStyle w:val="Heading2"/>
        <w:spacing w:after="180" w:before="360"/>
      </w:pPr>
      <w:r>
        <w:rPr>
          <w:rFonts w:ascii="Times New Roman" w:cs="Times New Roman" w:eastAsia="Times New Roman" w:hAnsi="Times New Roman"/>
          <w:b/>
          <w:bCs/>
          <w:sz w:val="28"/>
          <w:szCs w:val="28"/>
        </w:rPr>
        <w:t xml:space="preserve">1.3.5. Nền tảng công nghệ: kiến trúc hệ thống, phân quyền RBAC và thanh toán trung gian</w:t>
      </w:r>
    </w:p>
    <w:p>
      <w:pPr>
        <w:spacing w:after="200" w:line="360"/>
        <w:jc w:val="both"/>
      </w:pPr>
      <w:r>
        <w:rPr>
          <w:rFonts w:ascii="Times New Roman" w:cs="Times New Roman" w:eastAsia="Times New Roman" w:hAnsi="Times New Roman"/>
          <w:sz w:val="26"/>
          <w:szCs w:val="26"/>
        </w:rPr>
        <w:t xml:space="preserve">Về kiến trúc, một sàn thương mại điện tử đa vai trò như Farmery thường được xây dựng theo kiến trúc phân lớp, với các thành phần chính gồm: lớp giao diện phục vụ từng nhóm người dùng, lớp xử lý nghiệp vụ thực hiện các quy trình đã trình bày ở mục 1.2, lớp dữ liệu lưu trữ thông tin giao dịch và hợp đồng, cùng các dịch vụ tích hợp bên thứ ba như cổng thanh toán, đơn vị vận chuyển và (nếu có) hệ thống xác thực chứng nhận.</w:t>
      </w:r>
    </w:p>
    <w:p>
      <w:pPr>
        <w:spacing w:after="200" w:line="360"/>
        <w:jc w:val="both"/>
      </w:pPr>
      <w:r>
        <w:rPr>
          <w:rFonts w:ascii="Times New Roman" w:cs="Times New Roman" w:eastAsia="Times New Roman" w:hAnsi="Times New Roman"/>
          <w:sz w:val="26"/>
          <w:szCs w:val="26"/>
        </w:rPr>
        <w:t xml:space="preserve">Phân quyền theo vai trò (Role-Based Access Control – RBAC) là mô hình kiểm soát truy cập được Sandhu và cộng sự hệ thống hóa thành khung lý thuyết chuẩn vào năm 1996 [18]. Theo mô hình này, quyền truy cập không được gán trực tiếp cho từng người dùng mà thông qua các vai trò: người dùng được gán vào một hoặc nhiều vai trò, và mỗi vai trò được cấp một tập quyền tương ứng với chức năng nghiệp vụ của mình. Với Farmery, mô hình RBAC phù hợp để quản lý ít nhất bốn vai trò tương ứng với bốn nhóm người dùng đã phân tích tại mục 1.1.4, có thể mở rộng thêm các vai trò con để tuân theo nguyên tắc đặc quyền tối thiểu — mỗi vai trò chỉ được cấp đúng quyền cần thiết cho công việc của mình, qua đó giảm rủi ro an ninh và sai sót vận hành.</w:t>
      </w:r>
    </w:p>
    <w:p>
      <w:pPr>
        <w:spacing w:after="200" w:line="360"/>
        <w:jc w:val="both"/>
      </w:pPr>
      <w:r>
        <w:rPr>
          <w:rFonts w:ascii="Times New Roman" w:cs="Times New Roman" w:eastAsia="Times New Roman" w:hAnsi="Times New Roman"/>
          <w:sz w:val="26"/>
          <w:szCs w:val="26"/>
        </w:rPr>
        <w:t xml:space="preserve">Về thanh toán, trung gian thanh toán là tổ chức được cấp phép cung cấp dịch vụ hỗ trợ thu hộ, chi hộ và chuyển tiền giữa các bên trong giao dịch điện tử mà không phải là ngân hàng trực tiếp của cả hai bên, ví dụ các cổng ví điện tử phổ biến tại Việt Nam [20]. Escrow (ký quỹ trung gian) là cơ chế cụ thể trong đó bên trung gian giữ tiền của người mua cho đến khi một điều kiện đã thỏa thuận được xác nhận hoàn thành mới giải ngân cho người bán — cơ chế này đặc biệt phù hợp với giao dịch B2B giá trị lớn theo hợp đồng nhiều đợt giao, giúp giảm rủi ro cho cả hai phía: doanh nghiệp thu mua không lo mất tiền nếu hàng không đạt chất lượng, còn nông dân hoặc hợp tác xã được bảo đảm rằng khoản thanh toán đã sẵn sàng thay vì phải chờ doanh nghiệp thu mua thu xếp tài chính sau khi nhận hàng.</w:t>
      </w:r>
    </w:p>
    <w:p>
      <w:pPr>
        <w:spacing w:after="200" w:line="360"/>
        <w:jc w:val="both"/>
      </w:pPr>
      <w:r>
        <w:rPr>
          <w:rFonts w:ascii="Times New Roman" w:cs="Times New Roman" w:eastAsia="Times New Roman" w:hAnsi="Times New Roman"/>
          <w:sz w:val="26"/>
          <w:szCs w:val="26"/>
        </w:rPr>
        <w:t xml:space="preserve">Đối với bối cảnh thị trường Việt Nam, theo thông tin được Bộ Công Thương công bố, quy mô thị trường thương mại điện tử Việt Nam năm 2024 đạt trên 25 tỷ USD, tăng khoảng 20% so với năm 2023 và chiếm khoảng 9% tổng doanh thu bán lẻ hàng hóa và dịch vụ tiêu dùng cả nước; ví điện tử ngày càng phổ biến, song hình thức thanh toán khi nhận hàng (COD) vẫn còn đáng kể, đặc biệt tại khu vực nông thôn, một phần do người tiêu dùng còn e ngại về mức độ an toàn của thanh toán điện tử [19]. Đây là căn cứ để Farmery cân nhắc hỗ trợ đồng thời cả ví điện tử/chuyển khoản và COD ở giai đoạn đầu triển khai, đồng thời có thể ưu tiên áp dụng cơ chế escrow trước tiên cho luồng giao dịch B2B — nơi giá trị giao dịch lớn hơn và rủi ro cao hơn — trước khi cân nhắc mở rộng sang B2C nếu cần thiết.</w:t>
      </w:r>
    </w:p>
    <w:p>
      <w:pPr>
        <w:pStyle w:val="Heading1"/>
        <w:pageBreakBefore/>
        <w:spacing w:after="300"/>
      </w:pPr>
      <w:r>
        <w:rPr>
          <w:rFonts w:ascii="Times New Roman" w:cs="Times New Roman" w:eastAsia="Times New Roman" w:hAnsi="Times New Roman"/>
          <w:b/>
          <w:bCs/>
          <w:sz w:val="32"/>
          <w:szCs w:val="32"/>
        </w:rPr>
        <w:t xml:space="preserve">DANH MỤC TÀI LIỆU THAM KHẢO</w:t>
      </w:r>
    </w:p>
    <w:p>
      <w:pPr>
        <w:spacing w:after="160" w:line="300"/>
        <w:ind w:left="420" w:hanging="42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Tạp chí Công Thương (2023–2024), “Giải pháp thúc đẩy quản lý chuỗi cung ứng nông sản”, dẫn số liệu khảo sát của Viện Chính sách và Chiến lược Phát triển Nông nghiệp Nông thôn (IPSARD) và báo cáo của Bộ Nông nghiệp và Phát triển nông thôn. https://tapchicongthuong.vn/giai-phap-thuc-day-quan-ly-chuoi-cung-ung-nong-san-139082.htm</w:t>
      </w:r>
    </w:p>
    <w:p>
      <w:pPr>
        <w:spacing w:after="160" w:line="300"/>
        <w:ind w:left="420" w:hanging="42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TheLeader (2024), “Để nông sản mùa vụ không còn ‘được mùa mất giá’”. https://theleader.vn/de-nong-san-mua-vu-khong-con-duoc-mua-mat-gia-d4368.html</w:t>
      </w:r>
    </w:p>
    <w:p>
      <w:pPr>
        <w:spacing w:after="160" w:line="300"/>
        <w:ind w:left="420" w:hanging="42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Viện Logistics và Chuỗi cung ứng Việt Nam (VILAS), “Nông sản Việt nhìn từ góc độ chuỗi cung ứng” (năm khảo sát gốc không được công bố rõ trong bài viết — cần đối chiếu thêm khi trích dẫn chính thức). https://vilas.edu.vn/nong-san-viet-nhin-tu-goc-do-chuoi-cung-ung.html</w:t>
      </w:r>
    </w:p>
    <w:p>
      <w:pPr>
        <w:spacing w:after="160" w:line="300"/>
        <w:ind w:left="420" w:hanging="42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Dân Việt (2024), “Kỷ tích nông nghiệp 2024: OCOP thăng hạng, nông thôn mới vươn mình vào kỷ nguyên mới (Bài 2)”, dẫn số liệu của Văn phòng Điều phối nông thôn mới Trung ương. https://danviet.vn/ky-tich-nong-nghiep-2024-ocop-thang-hang-nong-thon-moi-vuon-minh-vao-ky-nguyen-moi-2024122623222198-d847523.html</w:t>
      </w:r>
    </w:p>
    <w:p>
      <w:pPr>
        <w:spacing w:after="160" w:line="300"/>
        <w:ind w:left="420" w:hanging="420"/>
        <w:jc w:val="both"/>
      </w:pPr>
      <w:r>
        <w:rPr>
          <w:rFonts w:ascii="Times New Roman" w:cs="Times New Roman" w:eastAsia="Times New Roman" w:hAnsi="Times New Roman"/>
          <w:b/>
          <w:bCs/>
          <w:sz w:val="26"/>
          <w:szCs w:val="26"/>
        </w:rPr>
        <w:t xml:space="preserve">[5] </w:t>
      </w:r>
      <w:r>
        <w:rPr>
          <w:rFonts w:ascii="Times New Roman" w:cs="Times New Roman" w:eastAsia="Times New Roman" w:hAnsi="Times New Roman"/>
          <w:sz w:val="26"/>
          <w:szCs w:val="26"/>
        </w:rPr>
        <w:t xml:space="preserve">Thủ tướng Chính phủ (2020), Quyết định số 749/QĐ-TTg ngày 03/6/2020 phê duyệt “Chương trình Chuyển đổi số quốc gia đến năm 2025, định hướng đến năm 2030”. https://thuvienphapluat.vn/van-ban/Cong-nghe-thong-tin/Quyet-dinh-749-QD-TTg-2020-phe-duyet-Chuong-trinh-Chuyen-doi-so-quoc-gia-444136.aspx</w:t>
      </w:r>
    </w:p>
    <w:p>
      <w:pPr>
        <w:spacing w:after="160" w:line="300"/>
        <w:ind w:left="420" w:hanging="420"/>
        <w:jc w:val="both"/>
      </w:pPr>
      <w:r>
        <w:rPr>
          <w:rFonts w:ascii="Times New Roman" w:cs="Times New Roman" w:eastAsia="Times New Roman" w:hAnsi="Times New Roman"/>
          <w:b/>
          <w:bCs/>
          <w:sz w:val="26"/>
          <w:szCs w:val="26"/>
        </w:rPr>
        <w:t xml:space="preserve">[6] </w:t>
      </w:r>
      <w:r>
        <w:rPr>
          <w:rFonts w:ascii="Times New Roman" w:cs="Times New Roman" w:eastAsia="Times New Roman" w:hAnsi="Times New Roman"/>
          <w:sz w:val="26"/>
          <w:szCs w:val="26"/>
        </w:rPr>
        <w:t xml:space="preserve">Bộ Chính trị (2024), Nghị quyết số 57-NQ/TW về đột phá phát triển khoa học, công nghệ, đổi mới sáng tạo và chuyển đổi số quốc gia. https://chinhtrivaphattrien.vn/nghi-quyet-so-57-nqtw-ve-dot-pha-phat-trien-khoa-hoc-cong-nghe-va-chuyen-doi-so-quoc-gia-dong-luc-phat-trien-nong-nghiep-trong-ky-nguyen-moi-a9248.html</w:t>
      </w:r>
    </w:p>
    <w:p>
      <w:pPr>
        <w:spacing w:after="160" w:line="300"/>
        <w:ind w:left="420" w:hanging="420"/>
        <w:jc w:val="both"/>
      </w:pPr>
      <w:r>
        <w:rPr>
          <w:rFonts w:ascii="Times New Roman" w:cs="Times New Roman" w:eastAsia="Times New Roman" w:hAnsi="Times New Roman"/>
          <w:b/>
          <w:bCs/>
          <w:sz w:val="26"/>
          <w:szCs w:val="26"/>
        </w:rPr>
        <w:t xml:space="preserve">[7] </w:t>
      </w:r>
      <w:r>
        <w:rPr>
          <w:rFonts w:ascii="Times New Roman" w:cs="Times New Roman" w:eastAsia="Times New Roman" w:hAnsi="Times New Roman"/>
          <w:sz w:val="26"/>
          <w:szCs w:val="26"/>
        </w:rPr>
        <w:t xml:space="preserve">KNA Cert, “Tiêu chuẩn VietGAP và GlobalGAP có gì giống và khác nhau?”. https://knacert.com.vn/tin-tuc-tieu-chuan/tieu-chuan-vietgap-va-globalgap-co-gi-giong-va-khac-nhau/</w:t>
      </w:r>
    </w:p>
    <w:p>
      <w:pPr>
        <w:spacing w:after="160" w:line="300"/>
        <w:ind w:left="420" w:hanging="420"/>
        <w:jc w:val="both"/>
      </w:pPr>
      <w:r>
        <w:rPr>
          <w:rFonts w:ascii="Times New Roman" w:cs="Times New Roman" w:eastAsia="Times New Roman" w:hAnsi="Times New Roman"/>
          <w:b/>
          <w:bCs/>
          <w:sz w:val="26"/>
          <w:szCs w:val="26"/>
        </w:rPr>
        <w:t xml:space="preserve">[8] </w:t>
      </w:r>
      <w:r>
        <w:rPr>
          <w:rFonts w:ascii="Times New Roman" w:cs="Times New Roman" w:eastAsia="Times New Roman" w:hAnsi="Times New Roman"/>
          <w:sz w:val="26"/>
          <w:szCs w:val="26"/>
        </w:rPr>
        <w:t xml:space="preserve">Forbes Việt Nam (2021), “Nền tảng thương mại điện tử nông sản FoodMap gọi đầu tư 2,9 triệu USD”. https://forbes.vn/nen-tang-thuong-mai-dien-tu-nong-san-foodmap-goi-dau-tu-29-trieu-usd/</w:t>
      </w:r>
    </w:p>
    <w:p>
      <w:pPr>
        <w:spacing w:after="160" w:line="300"/>
        <w:ind w:left="420" w:hanging="420"/>
        <w:jc w:val="both"/>
      </w:pPr>
      <w:r>
        <w:rPr>
          <w:rFonts w:ascii="Times New Roman" w:cs="Times New Roman" w:eastAsia="Times New Roman" w:hAnsi="Times New Roman"/>
          <w:b/>
          <w:bCs/>
          <w:sz w:val="26"/>
          <w:szCs w:val="26"/>
        </w:rPr>
        <w:t xml:space="preserve">[9] </w:t>
      </w:r>
      <w:r>
        <w:rPr>
          <w:rFonts w:ascii="Times New Roman" w:cs="Times New Roman" w:eastAsia="Times New Roman" w:hAnsi="Times New Roman"/>
          <w:sz w:val="26"/>
          <w:szCs w:val="26"/>
        </w:rPr>
        <w:t xml:space="preserve">Bộ Khoa học và Công nghệ (2021), “Vỏ Sò, Postmart đã hỗ trợ tiêu thụ gần 1.200 tấn nông sản cho các tỉnh phía Nam”. https://mst.gov.vn/vo-so-postmart-da-ho-tro-tieu-thu-gan-1200-tan-nong-san-cho-cac-tinh-phia-nam-197151543.htm</w:t>
      </w:r>
    </w:p>
    <w:p>
      <w:pPr>
        <w:spacing w:after="160" w:line="300"/>
        <w:ind w:left="420" w:hanging="420"/>
        <w:jc w:val="both"/>
      </w:pPr>
      <w:r>
        <w:rPr>
          <w:rFonts w:ascii="Times New Roman" w:cs="Times New Roman" w:eastAsia="Times New Roman" w:hAnsi="Times New Roman"/>
          <w:b/>
          <w:bCs/>
          <w:sz w:val="26"/>
          <w:szCs w:val="26"/>
        </w:rPr>
        <w:t xml:space="preserve">[10] </w:t>
      </w:r>
      <w:r>
        <w:rPr>
          <w:rFonts w:ascii="Times New Roman" w:cs="Times New Roman" w:eastAsia="Times New Roman" w:hAnsi="Times New Roman"/>
          <w:sz w:val="26"/>
          <w:szCs w:val="26"/>
        </w:rPr>
        <w:t xml:space="preserve">Business Standard (2020), “ITC's e-Choupal boosts farmers' income by 50% with direct sourcing”. https://www.business-standard.com/amp/article/companies/itc-s-e-choupal-model-translates-to-50-higher-incomes-for-farmers-120100200537_1.html</w:t>
      </w:r>
    </w:p>
    <w:p>
      <w:pPr>
        <w:spacing w:after="160" w:line="300"/>
        <w:ind w:left="420" w:hanging="420"/>
        <w:jc w:val="both"/>
      </w:pPr>
      <w:r>
        <w:rPr>
          <w:rFonts w:ascii="Times New Roman" w:cs="Times New Roman" w:eastAsia="Times New Roman" w:hAnsi="Times New Roman"/>
          <w:b/>
          <w:bCs/>
          <w:sz w:val="26"/>
          <w:szCs w:val="26"/>
        </w:rPr>
        <w:t xml:space="preserve">[11] </w:t>
      </w:r>
      <w:r>
        <w:rPr>
          <w:rFonts w:ascii="Times New Roman" w:cs="Times New Roman" w:eastAsia="Times New Roman" w:hAnsi="Times New Roman"/>
          <w:sz w:val="26"/>
          <w:szCs w:val="26"/>
        </w:rPr>
        <w:t xml:space="preserve">Nasdaq/PR Newswire (2021), “Pinduoduo Deepens Digital Transformation for Agriculture by Connecting Millions of Farmers to Consumers”. https://www.nasdaq.com/press-release/pinduoduo-deepens-digital-transformation-for-agriculture-by-connecting-millions-of</w:t>
      </w:r>
    </w:p>
    <w:p>
      <w:pPr>
        <w:spacing w:after="160" w:line="300"/>
        <w:ind w:left="420" w:hanging="420"/>
        <w:jc w:val="both"/>
      </w:pPr>
      <w:r>
        <w:rPr>
          <w:rFonts w:ascii="Times New Roman" w:cs="Times New Roman" w:eastAsia="Times New Roman" w:hAnsi="Times New Roman"/>
          <w:b/>
          <w:bCs/>
          <w:sz w:val="26"/>
          <w:szCs w:val="26"/>
        </w:rPr>
        <w:t xml:space="preserve">[12] </w:t>
      </w:r>
      <w:r>
        <w:rPr>
          <w:rFonts w:ascii="Times New Roman" w:cs="Times New Roman" w:eastAsia="Times New Roman" w:hAnsi="Times New Roman"/>
          <w:sz w:val="26"/>
          <w:szCs w:val="26"/>
        </w:rPr>
        <w:t xml:space="preserve">European Food Information Council (EUFIC), “Short food supply chains: reconnecting producers and consumers”. https://www.eufic.org/en/food-production/article/short-food-supply-chains-reconnecting-producers-and-consumers</w:t>
      </w:r>
    </w:p>
    <w:p>
      <w:pPr>
        <w:spacing w:after="160" w:line="300"/>
        <w:ind w:left="420" w:hanging="420"/>
        <w:jc w:val="both"/>
      </w:pPr>
      <w:r>
        <w:rPr>
          <w:rFonts w:ascii="Times New Roman" w:cs="Times New Roman" w:eastAsia="Times New Roman" w:hAnsi="Times New Roman"/>
          <w:b/>
          <w:bCs/>
          <w:sz w:val="26"/>
          <w:szCs w:val="26"/>
        </w:rPr>
        <w:t xml:space="preserve">[13] </w:t>
      </w:r>
      <w:r>
        <w:rPr>
          <w:rFonts w:ascii="Times New Roman" w:cs="Times New Roman" w:eastAsia="Times New Roman" w:hAnsi="Times New Roman"/>
          <w:sz w:val="26"/>
          <w:szCs w:val="26"/>
        </w:rPr>
        <w:t xml:space="preserve">GS1, “Traceability”. https://www.gs1.org/standards/traceability</w:t>
      </w:r>
    </w:p>
    <w:p>
      <w:pPr>
        <w:spacing w:after="160" w:line="300"/>
        <w:ind w:left="420" w:hanging="420"/>
        <w:jc w:val="both"/>
      </w:pPr>
      <w:r>
        <w:rPr>
          <w:rFonts w:ascii="Times New Roman" w:cs="Times New Roman" w:eastAsia="Times New Roman" w:hAnsi="Times New Roman"/>
          <w:b/>
          <w:bCs/>
          <w:sz w:val="26"/>
          <w:szCs w:val="26"/>
        </w:rPr>
        <w:t xml:space="preserve">[14] </w:t>
      </w:r>
      <w:r>
        <w:rPr>
          <w:rFonts w:ascii="Times New Roman" w:cs="Times New Roman" w:eastAsia="Times New Roman" w:hAnsi="Times New Roman"/>
          <w:sz w:val="26"/>
          <w:szCs w:val="26"/>
        </w:rPr>
        <w:t xml:space="preserve">Frontiers in Sustainable Food Systems (2024), “Factors affecting the adoption of blockchain technologies in the food supply chain”. https://www.frontiersin.org/journals/sustainable-food-systems/articles/10.3389/fsufs.2024.1497599/full</w:t>
      </w:r>
    </w:p>
    <w:p>
      <w:pPr>
        <w:spacing w:after="160" w:line="300"/>
        <w:ind w:left="420" w:hanging="420"/>
        <w:jc w:val="both"/>
      </w:pPr>
      <w:r>
        <w:rPr>
          <w:rFonts w:ascii="Times New Roman" w:cs="Times New Roman" w:eastAsia="Times New Roman" w:hAnsi="Times New Roman"/>
          <w:b/>
          <w:bCs/>
          <w:sz w:val="26"/>
          <w:szCs w:val="26"/>
        </w:rPr>
        <w:t xml:space="preserve">[15] </w:t>
      </w:r>
      <w:r>
        <w:rPr>
          <w:rFonts w:ascii="Times New Roman" w:cs="Times New Roman" w:eastAsia="Times New Roman" w:hAnsi="Times New Roman"/>
          <w:sz w:val="26"/>
          <w:szCs w:val="26"/>
        </w:rPr>
        <w:t xml:space="preserve">Journal of Innovation and Entrepreneurship (2025), “Comparison of blockchain vs. centralised IT infrastructure costs for food traceability: a Thai broiler supply chain case study”. https://innovation-entrepreneurship.springeropen.com/articles/10.1186/s13731-025-00465-0</w:t>
      </w:r>
    </w:p>
    <w:p>
      <w:pPr>
        <w:spacing w:after="160" w:line="300"/>
        <w:ind w:left="420" w:hanging="420"/>
        <w:jc w:val="both"/>
      </w:pPr>
      <w:r>
        <w:rPr>
          <w:rFonts w:ascii="Times New Roman" w:cs="Times New Roman" w:eastAsia="Times New Roman" w:hAnsi="Times New Roman"/>
          <w:b/>
          <w:bCs/>
          <w:sz w:val="26"/>
          <w:szCs w:val="26"/>
        </w:rPr>
        <w:t xml:space="preserve">[16] </w:t>
      </w:r>
      <w:r>
        <w:rPr>
          <w:rFonts w:ascii="Times New Roman" w:cs="Times New Roman" w:eastAsia="Times New Roman" w:hAnsi="Times New Roman"/>
          <w:sz w:val="26"/>
          <w:szCs w:val="26"/>
        </w:rPr>
        <w:t xml:space="preserve">Akerlof, G. A. (1970), “The Market for ‘Lemons’: Quality Uncertainty and the Market Mechanism”, Quarterly Journal of Economics, 84(3), 488–500.</w:t>
      </w:r>
    </w:p>
    <w:p>
      <w:pPr>
        <w:spacing w:after="160" w:line="300"/>
        <w:ind w:left="420" w:hanging="420"/>
        <w:jc w:val="both"/>
      </w:pPr>
      <w:r>
        <w:rPr>
          <w:rFonts w:ascii="Times New Roman" w:cs="Times New Roman" w:eastAsia="Times New Roman" w:hAnsi="Times New Roman"/>
          <w:b/>
          <w:bCs/>
          <w:sz w:val="26"/>
          <w:szCs w:val="26"/>
        </w:rPr>
        <w:t xml:space="preserve">[17] </w:t>
      </w:r>
      <w:r>
        <w:rPr>
          <w:rFonts w:ascii="Times New Roman" w:cs="Times New Roman" w:eastAsia="Times New Roman" w:hAnsi="Times New Roman"/>
          <w:sz w:val="26"/>
          <w:szCs w:val="26"/>
        </w:rPr>
        <w:t xml:space="preserve">Tadelis, S., “Reputation and Feedback Systems in Online Platform Markets”, Annual Review of Economics. https://faculty.haas.berkeley.edu/stadelis/Annual_Review_Tadelis.pdf</w:t>
      </w:r>
    </w:p>
    <w:p>
      <w:pPr>
        <w:spacing w:after="160" w:line="300"/>
        <w:ind w:left="420" w:hanging="420"/>
        <w:jc w:val="both"/>
      </w:pPr>
      <w:r>
        <w:rPr>
          <w:rFonts w:ascii="Times New Roman" w:cs="Times New Roman" w:eastAsia="Times New Roman" w:hAnsi="Times New Roman"/>
          <w:b/>
          <w:bCs/>
          <w:sz w:val="26"/>
          <w:szCs w:val="26"/>
        </w:rPr>
        <w:t xml:space="preserve">[18] </w:t>
      </w:r>
      <w:r>
        <w:rPr>
          <w:rFonts w:ascii="Times New Roman" w:cs="Times New Roman" w:eastAsia="Times New Roman" w:hAnsi="Times New Roman"/>
          <w:sz w:val="26"/>
          <w:szCs w:val="26"/>
        </w:rPr>
        <w:t xml:space="preserve">Sandhu, R. S., Coyne, E. J., Feinstein, H. L., &amp; Youman, C. E. (1996), “Role-Based Access Control Models”, IEEE Computer, 29(2), 38–47. https://csrc.nist.gov/csrc/media/projects/role-based-access-control/documents/sandhu96.pdf</w:t>
      </w:r>
    </w:p>
    <w:p>
      <w:pPr>
        <w:spacing w:after="160" w:line="300"/>
        <w:ind w:left="420" w:hanging="420"/>
        <w:jc w:val="both"/>
      </w:pPr>
      <w:r>
        <w:rPr>
          <w:rFonts w:ascii="Times New Roman" w:cs="Times New Roman" w:eastAsia="Times New Roman" w:hAnsi="Times New Roman"/>
          <w:b/>
          <w:bCs/>
          <w:sz w:val="26"/>
          <w:szCs w:val="26"/>
        </w:rPr>
        <w:t xml:space="preserve">[19] </w:t>
      </w:r>
      <w:r>
        <w:rPr>
          <w:rFonts w:ascii="Times New Roman" w:cs="Times New Roman" w:eastAsia="Times New Roman" w:hAnsi="Times New Roman"/>
          <w:sz w:val="26"/>
          <w:szCs w:val="26"/>
        </w:rPr>
        <w:t xml:space="preserve">Bộ Công Thương (2024), “Thương mại điện tử Việt Nam năm 2024: Những bước tiến và thách thức”. https://moit.gov.vn/khoa-hoc-va-cong-nghe/thuong-mai-dien-tu-viet-nam-nam-2024-nhung-buoc-tien-va-thach-thuc.html</w:t>
      </w:r>
    </w:p>
    <w:p>
      <w:pPr>
        <w:spacing w:after="160" w:line="300"/>
        <w:ind w:left="420" w:hanging="420"/>
        <w:jc w:val="both"/>
      </w:pPr>
      <w:r>
        <w:rPr>
          <w:rFonts w:ascii="Times New Roman" w:cs="Times New Roman" w:eastAsia="Times New Roman" w:hAnsi="Times New Roman"/>
          <w:b/>
          <w:bCs/>
          <w:sz w:val="26"/>
          <w:szCs w:val="26"/>
        </w:rPr>
        <w:t xml:space="preserve">[20] </w:t>
      </w:r>
      <w:r>
        <w:rPr>
          <w:rFonts w:ascii="Times New Roman" w:cs="Times New Roman" w:eastAsia="Times New Roman" w:hAnsi="Times New Roman"/>
          <w:sz w:val="26"/>
          <w:szCs w:val="26"/>
        </w:rPr>
        <w:t xml:space="preserve">YourMoney.vn, “Trung gian thanh toán là gì? Danh sách các trung gian thanh toán”. https://yourmoney.vn/trung-gian-thanh-toan-la-gi-danh-sach-cac-trung-gian-thanh-toan/</w:t>
      </w:r>
    </w:p>
    <w:p>
      <w:pPr>
        <w:spacing w:after="160" w:line="300"/>
        <w:ind w:left="420" w:hanging="420"/>
        <w:jc w:val="both"/>
      </w:pPr>
      <w:r>
        <w:rPr>
          <w:rFonts w:ascii="Times New Roman" w:cs="Times New Roman" w:eastAsia="Times New Roman" w:hAnsi="Times New Roman"/>
          <w:b/>
          <w:bCs/>
          <w:sz w:val="26"/>
          <w:szCs w:val="26"/>
        </w:rPr>
        <w:t xml:space="preserve">[21] </w:t>
      </w:r>
      <w:r>
        <w:rPr>
          <w:rFonts w:ascii="Times New Roman" w:cs="Times New Roman" w:eastAsia="Times New Roman" w:hAnsi="Times New Roman"/>
          <w:sz w:val="26"/>
          <w:szCs w:val="26"/>
        </w:rPr>
        <w:t xml:space="preserve">Vietnam.vn (2025), tổng hợp lại số liệu cập nhật của Văn phòng Điều phối nông thôn mới Trung ương về kết quả Chương trình OCOP năm 2024. https://www.vietnam.vn/cong-nhan-them-28-san-pham-dat-chung-nhan-ocop-5-sao-cap-quoc-gia</w:t>
      </w:r>
    </w:p>
    <w:p>
      <w:pPr>
        <w:spacing w:after="160" w:line="300"/>
        <w:ind w:left="420" w:hanging="420"/>
        <w:jc w:val="both"/>
      </w:pPr>
      <w:r>
        <w:rPr>
          <w:rFonts w:ascii="Times New Roman" w:cs="Times New Roman" w:eastAsia="Times New Roman" w:hAnsi="Times New Roman"/>
          <w:b/>
          <w:bCs/>
          <w:sz w:val="26"/>
          <w:szCs w:val="26"/>
        </w:rPr>
        <w:t xml:space="preserve">[22] </w:t>
      </w:r>
      <w:r>
        <w:rPr>
          <w:rFonts w:ascii="Times New Roman" w:cs="Times New Roman" w:eastAsia="Times New Roman" w:hAnsi="Times New Roman"/>
          <w:sz w:val="26"/>
          <w:szCs w:val="26"/>
        </w:rPr>
        <w:t xml:space="preserve">Đại biểu Nhân dân (2026), “Xây dựng tiêu chuẩn quốc gia cho rau an toàn”, dẫn số liệu của Cục Trồng trọt và Bảo vệ thực vật về diện tích rau đạt chứng nhận VietGAP. https://daibieunhandan.vn/xay-dung-tieu-chuan-quoc-gia-cho-rau-an-toan-10419881.html</w:t>
      </w:r>
    </w:p>
    <w:p>
      <w:pPr>
        <w:spacing w:after="160" w:line="300"/>
        <w:ind w:left="420" w:hanging="420"/>
        <w:jc w:val="both"/>
      </w:pPr>
      <w:r>
        <w:rPr>
          <w:rFonts w:ascii="Times New Roman" w:cs="Times New Roman" w:eastAsia="Times New Roman" w:hAnsi="Times New Roman"/>
          <w:b/>
          <w:bCs/>
          <w:sz w:val="26"/>
          <w:szCs w:val="26"/>
        </w:rPr>
        <w:t xml:space="preserve">[23] </w:t>
      </w:r>
      <w:r>
        <w:rPr>
          <w:rFonts w:ascii="Times New Roman" w:cs="Times New Roman" w:eastAsia="Times New Roman" w:hAnsi="Times New Roman"/>
          <w:sz w:val="26"/>
          <w:szCs w:val="26"/>
        </w:rPr>
        <w:t xml:space="preserve">Tạp chí Công Thương, “GlobalGAP - Hộ chiếu để nông phẩm Việt tiếp cận thị trường EU”. https://tapchicongthuong.vn/globalgap-ho-chieu-de-nong-pham-viet-tiep-can-thi-truong-eu-85325.htm</w:t>
      </w:r>
    </w:p>
    <w:p>
      <w:pPr>
        <w:spacing w:after="200"/>
      </w:pPr>
    </w:p>
    <w:p>
      <w:pPr>
        <w:spacing w:after="200" w:line="300"/>
        <w:jc w:val="both"/>
      </w:pPr>
      <w:r>
        <w:rPr>
          <w:rFonts w:ascii="Times New Roman" w:cs="Times New Roman" w:eastAsia="Times New Roman" w:hAnsi="Times New Roman"/>
          <w:i/>
          <w:iCs/>
          <w:sz w:val="24"/>
          <w:szCs w:val="24"/>
        </w:rPr>
        <w:t xml:space="preserve">Lưu ý về số liệu: các số liệu tại nguồn tham khảo số 3 (VILAS) và một phần nguồn số 1 không công bố rõ năm khảo sát và phương pháp thống kê gốc trong bài viết truy cập được; các nội dung này đã được ghi chú cụ thể trong phần trình bày và chỉ nên dùng để minh họa xu hướng chung. Khi cần trích dẫn số liệu chính thức có yêu cầu phản biện học thuật cao, nhóm khuyến nghị đối chiếu thêm với báo cáo gốc của Bộ Nông nghiệp và Phát triển nông thôn hoặc Tổng cục Thống kê (GSO).</w:t>
      </w:r>
    </w:p>
    <w:sectPr>
      <w:headerReference w:type="default" r:id="rId9"/>
      <w:footerReference w:type="default" r:id="rId10"/>
      <w:pgSz w:w="11907" w:h="16840"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FARMERY — Sàn thương mại điện tử nông sản B2B2C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abstractNum w:abstractNumId="6" w15:restartNumberingAfterBreak="0">
    <w:multiLevelType w:val="hybridMultilevel"/>
    <w:lvl w:ilvl="0" w15:tentative="1">
      <w:start w:val="1"/>
      <w:numFmt w:val="decimal"/>
      <w:lvlText w:val="%1."/>
      <w:lvlJc w:val="left"/>
      <w:pPr>
        <w:ind w:left="504" w:hanging="360"/>
      </w:pPr>
    </w:lvl>
  </w:abstractNum>
  <w:abstractNum w:abstractNumId="7" w15:restartNumberingAfterBreak="0">
    <w:multiLevelType w:val="hybridMultilevel"/>
    <w:lvl w:ilvl="0" w15:tentative="1">
      <w:start w:val="1"/>
      <w:numFmt w:val="decimal"/>
      <w:lvlText w:val="%1."/>
      <w:lvlJc w:val="left"/>
      <w:pPr>
        <w:ind w:left="504" w:hanging="360"/>
      </w:pPr>
    </w:lvl>
  </w:abstractNum>
  <w:abstractNum w:abstractNumId="8"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FARMERY — Sàn thương mại điện tử nông sản B2B2C</dc:title>
  <dc:creator>Nhóm đồ án Farmery</dc:creator>
  <dc:description>Chương 1 — Tổng quan đề tài và cơ sở lý thuyết</dc:description>
  <cp:lastModifiedBy>Un-named</cp:lastModifiedBy>
  <cp:revision>1</cp:revision>
  <dcterms:created xsi:type="dcterms:W3CDTF">2026-09-11T18:11:31.000Z</dcterms:created>
  <dcterms:modified xsi:type="dcterms:W3CDTF">2026-09-11T18:11:31.000Z</dcterms:modified>
</cp:coreProperties>
</file>

<file path=docProps/custom.xml><?xml version="1.0" encoding="utf-8"?>
<Properties xmlns="http://schemas.openxmlformats.org/officeDocument/2006/custom-properties" xmlns:vt="http://schemas.openxmlformats.org/officeDocument/2006/docPropsVTypes"/>
</file>