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PHƯƠNG PHÁP GIAO DỊCH CỔ PHIẾU</w:t>
      </w:r>
    </w:p>
    <w:p>
      <w:pPr>
        <w:spacing w:after="40"/>
        <w:jc w:val="center"/>
      </w:pPr>
      <w:r>
        <w:rPr>
          <w:b/>
          <w:bCs/>
          <w:color w:val="2E5395"/>
          <w:sz w:val="26"/>
          <w:szCs w:val="26"/>
        </w:rPr>
        <w:t xml:space="preserve">Hệ thống HL Pivots V2 – Đáy/Đỉnh xác nhận, không vẽ lại tín hiệu (No Repaint)</w:t>
      </w:r>
    </w:p>
    <w:p>
      <w:pPr>
        <w:pBdr>
          <w:bottom w:val="single" w:color="2E5395" w:sz="8"/>
        </w:pBdr>
        <w:spacing w:after="240"/>
        <w:jc w:val="center"/>
      </w:pPr>
      <w:r>
        <w:rPr>
          <w:i/>
          <w:iCs/>
          <w:color w:val="555555"/>
          <w:sz w:val="20"/>
          <w:szCs w:val="20"/>
        </w:rPr>
        <w:t xml:space="preserve">Áp dụng cho thị trường chứng khoán Việt Nam – Khung đồ thị ngày – 18/07/2026</w:t>
      </w:r>
    </w:p>
    <w:p>
      <w:pPr>
        <w:pStyle w:val="Heading1"/>
        <w:spacing w:after="140" w:before="320"/>
      </w:pPr>
      <w:r>
        <w:t xml:space="preserve">1. TRIẾT LÝ CỦA PHƯƠNG PHÁP</w:t>
      </w:r>
    </w:p>
    <w:p>
      <w:pPr>
        <w:spacing w:after="120"/>
      </w:pPr>
      <w:r>
        <w:t xml:space="preserve">Đây là phương pháp </w:t>
      </w:r>
      <w:r>
        <w:rPr>
          <w:b/>
          <w:bCs/>
        </w:rPr>
        <w:t xml:space="preserve">giao dịch theo cấu trúc đỉnh – đáy (swing trading)</w:t>
      </w:r>
      <w:r>
        <w:t xml:space="preserve">, chu kỳ nắm giữ mục tiêu </w:t>
      </w:r>
      <w:r>
        <w:rPr>
          <w:b/>
          <w:bCs/>
        </w:rPr>
        <w:t xml:space="preserve">2 – 4 tuần</w:t>
      </w:r>
      <w:r>
        <w:t xml:space="preserve">, xây dựng trên bộ chỉ báo HL Pivots V2 đã được sửa để KHÔNG vẽ lại tín hiệu. Bốn nguyên tắc nền tảng:</w:t>
      </w:r>
    </w:p>
    <w:p>
      <w:pPr>
        <w:pStyle w:val="ListParagraph"/>
        <w:numPr>
          <w:ilvl w:val="0"/>
          <w:numId w:val="2"/>
        </w:numPr>
        <w:spacing w:after="60"/>
      </w:pPr>
      <w:r>
        <w:rPr>
          <w:b/>
          <w:bCs/>
        </w:rPr>
        <w:t xml:space="preserve">Không đoán đáy – chỉ mua đáy ĐÃ ĐƯỢC XÁC NHẬN. </w:t>
      </w:r>
      <w:r>
        <w:t xml:space="preserve">Chấp nhận vào lệnh muộn hơn đáy tuyệt đối vài phiên để đổi lấy tín hiệu chắc chắn, không thay đổi.</w:t>
      </w:r>
    </w:p>
    <w:p>
      <w:pPr>
        <w:pStyle w:val="ListParagraph"/>
        <w:numPr>
          <w:ilvl w:val="0"/>
          <w:numId w:val="2"/>
        </w:numPr>
        <w:spacing w:after="60"/>
      </w:pPr>
      <w:r>
        <w:rPr>
          <w:b/>
          <w:bCs/>
        </w:rPr>
        <w:t xml:space="preserve">Chỉ giao dịch thuận dòng tiền và xu hướng. </w:t>
      </w:r>
      <w:r>
        <w:t xml:space="preserve">Đáy đẹp mà không có khối lượng và xu hướng ủng hộ thì bỏ qua – thà lỡ cơ hội còn hơn bắt dao rơi.</w:t>
      </w:r>
    </w:p>
    <w:p>
      <w:pPr>
        <w:pStyle w:val="ListParagraph"/>
        <w:numPr>
          <w:ilvl w:val="0"/>
          <w:numId w:val="2"/>
        </w:numPr>
        <w:spacing w:after="60"/>
      </w:pPr>
      <w:r>
        <w:rPr>
          <w:b/>
          <w:bCs/>
        </w:rPr>
        <w:t xml:space="preserve">Quản trị rủi ro đứng trước lợi nhuận. </w:t>
      </w:r>
      <w:r>
        <w:t xml:space="preserve">Biết điểm cắt lỗ và khối lượng mua TRƯỚC khi đặt lệnh; mỗi lệnh thua chỉ được phép mất 1–2% tài khoản.</w:t>
      </w:r>
    </w:p>
    <w:p>
      <w:pPr>
        <w:pStyle w:val="ListParagraph"/>
        <w:numPr>
          <w:ilvl w:val="0"/>
          <w:numId w:val="2"/>
        </w:numPr>
        <w:spacing w:after="60"/>
      </w:pPr>
      <w:r>
        <w:rPr>
          <w:b/>
          <w:bCs/>
        </w:rPr>
        <w:t xml:space="preserve">Kỷ luật cơ học. </w:t>
      </w:r>
      <w:r>
        <w:t xml:space="preserve">Tín hiệu hệ thống + checklist quyết định, không phải cảm xúc hay tin đồn. Cái gì không nằm trong checklist thì không phải lý do để mua/bán.</w:t>
      </w:r>
    </w:p>
    <w:p>
      <w:pPr>
        <w:pStyle w:val="Heading1"/>
        <w:spacing w:after="140" w:before="320"/>
      </w:pPr>
      <w:r>
        <w:t xml:space="preserve">2. CÔNG CỤ: HỆ THỐNG HL PIVOTS V2 (TÓM TẮT)</w:t>
      </w:r>
    </w:p>
    <w:p>
      <w:pPr>
        <w:spacing w:after="120"/>
      </w:pPr>
      <w:r>
        <w:t xml:space="preserve">Bộ code AFL V2 cung cấp 4 thành phần, tất cả đều chỉ dùng dữ liệu quá khứ (không repaint):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D9E2F3" w:val="clear"/>
            <w:tcMar>
              <w:top w:type="dxa" w:w="60"/>
              <w:left w:type="dxa" w:w="100"/>
              <w:bottom w:type="dxa" w:w="60"/>
              <w:right w:type="dxa" w:w="100"/>
            </w:tcMar>
          </w:tcPr>
          <w:p>
            <w:r>
              <w:rPr>
                <w:b/>
                <w:bCs/>
                <w:color w:val="000000"/>
                <w:sz w:val="20"/>
                <w:szCs w:val="20"/>
              </w:rPr>
              <w:t xml:space="preserve">Thành phần</w:t>
            </w:r>
          </w:p>
        </w:tc>
        <w:tc>
          <w:tcPr>
            <w:tcW w:type="dxa" w:w="6426"/>
            <w:shd w:fill="D9E2F3" w:val="clear"/>
            <w:tcMar>
              <w:top w:type="dxa" w:w="60"/>
              <w:left w:type="dxa" w:w="100"/>
              <w:bottom w:type="dxa" w:w="60"/>
              <w:right w:type="dxa" w:w="100"/>
            </w:tcMar>
          </w:tcPr>
          <w:p>
            <w:r>
              <w:rPr>
                <w:b/>
                <w:bCs/>
                <w:color w:val="000000"/>
                <w:sz w:val="20"/>
                <w:szCs w:val="20"/>
              </w:rPr>
              <w:t xml:space="preserve">Vai trò trong phương pháp</w:t>
            </w:r>
          </w:p>
        </w:tc>
      </w:tr>
      <w:tr>
        <w:tc>
          <w:tcPr>
            <w:tcW w:type="dxa" w:w="2600"/>
            <w:tcMar>
              <w:top w:type="dxa" w:w="60"/>
              <w:left w:type="dxa" w:w="100"/>
              <w:bottom w:type="dxa" w:w="60"/>
              <w:right w:type="dxa" w:w="100"/>
            </w:tcMar>
          </w:tcPr>
          <w:p>
            <w:r>
              <w:rPr>
                <w:b w:val="false"/>
                <w:bCs w:val="false"/>
                <w:color w:val="000000"/>
                <w:sz w:val="20"/>
                <w:szCs w:val="20"/>
              </w:rPr>
              <w:t xml:space="preserve">Pivot xác nhận (pvL/pvH)</w:t>
            </w:r>
          </w:p>
        </w:tc>
        <w:tc>
          <w:tcPr>
            <w:tcW w:type="dxa" w:w="6426"/>
            <w:tcMar>
              <w:top w:type="dxa" w:w="60"/>
              <w:left w:type="dxa" w:w="100"/>
              <w:bottom w:type="dxa" w:w="60"/>
              <w:right w:type="dxa" w:w="100"/>
            </w:tcMar>
          </w:tcPr>
          <w:p>
            <w:r>
              <w:rPr>
                <w:b w:val="false"/>
                <w:bCs w:val="false"/>
                <w:color w:val="000000"/>
                <w:sz w:val="20"/>
                <w:szCs w:val="20"/>
              </w:rPr>
              <w:t xml:space="preserve">Đáy: Low thấp nhất trong 20 nến trái + 5 nến phải (Confirm Bars). Đỉnh: đối xứng. Là “xương sống” xác định cấu trúc thị trường của mã.</w:t>
            </w:r>
          </w:p>
        </w:tc>
      </w:tr>
      <w:tr>
        <w:tc>
          <w:tcPr>
            <w:tcW w:type="dxa" w:w="2600"/>
            <w:tcMar>
              <w:top w:type="dxa" w:w="60"/>
              <w:left w:type="dxa" w:w="100"/>
              <w:bottom w:type="dxa" w:w="60"/>
              <w:right w:type="dxa" w:w="100"/>
            </w:tcMar>
          </w:tcPr>
          <w:p>
            <w:r>
              <w:rPr>
                <w:b w:val="false"/>
                <w:bCs w:val="false"/>
                <w:color w:val="000000"/>
                <w:sz w:val="20"/>
                <w:szCs w:val="20"/>
              </w:rPr>
              <w:t xml:space="preserve">Tín hiệu Mua (mũi tên xanh)</w:t>
            </w:r>
          </w:p>
        </w:tc>
        <w:tc>
          <w:tcPr>
            <w:tcW w:type="dxa" w:w="6426"/>
            <w:tcMar>
              <w:top w:type="dxa" w:w="60"/>
              <w:left w:type="dxa" w:w="100"/>
              <w:bottom w:type="dxa" w:w="60"/>
              <w:right w:type="dxa" w:w="100"/>
            </w:tcMar>
          </w:tcPr>
          <w:p>
            <w:r>
              <w:rPr>
                <w:b w:val="false"/>
                <w:bCs w:val="false"/>
                <w:color w:val="000000"/>
                <w:sz w:val="20"/>
                <w:szCs w:val="20"/>
              </w:rPr>
              <w:t xml:space="preserve">Nến ĐẦU TIÊN sau khi đáy được xác nhận mà đạt đủ 3 bộ lọc: giá trên MA(100), khối lượng ≥ 1.2 × MA(V,20), giá đóng cửa vượt High của nến đáy.</w:t>
            </w:r>
          </w:p>
        </w:tc>
      </w:tr>
      <w:tr>
        <w:tc>
          <w:tcPr>
            <w:tcW w:type="dxa" w:w="2600"/>
            <w:tcMar>
              <w:top w:type="dxa" w:w="60"/>
              <w:left w:type="dxa" w:w="100"/>
              <w:bottom w:type="dxa" w:w="60"/>
              <w:right w:type="dxa" w:w="100"/>
            </w:tcMar>
          </w:tcPr>
          <w:p>
            <w:r>
              <w:rPr>
                <w:b w:val="false"/>
                <w:bCs w:val="false"/>
                <w:color w:val="000000"/>
                <w:sz w:val="20"/>
                <w:szCs w:val="20"/>
              </w:rPr>
              <w:t xml:space="preserve">Tín hiệu Bán (mũi tên đỏ)</w:t>
            </w:r>
          </w:p>
        </w:tc>
        <w:tc>
          <w:tcPr>
            <w:tcW w:type="dxa" w:w="6426"/>
            <w:tcMar>
              <w:top w:type="dxa" w:w="60"/>
              <w:left w:type="dxa" w:w="100"/>
              <w:bottom w:type="dxa" w:w="60"/>
              <w:right w:type="dxa" w:w="100"/>
            </w:tcMar>
          </w:tcPr>
          <w:p>
            <w:r>
              <w:rPr>
                <w:b w:val="false"/>
                <w:bCs w:val="false"/>
                <w:color w:val="000000"/>
                <w:sz w:val="20"/>
                <w:szCs w:val="20"/>
              </w:rPr>
              <w:t xml:space="preserve">Đỉnh được xác nhận VÀ giá đóng cửa thủng Low của nến đỉnh → tín hiệu thoát vị thế (thị trường Việt Nam chưa bán khống, Sell chỉ dùng để thoát).</w:t>
            </w:r>
          </w:p>
        </w:tc>
      </w:tr>
      <w:tr>
        <w:tc>
          <w:tcPr>
            <w:tcW w:type="dxa" w:w="2600"/>
            <w:tcMar>
              <w:top w:type="dxa" w:w="60"/>
              <w:left w:type="dxa" w:w="100"/>
              <w:bottom w:type="dxa" w:w="60"/>
              <w:right w:type="dxa" w:w="100"/>
            </w:tcMar>
          </w:tcPr>
          <w:p>
            <w:r>
              <w:rPr>
                <w:b w:val="false"/>
                <w:bCs w:val="false"/>
                <w:color w:val="000000"/>
                <w:sz w:val="20"/>
                <w:szCs w:val="20"/>
              </w:rPr>
              <w:t xml:space="preserve">S1–S6 / R1–R6</w:t>
            </w:r>
          </w:p>
        </w:tc>
        <w:tc>
          <w:tcPr>
            <w:tcW w:type="dxa" w:w="6426"/>
            <w:tcMar>
              <w:top w:type="dxa" w:w="60"/>
              <w:left w:type="dxa" w:w="100"/>
              <w:bottom w:type="dxa" w:w="60"/>
              <w:right w:type="dxa" w:w="100"/>
            </w:tcMar>
          </w:tcPr>
          <w:p>
            <w:r>
              <w:rPr>
                <w:b w:val="false"/>
                <w:bCs w:val="false"/>
                <w:color w:val="000000"/>
                <w:sz w:val="20"/>
                <w:szCs w:val="20"/>
              </w:rPr>
              <w:t xml:space="preserve">6 mức hỗ trợ (đáy đã xác nhận) và 6 mức kháng cự (đỉnh đã xác nhận) gần nhất – dùng để tính mục tiêu chốt lời và đánh giá tỷ lệ Lời:Lỗ.</w:t>
            </w:r>
          </w:p>
        </w:tc>
      </w:tr>
      <w:tr>
        <w:tc>
          <w:tcPr>
            <w:tcW w:type="dxa" w:w="2600"/>
            <w:tcMar>
              <w:top w:type="dxa" w:w="60"/>
              <w:left w:type="dxa" w:w="100"/>
              <w:bottom w:type="dxa" w:w="60"/>
              <w:right w:type="dxa" w:w="100"/>
            </w:tcMar>
          </w:tcPr>
          <w:p>
            <w:r>
              <w:rPr>
                <w:b w:val="false"/>
                <w:bCs w:val="false"/>
                <w:color w:val="000000"/>
                <w:sz w:val="20"/>
                <w:szCs w:val="20"/>
              </w:rPr>
              <w:t xml:space="preserve">Exploration</w:t>
            </w:r>
          </w:p>
        </w:tc>
        <w:tc>
          <w:tcPr>
            <w:tcW w:type="dxa" w:w="6426"/>
            <w:tcMar>
              <w:top w:type="dxa" w:w="60"/>
              <w:left w:type="dxa" w:w="100"/>
              <w:bottom w:type="dxa" w:w="60"/>
              <w:right w:type="dxa" w:w="100"/>
            </w:tcMar>
          </w:tcPr>
          <w:p>
            <w:r>
              <w:rPr>
                <w:b w:val="false"/>
                <w:bCs w:val="false"/>
                <w:color w:val="000000"/>
                <w:sz w:val="20"/>
                <w:szCs w:val="20"/>
              </w:rPr>
              <w:t xml:space="preserve">Bảng quét toàn thị trường cuối phiên: lọc mã thanh khoản &gt; 30 tỷ đồng/phiên, hiện cột Mua/Bán, 6 mức S/R, tín hiệu Cắt Lên S / Cắt Xuống R.</w:t>
            </w:r>
          </w:p>
        </w:tc>
      </w:tr>
    </w:tbl>
    <w:p>
      <w:pPr>
        <w:spacing w:after="120"/>
      </w:pPr>
    </w:p>
    <w:p>
      <w:pPr>
        <w:pStyle w:val="Heading1"/>
        <w:spacing w:after="140" w:before="320"/>
      </w:pPr>
      <w:r>
        <w:t xml:space="preserve">3. QUY TRÌNH GIAO DỊCH HẰNG NGÀY (5 BƯỚC)</w:t>
      </w:r>
    </w:p>
    <w:p>
      <w:pPr>
        <w:pStyle w:val="Heading2"/>
        <w:spacing w:after="100" w:before="240"/>
      </w:pPr>
      <w:r>
        <w:t xml:space="preserve">Bước 1 – Quét mã sau giờ đóng cửa</w:t>
      </w:r>
    </w:p>
    <w:p>
      <w:pPr>
        <w:pStyle w:val="ListParagraph"/>
        <w:numPr>
          <w:ilvl w:val="0"/>
          <w:numId w:val="3"/>
        </w:numPr>
        <w:spacing w:after="60"/>
      </w:pPr>
      <w:r>
        <w:t xml:space="preserve">Chạy Exploration (Analysis → Explore, Range = 1 recent bar) trên toàn bộ mã HOSE/HNX.</w:t>
      </w:r>
    </w:p>
    <w:p>
      <w:pPr>
        <w:pStyle w:val="ListParagraph"/>
        <w:numPr>
          <w:ilvl w:val="0"/>
          <w:numId w:val="3"/>
        </w:numPr>
        <w:spacing w:after="60"/>
      </w:pPr>
      <w:r>
        <w:t xml:space="preserve">Lấy danh sách mã có cột </w:t>
      </w:r>
      <w:r>
        <w:rPr>
          <w:b/>
          <w:bCs/>
          <w:color w:val="1E7B1E"/>
        </w:rPr>
        <w:t xml:space="preserve">Mua = 1</w:t>
      </w:r>
      <w:r>
        <w:t xml:space="preserve"> (ứng viên vào lệnh) và rà cột </w:t>
      </w:r>
      <w:r>
        <w:rPr>
          <w:b/>
          <w:bCs/>
          <w:color w:val="B00000"/>
        </w:rPr>
        <w:t xml:space="preserve">Ban = 1</w:t>
      </w:r>
      <w:r>
        <w:t xml:space="preserve"> với các mã đang nắm giữ (ứng viên thoát).</w:t>
      </w:r>
    </w:p>
    <w:p>
      <w:pPr>
        <w:pStyle w:val="ListParagraph"/>
        <w:numPr>
          <w:ilvl w:val="0"/>
          <w:numId w:val="3"/>
        </w:numPr>
        <w:spacing w:after="60"/>
      </w:pPr>
      <w:r>
        <w:t xml:space="preserve">Cột “Cat Len S1–S3” dùng để theo dõi thêm mã hồi phục về vùng hỗ trợ; KHÔNG phải tín hiệu mua độc lập.</w:t>
      </w:r>
    </w:p>
    <w:p>
      <w:pPr>
        <w:pStyle w:val="Heading2"/>
        <w:spacing w:after="100" w:before="240"/>
      </w:pPr>
      <w:r>
        <w:t xml:space="preserve">Bước 2 – Kiểm tra đồ thị từng ứng viên</w:t>
      </w:r>
    </w:p>
    <w:p>
      <w:pPr>
        <w:pStyle w:val="ListParagraph"/>
        <w:numPr>
          <w:ilvl w:val="0"/>
          <w:numId w:val="3"/>
        </w:numPr>
        <w:spacing w:after="60"/>
      </w:pPr>
      <w:r>
        <w:t xml:space="preserve">Mở chart, nhìn tổng thể: đáy vừa xác nhận có nằm trong xu hướng tăng/đi ngang không? Giá có đang trên MA(100) dốc lên không?</w:t>
      </w:r>
    </w:p>
    <w:p>
      <w:pPr>
        <w:pStyle w:val="ListParagraph"/>
        <w:numPr>
          <w:ilvl w:val="0"/>
          <w:numId w:val="3"/>
        </w:numPr>
        <w:spacing w:after="60"/>
      </w:pPr>
      <w:r>
        <w:t xml:space="preserve">Vị trí so với kháng cự: khoảng trống từ giá hiện tại lên R1 còn đủ rộng không? Nếu giá đã sát ngay dưới R1 → bỏ qua hoặc chờ vượt R1.</w:t>
      </w:r>
    </w:p>
    <w:p>
      <w:pPr>
        <w:pStyle w:val="ListParagraph"/>
        <w:numPr>
          <w:ilvl w:val="0"/>
          <w:numId w:val="3"/>
        </w:numPr>
        <w:spacing w:after="60"/>
      </w:pPr>
      <w:r>
        <w:t xml:space="preserve">Bối cảnh thị trường chung: VN-Index đang trên MA(50) hoặc ít nhất không trong nhịp giảm mạnh. Thị trường xấu → giảm size hoặc đứng ngoài.</w:t>
      </w:r>
    </w:p>
    <w:p>
      <w:pPr>
        <w:pStyle w:val="Heading2"/>
        <w:spacing w:after="100" w:before="240"/>
      </w:pPr>
      <w:r>
        <w:t xml:space="preserve">Bước 3 – Tính tỷ lệ Lời:Lỗ (R:R) và khối lượng mua</w:t>
      </w:r>
    </w:p>
    <w:p>
      <w:pPr>
        <w:pStyle w:val="ListParagraph"/>
        <w:numPr>
          <w:ilvl w:val="0"/>
          <w:numId w:val="3"/>
        </w:numPr>
        <w:spacing w:after="60"/>
      </w:pPr>
      <w:r>
        <w:rPr>
          <w:b/>
          <w:bCs/>
        </w:rPr>
        <w:t xml:space="preserve">Điểm cắt lỗ (SL): </w:t>
      </w:r>
      <w:r>
        <w:t xml:space="preserve">dưới đáy vừa xác nhận (đường cam trên chart) khoảng 1–2%.</w:t>
      </w:r>
    </w:p>
    <w:p>
      <w:pPr>
        <w:pStyle w:val="ListParagraph"/>
        <w:numPr>
          <w:ilvl w:val="0"/>
          <w:numId w:val="3"/>
        </w:numPr>
        <w:spacing w:after="60"/>
      </w:pPr>
      <w:r>
        <w:rPr>
          <w:b/>
          <w:bCs/>
        </w:rPr>
        <w:t xml:space="preserve">Mục tiêu (TP): </w:t>
      </w:r>
      <w:r>
        <w:t xml:space="preserve">kháng cự R1 (chốt một phần) và R2 (phần còn lại).</w:t>
      </w:r>
    </w:p>
    <w:p>
      <w:pPr>
        <w:pStyle w:val="ListParagraph"/>
        <w:numPr>
          <w:ilvl w:val="0"/>
          <w:numId w:val="3"/>
        </w:numPr>
        <w:spacing w:after="60"/>
      </w:pPr>
      <w:r>
        <w:rPr>
          <w:b/>
          <w:bCs/>
        </w:rPr>
        <w:t xml:space="preserve">Chỉ vào lệnh khi R:R ≥ 1.5</w:t>
      </w:r>
      <w:r>
        <w:t xml:space="preserve"> – tức (TP − Giá mua) ≥ 1.5 × (Giá mua − SL). Không đạt → bỏ, chờ mã khác.</w:t>
      </w:r>
    </w:p>
    <w:p>
      <w:pPr>
        <w:shd w:fill="F2F2F2" w:val="clear"/>
        <w:spacing w:after="20"/>
      </w:pPr>
      <w:r>
        <w:rPr>
          <w:rFonts w:ascii="Consolas" w:cs="Consolas" w:eastAsia="Consolas" w:hAnsi="Consolas"/>
          <w:sz w:val="18"/>
          <w:szCs w:val="18"/>
        </w:rPr>
        <w:t xml:space="preserve">So co phieu mua = (NAV x 1%) / (Gia mua - Gia cat lo), lam tron xuong lo 100</w:t>
      </w:r>
    </w:p>
    <w:p>
      <w:pPr>
        <w:shd w:fill="F2F2F2" w:val="clear"/>
        <w:spacing w:after="20"/>
      </w:pPr>
      <w:r>
        <w:rPr>
          <w:rFonts w:ascii="Consolas" w:cs="Consolas" w:eastAsia="Consolas" w:hAnsi="Consolas"/>
          <w:sz w:val="18"/>
          <w:szCs w:val="18"/>
        </w:rPr>
        <w:t xml:space="preserve">Vi du: NAV 500tr, rui ro 1% = 5tr; mua 40.0, SL 37.5 (risk 2.5)</w:t>
      </w:r>
    </w:p>
    <w:p>
      <w:pPr>
        <w:shd w:fill="F2F2F2" w:val="clear"/>
        <w:spacing w:after="140"/>
      </w:pPr>
      <w:r>
        <w:rPr>
          <w:rFonts w:ascii="Consolas" w:cs="Consolas" w:eastAsia="Consolas" w:hAnsi="Consolas"/>
          <w:sz w:val="18"/>
          <w:szCs w:val="18"/>
        </w:rPr>
        <w:t xml:space="preserve">       =&gt; 5.000.000 / 2.500 = 2.000 co phieu (20 lo)</w:t>
      </w:r>
    </w:p>
    <w:p>
      <w:pPr>
        <w:pStyle w:val="Heading2"/>
        <w:spacing w:after="100" w:before="240"/>
      </w:pPr>
      <w:r>
        <w:t xml:space="preserve">Bước 4 – Đặt lệnh</w:t>
      </w:r>
    </w:p>
    <w:p>
      <w:pPr>
        <w:pStyle w:val="ListParagraph"/>
        <w:numPr>
          <w:ilvl w:val="0"/>
          <w:numId w:val="3"/>
        </w:numPr>
        <w:spacing w:after="60"/>
      </w:pPr>
      <w:r>
        <w:t xml:space="preserve">Đặt lệnh LO phiên kế tiếp quanh giá đóng cửa của nến tín hiệu (± 1%). KHÔNG mua đuổi nếu giá đã tăng quá 3% so với giá tín hiệu – chờ nhịp chỉnh về hoặc bỏ.</w:t>
      </w:r>
    </w:p>
    <w:p>
      <w:pPr>
        <w:pStyle w:val="ListParagraph"/>
        <w:numPr>
          <w:ilvl w:val="0"/>
          <w:numId w:val="3"/>
        </w:numPr>
        <w:spacing w:after="60"/>
      </w:pPr>
      <w:r>
        <w:t xml:space="preserve">Không dùng lệnh MP/ATO cho mã thanh khoản trung bình để tránh trượt giá.</w:t>
      </w:r>
    </w:p>
    <w:p>
      <w:pPr>
        <w:pStyle w:val="Heading2"/>
        <w:spacing w:after="100" w:before="240"/>
      </w:pPr>
      <w:r>
        <w:t xml:space="preserve">Bước 5 – Quản trị vị thế sau khi khớp</w:t>
      </w:r>
    </w:p>
    <w:p>
      <w:pPr>
        <w:pStyle w:val="ListParagraph"/>
        <w:numPr>
          <w:ilvl w:val="0"/>
          <w:numId w:val="3"/>
        </w:numPr>
        <w:spacing w:after="60"/>
      </w:pPr>
      <w:r>
        <w:t xml:space="preserve">Ghi ngay vào nhật ký: lý do mua, SL, TP, khối lượng. Lưu ý T+2: 2 phiên sau hàng mới về – trong 2 phiên đó không thể bán, đây là rủi ro phải chấp nhận trước khi mua.</w:t>
      </w:r>
    </w:p>
    <w:p>
      <w:pPr>
        <w:pStyle w:val="ListParagraph"/>
        <w:numPr>
          <w:ilvl w:val="0"/>
          <w:numId w:val="3"/>
        </w:numPr>
        <w:spacing w:after="60"/>
      </w:pPr>
      <w:r>
        <w:t xml:space="preserve">Mỗi cuối phiên cập nhật: có tín hiệu Bán chưa? có pivot đáy mới cao hơn để nâng SL không?</w:t>
      </w:r>
    </w:p>
    <w:p>
      <w:pPr>
        <w:pStyle w:val="Heading1"/>
        <w:spacing w:after="140" w:before="320"/>
      </w:pPr>
      <w:r>
        <w:t xml:space="preserve">4. ĐIỀU KIỆN VÀO LỆNH – CHECKLIST BẮT BUỘC</w:t>
      </w:r>
    </w:p>
    <w:p>
      <w:pPr>
        <w:spacing w:after="120"/>
      </w:pPr>
      <w:r>
        <w:rPr>
          <w:b/>
          <w:bCs/>
        </w:rPr>
        <w:t xml:space="preserve">Chỉ đặt lệnh MUA khi trả lời “CÓ” cho TẤT CẢ các mục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300"/>
        <w:gridCol w:w="2126"/>
      </w:tblGrid>
      <w:tr>
        <w:tc>
          <w:tcPr>
            <w:tcW w:type="dxa" w:w="600"/>
            <w:shd w:fill="D9E2F3" w:val="clear"/>
            <w:tcMar>
              <w:top w:type="dxa" w:w="60"/>
              <w:left w:type="dxa" w:w="100"/>
              <w:bottom w:type="dxa" w:w="60"/>
              <w:right w:type="dxa" w:w="100"/>
            </w:tcMar>
          </w:tcPr>
          <w:p>
            <w:pPr>
              <w:jc w:val="center"/>
            </w:pPr>
            <w:r>
              <w:rPr>
                <w:b/>
                <w:bCs/>
                <w:color w:val="000000"/>
                <w:sz w:val="20"/>
                <w:szCs w:val="20"/>
              </w:rPr>
              <w:t xml:space="preserve">#</w:t>
            </w:r>
          </w:p>
        </w:tc>
        <w:tc>
          <w:tcPr>
            <w:tcW w:type="dxa" w:w="6300"/>
            <w:shd w:fill="D9E2F3" w:val="clear"/>
            <w:tcMar>
              <w:top w:type="dxa" w:w="60"/>
              <w:left w:type="dxa" w:w="100"/>
              <w:bottom w:type="dxa" w:w="60"/>
              <w:right w:type="dxa" w:w="100"/>
            </w:tcMar>
          </w:tcPr>
          <w:p>
            <w:r>
              <w:rPr>
                <w:b/>
                <w:bCs/>
                <w:color w:val="000000"/>
                <w:sz w:val="20"/>
                <w:szCs w:val="20"/>
              </w:rPr>
              <w:t xml:space="preserve">Điều kiện</w:t>
            </w:r>
          </w:p>
        </w:tc>
        <w:tc>
          <w:tcPr>
            <w:tcW w:type="dxa" w:w="2126"/>
            <w:shd w:fill="D9E2F3" w:val="clear"/>
            <w:tcMar>
              <w:top w:type="dxa" w:w="60"/>
              <w:left w:type="dxa" w:w="100"/>
              <w:bottom w:type="dxa" w:w="60"/>
              <w:right w:type="dxa" w:w="100"/>
            </w:tcMar>
          </w:tcPr>
          <w:p>
            <w:r>
              <w:rPr>
                <w:b/>
                <w:bCs/>
                <w:color w:val="000000"/>
                <w:sz w:val="20"/>
                <w:szCs w:val="20"/>
              </w:rPr>
              <w:t xml:space="preserve">Nguồn</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1</w:t>
            </w:r>
          </w:p>
        </w:tc>
        <w:tc>
          <w:tcPr>
            <w:tcW w:type="dxa" w:w="6300"/>
            <w:tcMar>
              <w:top w:type="dxa" w:w="60"/>
              <w:left w:type="dxa" w:w="100"/>
              <w:bottom w:type="dxa" w:w="60"/>
              <w:right w:type="dxa" w:w="100"/>
            </w:tcMar>
          </w:tcPr>
          <w:p>
            <w:r>
              <w:rPr>
                <w:b w:val="false"/>
                <w:bCs w:val="false"/>
                <w:color w:val="000000"/>
                <w:sz w:val="20"/>
                <w:szCs w:val="20"/>
              </w:rPr>
              <w:t xml:space="preserve">Hệ thống báo Mua = 1 (đáy xác nhận + đủ 3 bộ lọc xu hướng/khối lượng/giá).</w:t>
            </w:r>
          </w:p>
        </w:tc>
        <w:tc>
          <w:tcPr>
            <w:tcW w:type="dxa" w:w="2126"/>
            <w:tcMar>
              <w:top w:type="dxa" w:w="60"/>
              <w:left w:type="dxa" w:w="100"/>
              <w:bottom w:type="dxa" w:w="60"/>
              <w:right w:type="dxa" w:w="100"/>
            </w:tcMar>
          </w:tcPr>
          <w:p>
            <w:r>
              <w:rPr>
                <w:b w:val="false"/>
                <w:bCs w:val="false"/>
                <w:color w:val="000000"/>
                <w:sz w:val="20"/>
                <w:szCs w:val="20"/>
              </w:rPr>
              <w:t xml:space="preserve">Exploration/Chart</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2</w:t>
            </w:r>
          </w:p>
        </w:tc>
        <w:tc>
          <w:tcPr>
            <w:tcW w:type="dxa" w:w="6300"/>
            <w:tcMar>
              <w:top w:type="dxa" w:w="60"/>
              <w:left w:type="dxa" w:w="100"/>
              <w:bottom w:type="dxa" w:w="60"/>
              <w:right w:type="dxa" w:w="100"/>
            </w:tcMar>
          </w:tcPr>
          <w:p>
            <w:r>
              <w:rPr>
                <w:b w:val="false"/>
                <w:bCs w:val="false"/>
                <w:color w:val="000000"/>
                <w:sz w:val="20"/>
                <w:szCs w:val="20"/>
              </w:rPr>
              <w:t xml:space="preserve">Thanh khoản ≥ 30 tỷ đồng/phiên (tự động qua Filter).</w:t>
            </w:r>
          </w:p>
        </w:tc>
        <w:tc>
          <w:tcPr>
            <w:tcW w:type="dxa" w:w="2126"/>
            <w:tcMar>
              <w:top w:type="dxa" w:w="60"/>
              <w:left w:type="dxa" w:w="100"/>
              <w:bottom w:type="dxa" w:w="60"/>
              <w:right w:type="dxa" w:w="100"/>
            </w:tcMar>
          </w:tcPr>
          <w:p>
            <w:r>
              <w:rPr>
                <w:b w:val="false"/>
                <w:bCs w:val="false"/>
                <w:color w:val="000000"/>
                <w:sz w:val="20"/>
                <w:szCs w:val="20"/>
              </w:rPr>
              <w:t xml:space="preserve">Exploration</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3</w:t>
            </w:r>
          </w:p>
        </w:tc>
        <w:tc>
          <w:tcPr>
            <w:tcW w:type="dxa" w:w="6300"/>
            <w:tcMar>
              <w:top w:type="dxa" w:w="60"/>
              <w:left w:type="dxa" w:w="100"/>
              <w:bottom w:type="dxa" w:w="60"/>
              <w:right w:type="dxa" w:w="100"/>
            </w:tcMar>
          </w:tcPr>
          <w:p>
            <w:r>
              <w:rPr>
                <w:b w:val="false"/>
                <w:bCs w:val="false"/>
                <w:color w:val="000000"/>
                <w:sz w:val="20"/>
                <w:szCs w:val="20"/>
              </w:rPr>
              <w:t xml:space="preserve">VN-Index không trong nhịp giảm mạnh (trên MA50 hoặc vừa tạo đáy xác nhận).</w:t>
            </w:r>
          </w:p>
        </w:tc>
        <w:tc>
          <w:tcPr>
            <w:tcW w:type="dxa" w:w="2126"/>
            <w:tcMar>
              <w:top w:type="dxa" w:w="60"/>
              <w:left w:type="dxa" w:w="100"/>
              <w:bottom w:type="dxa" w:w="60"/>
              <w:right w:type="dxa" w:w="100"/>
            </w:tcMar>
          </w:tcPr>
          <w:p>
            <w:r>
              <w:rPr>
                <w:b w:val="false"/>
                <w:bCs w:val="false"/>
                <w:color w:val="000000"/>
                <w:sz w:val="20"/>
                <w:szCs w:val="20"/>
              </w:rPr>
              <w:t xml:space="preserve">Chart VN-Index</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4</w:t>
            </w:r>
          </w:p>
        </w:tc>
        <w:tc>
          <w:tcPr>
            <w:tcW w:type="dxa" w:w="6300"/>
            <w:tcMar>
              <w:top w:type="dxa" w:w="60"/>
              <w:left w:type="dxa" w:w="100"/>
              <w:bottom w:type="dxa" w:w="60"/>
              <w:right w:type="dxa" w:w="100"/>
            </w:tcMar>
          </w:tcPr>
          <w:p>
            <w:r>
              <w:rPr>
                <w:b w:val="false"/>
                <w:bCs w:val="false"/>
                <w:color w:val="000000"/>
                <w:sz w:val="20"/>
                <w:szCs w:val="20"/>
              </w:rPr>
              <w:t xml:space="preserve">Khoảng cách lên R1 ≥ 1.5 lần khoảng cách xuống điểm cắt lỗ (R:R ≥ 1.5).</w:t>
            </w:r>
          </w:p>
        </w:tc>
        <w:tc>
          <w:tcPr>
            <w:tcW w:type="dxa" w:w="2126"/>
            <w:tcMar>
              <w:top w:type="dxa" w:w="60"/>
              <w:left w:type="dxa" w:w="100"/>
              <w:bottom w:type="dxa" w:w="60"/>
              <w:right w:type="dxa" w:w="100"/>
            </w:tcMar>
          </w:tcPr>
          <w:p>
            <w:r>
              <w:rPr>
                <w:b w:val="false"/>
                <w:bCs w:val="false"/>
                <w:color w:val="000000"/>
                <w:sz w:val="20"/>
                <w:szCs w:val="20"/>
              </w:rPr>
              <w:t xml:space="preserve">Chart S/R</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5</w:t>
            </w:r>
          </w:p>
        </w:tc>
        <w:tc>
          <w:tcPr>
            <w:tcW w:type="dxa" w:w="6300"/>
            <w:tcMar>
              <w:top w:type="dxa" w:w="60"/>
              <w:left w:type="dxa" w:w="100"/>
              <w:bottom w:type="dxa" w:w="60"/>
              <w:right w:type="dxa" w:w="100"/>
            </w:tcMar>
          </w:tcPr>
          <w:p>
            <w:r>
              <w:rPr>
                <w:b w:val="false"/>
                <w:bCs w:val="false"/>
                <w:color w:val="000000"/>
                <w:sz w:val="20"/>
                <w:szCs w:val="20"/>
              </w:rPr>
              <w:t xml:space="preserve">Giá hiện tại chưa vượt quá +3% so với giá đóng cửa nến tín hiệu.</w:t>
            </w:r>
          </w:p>
        </w:tc>
        <w:tc>
          <w:tcPr>
            <w:tcW w:type="dxa" w:w="2126"/>
            <w:tcMar>
              <w:top w:type="dxa" w:w="60"/>
              <w:left w:type="dxa" w:w="100"/>
              <w:bottom w:type="dxa" w:w="60"/>
              <w:right w:type="dxa" w:w="100"/>
            </w:tcMar>
          </w:tcPr>
          <w:p>
            <w:r>
              <w:rPr>
                <w:b w:val="false"/>
                <w:bCs w:val="false"/>
                <w:color w:val="000000"/>
                <w:sz w:val="20"/>
                <w:szCs w:val="20"/>
              </w:rPr>
              <w:t xml:space="preserve">Bảng giá</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6</w:t>
            </w:r>
          </w:p>
        </w:tc>
        <w:tc>
          <w:tcPr>
            <w:tcW w:type="dxa" w:w="6300"/>
            <w:tcMar>
              <w:top w:type="dxa" w:w="60"/>
              <w:left w:type="dxa" w:w="100"/>
              <w:bottom w:type="dxa" w:w="60"/>
              <w:right w:type="dxa" w:w="100"/>
            </w:tcMar>
          </w:tcPr>
          <w:p>
            <w:r>
              <w:rPr>
                <w:b w:val="false"/>
                <w:bCs w:val="false"/>
                <w:color w:val="000000"/>
                <w:sz w:val="20"/>
                <w:szCs w:val="20"/>
              </w:rPr>
              <w:t xml:space="preserve">Khối lượng mua đã tính theo công thức rủi ro 1–2% NAV, làm tròn lô 100.</w:t>
            </w:r>
          </w:p>
        </w:tc>
        <w:tc>
          <w:tcPr>
            <w:tcW w:type="dxa" w:w="2126"/>
            <w:tcMar>
              <w:top w:type="dxa" w:w="60"/>
              <w:left w:type="dxa" w:w="100"/>
              <w:bottom w:type="dxa" w:w="60"/>
              <w:right w:type="dxa" w:w="100"/>
            </w:tcMar>
          </w:tcPr>
          <w:p>
            <w:r>
              <w:rPr>
                <w:b w:val="false"/>
                <w:bCs w:val="false"/>
                <w:color w:val="000000"/>
                <w:sz w:val="20"/>
                <w:szCs w:val="20"/>
              </w:rPr>
              <w:t xml:space="preserve">Công thức mục 3</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7</w:t>
            </w:r>
          </w:p>
        </w:tc>
        <w:tc>
          <w:tcPr>
            <w:tcW w:type="dxa" w:w="6300"/>
            <w:tcMar>
              <w:top w:type="dxa" w:w="60"/>
              <w:left w:type="dxa" w:w="100"/>
              <w:bottom w:type="dxa" w:w="60"/>
              <w:right w:type="dxa" w:w="100"/>
            </w:tcMar>
          </w:tcPr>
          <w:p>
            <w:r>
              <w:rPr>
                <w:b w:val="false"/>
                <w:bCs w:val="false"/>
                <w:color w:val="000000"/>
                <w:sz w:val="20"/>
                <w:szCs w:val="20"/>
              </w:rPr>
              <w:t xml:space="preserve">Tổng số mã đang giữ sau khi mua ≤ 5 và tổng rủi ro mở ≤ 6% NAV.</w:t>
            </w:r>
          </w:p>
        </w:tc>
        <w:tc>
          <w:tcPr>
            <w:tcW w:type="dxa" w:w="2126"/>
            <w:tcMar>
              <w:top w:type="dxa" w:w="60"/>
              <w:left w:type="dxa" w:w="100"/>
              <w:bottom w:type="dxa" w:w="60"/>
              <w:right w:type="dxa" w:w="100"/>
            </w:tcMar>
          </w:tcPr>
          <w:p>
            <w:r>
              <w:rPr>
                <w:b w:val="false"/>
                <w:bCs w:val="false"/>
                <w:color w:val="000000"/>
                <w:sz w:val="20"/>
                <w:szCs w:val="20"/>
              </w:rPr>
              <w:t xml:space="preserve">Sổ quản trị vốn</w:t>
            </w:r>
          </w:p>
        </w:tc>
      </w:tr>
      <w:tr>
        <w:tc>
          <w:tcPr>
            <w:tcW w:type="dxa" w:w="600"/>
            <w:tcMar>
              <w:top w:type="dxa" w:w="60"/>
              <w:left w:type="dxa" w:w="100"/>
              <w:bottom w:type="dxa" w:w="60"/>
              <w:right w:type="dxa" w:w="100"/>
            </w:tcMar>
          </w:tcPr>
          <w:p>
            <w:pPr>
              <w:jc w:val="center"/>
            </w:pPr>
            <w:r>
              <w:rPr>
                <w:b w:val="false"/>
                <w:bCs w:val="false"/>
                <w:color w:val="000000"/>
                <w:sz w:val="20"/>
                <w:szCs w:val="20"/>
              </w:rPr>
              <w:t xml:space="preserve">8</w:t>
            </w:r>
          </w:p>
        </w:tc>
        <w:tc>
          <w:tcPr>
            <w:tcW w:type="dxa" w:w="6300"/>
            <w:tcMar>
              <w:top w:type="dxa" w:w="60"/>
              <w:left w:type="dxa" w:w="100"/>
              <w:bottom w:type="dxa" w:w="60"/>
              <w:right w:type="dxa" w:w="100"/>
            </w:tcMar>
          </w:tcPr>
          <w:p>
            <w:r>
              <w:rPr>
                <w:b w:val="false"/>
                <w:bCs w:val="false"/>
                <w:color w:val="000000"/>
                <w:sz w:val="20"/>
                <w:szCs w:val="20"/>
              </w:rPr>
              <w:t xml:space="preserve">Không có tin tiêu cực trọng yếu về doanh nghiệp (kiểm toán, pháp lý, cổ đông lớn bán).</w:t>
            </w:r>
          </w:p>
        </w:tc>
        <w:tc>
          <w:tcPr>
            <w:tcW w:type="dxa" w:w="2126"/>
            <w:tcMar>
              <w:top w:type="dxa" w:w="60"/>
              <w:left w:type="dxa" w:w="100"/>
              <w:bottom w:type="dxa" w:w="60"/>
              <w:right w:type="dxa" w:w="100"/>
            </w:tcMar>
          </w:tcPr>
          <w:p>
            <w:r>
              <w:rPr>
                <w:b w:val="false"/>
                <w:bCs w:val="false"/>
                <w:color w:val="000000"/>
                <w:sz w:val="20"/>
                <w:szCs w:val="20"/>
              </w:rPr>
              <w:t xml:space="preserve">Tin tức</w:t>
            </w:r>
          </w:p>
        </w:tc>
      </w:tr>
    </w:tbl>
    <w:p>
      <w:pPr>
        <w:spacing w:after="120"/>
      </w:pPr>
    </w:p>
    <w:p>
      <w:pPr>
        <w:pStyle w:val="Heading1"/>
        <w:spacing w:after="140" w:before="320"/>
      </w:pPr>
      <w:r>
        <w:t xml:space="preserve">5. QUẢN TRỊ VỊ THẾ VÀ THOÁT LỆNH</w:t>
      </w:r>
    </w:p>
    <w:p>
      <w:pPr>
        <w:pStyle w:val="Heading2"/>
        <w:spacing w:after="100" w:before="240"/>
      </w:pPr>
      <w:r>
        <w:t xml:space="preserve">5.1. Cắt lỗ (bảo vệ vốn – ưu tiên số 1)</w:t>
      </w:r>
    </w:p>
    <w:p>
      <w:pPr>
        <w:pStyle w:val="ListParagraph"/>
        <w:numPr>
          <w:ilvl w:val="0"/>
          <w:numId w:val="3"/>
        </w:numPr>
        <w:spacing w:after="60"/>
      </w:pPr>
      <w:r>
        <w:rPr>
          <w:b/>
          <w:bCs/>
        </w:rPr>
        <w:t xml:space="preserve">SL ban đầu: </w:t>
      </w:r>
      <w:r>
        <w:t xml:space="preserve">dưới đáy vừa xác nhận 1–2% (đường cam “Day gan nhat (SL)” trên chart). Giá ĐÓNG CỬA thủng mức này → bán toàn bộ phiên kế tiếp, không chờ, không hy vọng.</w:t>
      </w:r>
    </w:p>
    <w:p>
      <w:pPr>
        <w:pStyle w:val="ListParagraph"/>
        <w:numPr>
          <w:ilvl w:val="0"/>
          <w:numId w:val="3"/>
        </w:numPr>
        <w:spacing w:after="60"/>
      </w:pPr>
      <w:r>
        <w:rPr>
          <w:b/>
          <w:bCs/>
          <w:color w:val="B00000"/>
        </w:rPr>
        <w:t xml:space="preserve">Tuyệt đối KHÔNG dời SL xuống thấp hơn. </w:t>
      </w:r>
      <w:r>
        <w:t xml:space="preserve">SL chỉ được phép nâng lên.</w:t>
      </w:r>
    </w:p>
    <w:p>
      <w:pPr>
        <w:pStyle w:val="ListParagraph"/>
        <w:numPr>
          <w:ilvl w:val="0"/>
          <w:numId w:val="3"/>
        </w:numPr>
        <w:spacing w:after="60"/>
      </w:pPr>
      <w:r>
        <w:t xml:space="preserve">Nâng SL (trailing): mỗi khi hệ thống xác nhận một ĐÁY MỚI CAO HƠN, kéo SL lên dưới đáy mới đó. Lệnh thắng sẽ tự động được bảo vệ lợi nhuận theo cấu trúc.</w:t>
      </w:r>
    </w:p>
    <w:p>
      <w:pPr>
        <w:pStyle w:val="Heading2"/>
        <w:spacing w:after="100" w:before="240"/>
      </w:pPr>
      <w:r>
        <w:t xml:space="preserve">5.2. Chốt lời</w:t>
      </w:r>
    </w:p>
    <w:p>
      <w:pPr>
        <w:pStyle w:val="ListParagraph"/>
        <w:numPr>
          <w:ilvl w:val="0"/>
          <w:numId w:val="3"/>
        </w:numPr>
        <w:spacing w:after="60"/>
      </w:pPr>
      <w:r>
        <w:rPr>
          <w:b/>
          <w:bCs/>
        </w:rPr>
        <w:t xml:space="preserve">Chốt 1/2 vị thế tại kháng cự R1</w:t>
      </w:r>
      <w:r>
        <w:t xml:space="preserve"> (hoặc khi lãi đạt 1.5–2 lần rủi ro ban đầu).</w:t>
      </w:r>
    </w:p>
    <w:p>
      <w:pPr>
        <w:pStyle w:val="ListParagraph"/>
        <w:numPr>
          <w:ilvl w:val="0"/>
          <w:numId w:val="3"/>
        </w:numPr>
        <w:spacing w:after="60"/>
      </w:pPr>
      <w:r>
        <w:t xml:space="preserve">Phần còn lại giữ theo trailing đáy, nhắm R2–R3; nếu giá vượt R1 thuyết phục (nến mạnh + khối lượng), R1 cũ trở thành hỗ trợ mới.</w:t>
      </w:r>
    </w:p>
    <w:p>
      <w:pPr>
        <w:pStyle w:val="Heading2"/>
        <w:spacing w:after="100" w:before="240"/>
      </w:pPr>
      <w:r>
        <w:t xml:space="preserve">5.3. Thoát toàn bộ</w:t>
      </w:r>
    </w:p>
    <w:p>
      <w:pPr>
        <w:pStyle w:val="ListParagraph"/>
        <w:numPr>
          <w:ilvl w:val="0"/>
          <w:numId w:val="3"/>
        </w:numPr>
        <w:spacing w:after="60"/>
      </w:pPr>
      <w:r>
        <w:rPr>
          <w:b/>
          <w:bCs/>
          <w:color w:val="B00000"/>
        </w:rPr>
        <w:t xml:space="preserve">Hệ thống báo Bán = 1 </w:t>
      </w:r>
      <w:r>
        <w:t xml:space="preserve">(đỉnh xác nhận + giá thủng Low nến đỉnh) → thoát toàn bộ phần còn lại.</w:t>
      </w:r>
    </w:p>
    <w:p>
      <w:pPr>
        <w:pStyle w:val="ListParagraph"/>
        <w:numPr>
          <w:ilvl w:val="0"/>
          <w:numId w:val="3"/>
        </w:numPr>
        <w:spacing w:after="60"/>
      </w:pPr>
      <w:r>
        <w:t xml:space="preserve">Hoặc giá đóng cửa thủng SL/đáy trailing.</w:t>
      </w:r>
    </w:p>
    <w:p>
      <w:pPr>
        <w:pStyle w:val="ListParagraph"/>
        <w:numPr>
          <w:ilvl w:val="0"/>
          <w:numId w:val="3"/>
        </w:numPr>
        <w:spacing w:after="60"/>
      </w:pPr>
      <w:r>
        <w:t xml:space="preserve">Time-stop: sau 15 phiên mà giá vẫn lình xình dưới giá mua (không tiến triển, không thủng SL) → thoát, giải phóng vốn cho cơ hội khác.</w:t>
      </w:r>
    </w:p>
    <w:p>
      <w:pPr>
        <w:pStyle w:val="Heading1"/>
        <w:spacing w:after="140" w:before="320"/>
      </w:pPr>
      <w:r>
        <w:t xml:space="preserve">6. QUẢN TRỊ VỐN VÀ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shd w:fill="D9E2F3" w:val="clear"/>
            <w:tcMar>
              <w:top w:type="dxa" w:w="60"/>
              <w:left w:type="dxa" w:w="100"/>
              <w:bottom w:type="dxa" w:w="60"/>
              <w:right w:type="dxa" w:w="100"/>
            </w:tcMar>
          </w:tcPr>
          <w:p>
            <w:r>
              <w:rPr>
                <w:b/>
                <w:bCs/>
                <w:color w:val="000000"/>
                <w:sz w:val="20"/>
                <w:szCs w:val="20"/>
              </w:rPr>
              <w:t xml:space="preserve">Quy tắc</w:t>
            </w:r>
          </w:p>
        </w:tc>
        <w:tc>
          <w:tcPr>
            <w:tcW w:type="dxa" w:w="4826"/>
            <w:shd w:fill="D9E2F3" w:val="clear"/>
            <w:tcMar>
              <w:top w:type="dxa" w:w="60"/>
              <w:left w:type="dxa" w:w="100"/>
              <w:bottom w:type="dxa" w:w="60"/>
              <w:right w:type="dxa" w:w="100"/>
            </w:tcMar>
          </w:tcPr>
          <w:p>
            <w:r>
              <w:rPr>
                <w:b/>
                <w:bCs/>
                <w:color w:val="000000"/>
                <w:sz w:val="20"/>
                <w:szCs w:val="20"/>
              </w:rPr>
              <w:t xml:space="preserve">Mức áp dụng</w:t>
            </w:r>
          </w:p>
        </w:tc>
      </w:tr>
      <w:tr>
        <w:tc>
          <w:tcPr>
            <w:tcW w:type="dxa" w:w="4200"/>
            <w:tcMar>
              <w:top w:type="dxa" w:w="60"/>
              <w:left w:type="dxa" w:w="100"/>
              <w:bottom w:type="dxa" w:w="60"/>
              <w:right w:type="dxa" w:w="100"/>
            </w:tcMar>
          </w:tcPr>
          <w:p>
            <w:r>
              <w:rPr>
                <w:b w:val="false"/>
                <w:bCs w:val="false"/>
                <w:color w:val="000000"/>
                <w:sz w:val="20"/>
                <w:szCs w:val="20"/>
              </w:rPr>
              <w:t xml:space="preserve">Rủi ro tối đa mỗi lệnh</w:t>
            </w:r>
          </w:p>
        </w:tc>
        <w:tc>
          <w:tcPr>
            <w:tcW w:type="dxa" w:w="4826"/>
            <w:tcMar>
              <w:top w:type="dxa" w:w="60"/>
              <w:left w:type="dxa" w:w="100"/>
              <w:bottom w:type="dxa" w:w="60"/>
              <w:right w:type="dxa" w:w="100"/>
            </w:tcMar>
          </w:tcPr>
          <w:p>
            <w:r>
              <w:rPr>
                <w:b w:val="false"/>
                <w:bCs w:val="false"/>
                <w:color w:val="000000"/>
                <w:sz w:val="20"/>
                <w:szCs w:val="20"/>
              </w:rPr>
              <w:t xml:space="preserve">1% NAV (người mới) – 2% NAV (đã có thống kê lời ổn định).</w:t>
            </w:r>
          </w:p>
        </w:tc>
      </w:tr>
      <w:tr>
        <w:tc>
          <w:tcPr>
            <w:tcW w:type="dxa" w:w="4200"/>
            <w:tcMar>
              <w:top w:type="dxa" w:w="60"/>
              <w:left w:type="dxa" w:w="100"/>
              <w:bottom w:type="dxa" w:w="60"/>
              <w:right w:type="dxa" w:w="100"/>
            </w:tcMar>
          </w:tcPr>
          <w:p>
            <w:r>
              <w:rPr>
                <w:b w:val="false"/>
                <w:bCs w:val="false"/>
                <w:color w:val="000000"/>
                <w:sz w:val="20"/>
                <w:szCs w:val="20"/>
              </w:rPr>
              <w:t xml:space="preserve">Số mã nắm giữ đồng thời</w:t>
            </w:r>
          </w:p>
        </w:tc>
        <w:tc>
          <w:tcPr>
            <w:tcW w:type="dxa" w:w="4826"/>
            <w:tcMar>
              <w:top w:type="dxa" w:w="60"/>
              <w:left w:type="dxa" w:w="100"/>
              <w:bottom w:type="dxa" w:w="60"/>
              <w:right w:type="dxa" w:w="100"/>
            </w:tcMar>
          </w:tcPr>
          <w:p>
            <w:r>
              <w:rPr>
                <w:b w:val="false"/>
                <w:bCs w:val="false"/>
                <w:color w:val="000000"/>
                <w:sz w:val="20"/>
                <w:szCs w:val="20"/>
              </w:rPr>
              <w:t xml:space="preserve">Tối đa 3–5 mã; không dồn quá 30% NAV vào một mã.</w:t>
            </w:r>
          </w:p>
        </w:tc>
      </w:tr>
      <w:tr>
        <w:tc>
          <w:tcPr>
            <w:tcW w:type="dxa" w:w="4200"/>
            <w:tcMar>
              <w:top w:type="dxa" w:w="60"/>
              <w:left w:type="dxa" w:w="100"/>
              <w:bottom w:type="dxa" w:w="60"/>
              <w:right w:type="dxa" w:w="100"/>
            </w:tcMar>
          </w:tcPr>
          <w:p>
            <w:r>
              <w:rPr>
                <w:b w:val="false"/>
                <w:bCs w:val="false"/>
                <w:color w:val="000000"/>
                <w:sz w:val="20"/>
                <w:szCs w:val="20"/>
              </w:rPr>
              <w:t xml:space="preserve">Tổng rủi ro mở (tổng các SL)</w:t>
            </w:r>
          </w:p>
        </w:tc>
        <w:tc>
          <w:tcPr>
            <w:tcW w:type="dxa" w:w="4826"/>
            <w:tcMar>
              <w:top w:type="dxa" w:w="60"/>
              <w:left w:type="dxa" w:w="100"/>
              <w:bottom w:type="dxa" w:w="60"/>
              <w:right w:type="dxa" w:w="100"/>
            </w:tcMar>
          </w:tcPr>
          <w:p>
            <w:r>
              <w:rPr>
                <w:b w:val="false"/>
                <w:bCs w:val="false"/>
                <w:color w:val="000000"/>
                <w:sz w:val="20"/>
                <w:szCs w:val="20"/>
              </w:rPr>
              <w:t xml:space="preserve">≤ 6% NAV. Chạm ngưỡng → không mở thêm lệnh mới.</w:t>
            </w:r>
          </w:p>
        </w:tc>
      </w:tr>
      <w:tr>
        <w:tc>
          <w:tcPr>
            <w:tcW w:type="dxa" w:w="4200"/>
            <w:tcMar>
              <w:top w:type="dxa" w:w="60"/>
              <w:left w:type="dxa" w:w="100"/>
              <w:bottom w:type="dxa" w:w="60"/>
              <w:right w:type="dxa" w:w="100"/>
            </w:tcMar>
          </w:tcPr>
          <w:p>
            <w:r>
              <w:rPr>
                <w:b w:val="false"/>
                <w:bCs w:val="false"/>
                <w:color w:val="000000"/>
                <w:sz w:val="20"/>
                <w:szCs w:val="20"/>
              </w:rPr>
              <w:t xml:space="preserve">Margin</w:t>
            </w:r>
          </w:p>
        </w:tc>
        <w:tc>
          <w:tcPr>
            <w:tcW w:type="dxa" w:w="4826"/>
            <w:tcMar>
              <w:top w:type="dxa" w:w="60"/>
              <w:left w:type="dxa" w:w="100"/>
              <w:bottom w:type="dxa" w:w="60"/>
              <w:right w:type="dxa" w:w="100"/>
            </w:tcMar>
          </w:tcPr>
          <w:p>
            <w:r>
              <w:rPr>
                <w:b w:val="false"/>
                <w:bCs w:val="false"/>
                <w:color w:val="000000"/>
                <w:sz w:val="20"/>
                <w:szCs w:val="20"/>
              </w:rPr>
              <w:t xml:space="preserve">KHÔNG dùng trong ít nhất 6 tháng đầu áp dụng hệ thống; sau đó tối đa theo khả năng chịu đựng đã kiểm chứng bằng nhật ký.</w:t>
            </w:r>
          </w:p>
        </w:tc>
      </w:tr>
      <w:tr>
        <w:tc>
          <w:tcPr>
            <w:tcW w:type="dxa" w:w="4200"/>
            <w:tcMar>
              <w:top w:type="dxa" w:w="60"/>
              <w:left w:type="dxa" w:w="100"/>
              <w:bottom w:type="dxa" w:w="60"/>
              <w:right w:type="dxa" w:w="100"/>
            </w:tcMar>
          </w:tcPr>
          <w:p>
            <w:r>
              <w:rPr>
                <w:b w:val="false"/>
                <w:bCs w:val="false"/>
                <w:color w:val="000000"/>
                <w:sz w:val="20"/>
                <w:szCs w:val="20"/>
              </w:rPr>
              <w:t xml:space="preserve">Bình quân giá xuống</w:t>
            </w:r>
          </w:p>
        </w:tc>
        <w:tc>
          <w:tcPr>
            <w:tcW w:type="dxa" w:w="4826"/>
            <w:tcMar>
              <w:top w:type="dxa" w:w="60"/>
              <w:left w:type="dxa" w:w="100"/>
              <w:bottom w:type="dxa" w:w="60"/>
              <w:right w:type="dxa" w:w="100"/>
            </w:tcMar>
          </w:tcPr>
          <w:p>
            <w:r>
              <w:rPr>
                <w:b w:val="false"/>
                <w:bCs w:val="false"/>
                <w:color w:val="000000"/>
                <w:sz w:val="20"/>
                <w:szCs w:val="20"/>
              </w:rPr>
              <w:t xml:space="preserve">CẤM. Mua thêm chỉ khi có tín hiệu Mua mới (đáy mới cao hơn) và tính như một lệnh độc lập.</w:t>
            </w:r>
          </w:p>
        </w:tc>
      </w:tr>
      <w:tr>
        <w:tc>
          <w:tcPr>
            <w:tcW w:type="dxa" w:w="4200"/>
            <w:tcMar>
              <w:top w:type="dxa" w:w="60"/>
              <w:left w:type="dxa" w:w="100"/>
              <w:bottom w:type="dxa" w:w="60"/>
              <w:right w:type="dxa" w:w="100"/>
            </w:tcMar>
          </w:tcPr>
          <w:p>
            <w:r>
              <w:rPr>
                <w:b w:val="false"/>
                <w:bCs w:val="false"/>
                <w:color w:val="000000"/>
                <w:sz w:val="20"/>
                <w:szCs w:val="20"/>
              </w:rPr>
              <w:t xml:space="preserve">Chuỗi thua</w:t>
            </w:r>
          </w:p>
        </w:tc>
        <w:tc>
          <w:tcPr>
            <w:tcW w:type="dxa" w:w="4826"/>
            <w:tcMar>
              <w:top w:type="dxa" w:w="60"/>
              <w:left w:type="dxa" w:w="100"/>
              <w:bottom w:type="dxa" w:w="60"/>
              <w:right w:type="dxa" w:w="100"/>
            </w:tcMar>
          </w:tcPr>
          <w:p>
            <w:r>
              <w:rPr>
                <w:b w:val="false"/>
                <w:bCs w:val="false"/>
                <w:color w:val="000000"/>
                <w:sz w:val="20"/>
                <w:szCs w:val="20"/>
              </w:rPr>
              <w:t xml:space="preserve">Thua 3 lệnh liên tiếp → giảm 1/2 size; thua 5 lệnh liên tiếp hoặc âm 6% NAV trong tháng → dừng giao dịch, xem lại nhật ký và thị trường chung.</w:t>
            </w:r>
          </w:p>
        </w:tc>
      </w:tr>
      <w:tr>
        <w:tc>
          <w:tcPr>
            <w:tcW w:type="dxa" w:w="4200"/>
            <w:tcMar>
              <w:top w:type="dxa" w:w="60"/>
              <w:left w:type="dxa" w:w="100"/>
              <w:bottom w:type="dxa" w:w="60"/>
              <w:right w:type="dxa" w:w="100"/>
            </w:tcMar>
          </w:tcPr>
          <w:p>
            <w:r>
              <w:rPr>
                <w:b w:val="false"/>
                <w:bCs w:val="false"/>
                <w:color w:val="000000"/>
                <w:sz w:val="20"/>
                <w:szCs w:val="20"/>
              </w:rPr>
              <w:t xml:space="preserve">Đặc thù Việt Nam (T+2)</w:t>
            </w:r>
          </w:p>
        </w:tc>
        <w:tc>
          <w:tcPr>
            <w:tcW w:type="dxa" w:w="4826"/>
            <w:tcMar>
              <w:top w:type="dxa" w:w="60"/>
              <w:left w:type="dxa" w:w="100"/>
              <w:bottom w:type="dxa" w:w="60"/>
              <w:right w:type="dxa" w:w="100"/>
            </w:tcMar>
          </w:tcPr>
          <w:p>
            <w:r>
              <w:rPr>
                <w:b w:val="false"/>
                <w:bCs w:val="false"/>
                <w:color w:val="000000"/>
                <w:sz w:val="20"/>
                <w:szCs w:val="20"/>
              </w:rPr>
              <w:t xml:space="preserve">Hàng về sau 2 phiên – không mua nếu không chấp nhận 2 phiên không thể bán; tránh mua mã đang có nguy cơ ra tin xấu trong 2 phiên tới; biên độ trần/sàn ±7% (HOSE) khiến SL có thể bị trượt khi mã nằm sàn – hạn chế mã có tiền sử kẹt sàn nhiều phiên.</w:t>
            </w:r>
          </w:p>
        </w:tc>
      </w:tr>
    </w:tbl>
    <w:p>
      <w:pPr>
        <w:spacing w:after="120"/>
      </w:pPr>
    </w:p>
    <w:p>
      <w:pPr>
        <w:pStyle w:val="Heading1"/>
        <w:spacing w:after="140" w:before="320"/>
      </w:pPr>
      <w:r>
        <w:t xml:space="preserve">7. TINH CHỈNH THAM SỐ THEO KIỂU GIAO DỊCH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600"/>
        <w:gridCol w:w="1500"/>
        <w:gridCol w:w="2026"/>
      </w:tblGrid>
      <w:tr>
        <w:tc>
          <w:tcPr>
            <w:tcW w:type="dxa" w:w="2400"/>
            <w:shd w:fill="D9E2F3" w:val="clear"/>
            <w:tcMar>
              <w:top w:type="dxa" w:w="60"/>
              <w:left w:type="dxa" w:w="100"/>
              <w:bottom w:type="dxa" w:w="60"/>
              <w:right w:type="dxa" w:w="100"/>
            </w:tcMar>
          </w:tcPr>
          <w:p>
            <w:r>
              <w:rPr>
                <w:b/>
                <w:bCs/>
                <w:color w:val="000000"/>
                <w:sz w:val="20"/>
                <w:szCs w:val="20"/>
              </w:rPr>
              <w:t xml:space="preserve">Kiểu giao dịch</w:t>
            </w:r>
          </w:p>
        </w:tc>
        <w:tc>
          <w:tcPr>
            <w:tcW w:type="dxa" w:w="1500"/>
            <w:shd w:fill="D9E2F3" w:val="clear"/>
            <w:tcMar>
              <w:top w:type="dxa" w:w="60"/>
              <w:left w:type="dxa" w:w="100"/>
              <w:bottom w:type="dxa" w:w="60"/>
              <w:right w:type="dxa" w:w="100"/>
            </w:tcMar>
          </w:tcPr>
          <w:p>
            <w:r>
              <w:rPr>
                <w:b/>
                <w:bCs/>
                <w:color w:val="000000"/>
                <w:sz w:val="20"/>
                <w:szCs w:val="20"/>
              </w:rPr>
              <w:t xml:space="preserve">Swing Bars</w:t>
            </w:r>
          </w:p>
        </w:tc>
        <w:tc>
          <w:tcPr>
            <w:tcW w:type="dxa" w:w="1600"/>
            <w:shd w:fill="D9E2F3" w:val="clear"/>
            <w:tcMar>
              <w:top w:type="dxa" w:w="60"/>
              <w:left w:type="dxa" w:w="100"/>
              <w:bottom w:type="dxa" w:w="60"/>
              <w:right w:type="dxa" w:w="100"/>
            </w:tcMar>
          </w:tcPr>
          <w:p>
            <w:r>
              <w:rPr>
                <w:b/>
                <w:bCs/>
                <w:color w:val="000000"/>
                <w:sz w:val="20"/>
                <w:szCs w:val="20"/>
              </w:rPr>
              <w:t xml:space="preserve">Confirm Bars</w:t>
            </w:r>
          </w:p>
        </w:tc>
        <w:tc>
          <w:tcPr>
            <w:tcW w:type="dxa" w:w="1500"/>
            <w:shd w:fill="D9E2F3" w:val="clear"/>
            <w:tcMar>
              <w:top w:type="dxa" w:w="60"/>
              <w:left w:type="dxa" w:w="100"/>
              <w:bottom w:type="dxa" w:w="60"/>
              <w:right w:type="dxa" w:w="100"/>
            </w:tcMar>
          </w:tcPr>
          <w:p>
            <w:r>
              <w:rPr>
                <w:b/>
                <w:bCs/>
                <w:color w:val="000000"/>
                <w:sz w:val="20"/>
                <w:szCs w:val="20"/>
              </w:rPr>
              <w:t xml:space="preserve">MA xu hướng</w:t>
            </w:r>
          </w:p>
        </w:tc>
        <w:tc>
          <w:tcPr>
            <w:tcW w:type="dxa" w:w="2026"/>
            <w:shd w:fill="D9E2F3" w:val="clear"/>
            <w:tcMar>
              <w:top w:type="dxa" w:w="60"/>
              <w:left w:type="dxa" w:w="100"/>
              <w:bottom w:type="dxa" w:w="60"/>
              <w:right w:type="dxa" w:w="100"/>
            </w:tcMar>
          </w:tcPr>
          <w:p>
            <w:r>
              <w:rPr>
                <w:b/>
                <w:bCs/>
                <w:color w:val="000000"/>
                <w:sz w:val="20"/>
                <w:szCs w:val="20"/>
              </w:rPr>
              <w:t xml:space="preserve">Chu kỳ nắm giữ</w:t>
            </w:r>
          </w:p>
        </w:tc>
      </w:tr>
      <w:tr>
        <w:tc>
          <w:tcPr>
            <w:tcW w:type="dxa" w:w="2400"/>
            <w:tcMar>
              <w:top w:type="dxa" w:w="60"/>
              <w:left w:type="dxa" w:w="100"/>
              <w:bottom w:type="dxa" w:w="60"/>
              <w:right w:type="dxa" w:w="100"/>
            </w:tcMar>
          </w:tcPr>
          <w:p>
            <w:r>
              <w:rPr>
                <w:b w:val="false"/>
                <w:bCs w:val="false"/>
                <w:color w:val="000000"/>
                <w:sz w:val="20"/>
                <w:szCs w:val="20"/>
              </w:rPr>
              <w:t xml:space="preserve">Swing ngắn</w:t>
            </w:r>
          </w:p>
        </w:tc>
        <w:tc>
          <w:tcPr>
            <w:tcW w:type="dxa" w:w="1500"/>
            <w:tcMar>
              <w:top w:type="dxa" w:w="60"/>
              <w:left w:type="dxa" w:w="100"/>
              <w:bottom w:type="dxa" w:w="60"/>
              <w:right w:type="dxa" w:w="100"/>
            </w:tcMar>
          </w:tcPr>
          <w:p>
            <w:r>
              <w:rPr>
                <w:b w:val="false"/>
                <w:bCs w:val="false"/>
                <w:color w:val="000000"/>
                <w:sz w:val="20"/>
                <w:szCs w:val="20"/>
              </w:rPr>
              <w:t xml:space="preserve">10–15</w:t>
            </w:r>
          </w:p>
        </w:tc>
        <w:tc>
          <w:tcPr>
            <w:tcW w:type="dxa" w:w="1600"/>
            <w:tcMar>
              <w:top w:type="dxa" w:w="60"/>
              <w:left w:type="dxa" w:w="100"/>
              <w:bottom w:type="dxa" w:w="60"/>
              <w:right w:type="dxa" w:w="100"/>
            </w:tcMar>
          </w:tcPr>
          <w:p>
            <w:r>
              <w:rPr>
                <w:b w:val="false"/>
                <w:bCs w:val="false"/>
                <w:color w:val="000000"/>
                <w:sz w:val="20"/>
                <w:szCs w:val="20"/>
              </w:rPr>
              <w:t xml:space="preserve">3</w:t>
            </w:r>
          </w:p>
        </w:tc>
        <w:tc>
          <w:tcPr>
            <w:tcW w:type="dxa" w:w="1500"/>
            <w:tcMar>
              <w:top w:type="dxa" w:w="60"/>
              <w:left w:type="dxa" w:w="100"/>
              <w:bottom w:type="dxa" w:w="60"/>
              <w:right w:type="dxa" w:w="100"/>
            </w:tcMar>
          </w:tcPr>
          <w:p>
            <w:r>
              <w:rPr>
                <w:b w:val="false"/>
                <w:bCs w:val="false"/>
                <w:color w:val="000000"/>
                <w:sz w:val="20"/>
                <w:szCs w:val="20"/>
              </w:rPr>
              <w:t xml:space="preserve">50</w:t>
            </w:r>
          </w:p>
        </w:tc>
        <w:tc>
          <w:tcPr>
            <w:tcW w:type="dxa" w:w="2026"/>
            <w:tcMar>
              <w:top w:type="dxa" w:w="60"/>
              <w:left w:type="dxa" w:w="100"/>
              <w:bottom w:type="dxa" w:w="60"/>
              <w:right w:type="dxa" w:w="100"/>
            </w:tcMar>
          </w:tcPr>
          <w:p>
            <w:r>
              <w:rPr>
                <w:b w:val="false"/>
                <w:bCs w:val="false"/>
                <w:color w:val="000000"/>
                <w:sz w:val="20"/>
                <w:szCs w:val="20"/>
              </w:rPr>
              <w:t xml:space="preserve">1–2 tuần</w:t>
            </w:r>
          </w:p>
        </w:tc>
      </w:tr>
      <w:tr>
        <w:tc>
          <w:tcPr>
            <w:tcW w:type="dxa" w:w="2400"/>
            <w:tcMar>
              <w:top w:type="dxa" w:w="60"/>
              <w:left w:type="dxa" w:w="100"/>
              <w:bottom w:type="dxa" w:w="60"/>
              <w:right w:type="dxa" w:w="100"/>
            </w:tcMar>
          </w:tcPr>
          <w:p>
            <w:r>
              <w:rPr>
                <w:b/>
                <w:bCs/>
                <w:color w:val="000000"/>
                <w:sz w:val="20"/>
                <w:szCs w:val="20"/>
              </w:rPr>
              <w:t xml:space="preserve">Swing chuẩn (mặc định)</w:t>
            </w:r>
          </w:p>
        </w:tc>
        <w:tc>
          <w:tcPr>
            <w:tcW w:type="dxa" w:w="1500"/>
            <w:tcMar>
              <w:top w:type="dxa" w:w="60"/>
              <w:left w:type="dxa" w:w="100"/>
              <w:bottom w:type="dxa" w:w="60"/>
              <w:right w:type="dxa" w:w="100"/>
            </w:tcMar>
          </w:tcPr>
          <w:p>
            <w:r>
              <w:rPr>
                <w:b/>
                <w:bCs/>
                <w:color w:val="000000"/>
                <w:sz w:val="20"/>
                <w:szCs w:val="20"/>
              </w:rPr>
              <w:t xml:space="preserve">20</w:t>
            </w:r>
          </w:p>
        </w:tc>
        <w:tc>
          <w:tcPr>
            <w:tcW w:type="dxa" w:w="1600"/>
            <w:tcMar>
              <w:top w:type="dxa" w:w="60"/>
              <w:left w:type="dxa" w:w="100"/>
              <w:bottom w:type="dxa" w:w="60"/>
              <w:right w:type="dxa" w:w="100"/>
            </w:tcMar>
          </w:tcPr>
          <w:p>
            <w:r>
              <w:rPr>
                <w:b/>
                <w:bCs/>
                <w:color w:val="000000"/>
                <w:sz w:val="20"/>
                <w:szCs w:val="20"/>
              </w:rPr>
              <w:t xml:space="preserve">5</w:t>
            </w:r>
          </w:p>
        </w:tc>
        <w:tc>
          <w:tcPr>
            <w:tcW w:type="dxa" w:w="1500"/>
            <w:tcMar>
              <w:top w:type="dxa" w:w="60"/>
              <w:left w:type="dxa" w:w="100"/>
              <w:bottom w:type="dxa" w:w="60"/>
              <w:right w:type="dxa" w:w="100"/>
            </w:tcMar>
          </w:tcPr>
          <w:p>
            <w:r>
              <w:rPr>
                <w:b/>
                <w:bCs/>
                <w:color w:val="000000"/>
                <w:sz w:val="20"/>
                <w:szCs w:val="20"/>
              </w:rPr>
              <w:t xml:space="preserve">100</w:t>
            </w:r>
          </w:p>
        </w:tc>
        <w:tc>
          <w:tcPr>
            <w:tcW w:type="dxa" w:w="2026"/>
            <w:tcMar>
              <w:top w:type="dxa" w:w="60"/>
              <w:left w:type="dxa" w:w="100"/>
              <w:bottom w:type="dxa" w:w="60"/>
              <w:right w:type="dxa" w:w="100"/>
            </w:tcMar>
          </w:tcPr>
          <w:p>
            <w:r>
              <w:rPr>
                <w:b/>
                <w:bCs/>
                <w:color w:val="000000"/>
                <w:sz w:val="20"/>
                <w:szCs w:val="20"/>
              </w:rPr>
              <w:t xml:space="preserve">2–4 tuần</w:t>
            </w:r>
          </w:p>
        </w:tc>
      </w:tr>
      <w:tr>
        <w:tc>
          <w:tcPr>
            <w:tcW w:type="dxa" w:w="2400"/>
            <w:tcMar>
              <w:top w:type="dxa" w:w="60"/>
              <w:left w:type="dxa" w:w="100"/>
              <w:bottom w:type="dxa" w:w="60"/>
              <w:right w:type="dxa" w:w="100"/>
            </w:tcMar>
          </w:tcPr>
          <w:p>
            <w:r>
              <w:rPr>
                <w:b w:val="false"/>
                <w:bCs w:val="false"/>
                <w:color w:val="000000"/>
                <w:sz w:val="20"/>
                <w:szCs w:val="20"/>
              </w:rPr>
              <w:t xml:space="preserve">Trung hạn</w:t>
            </w:r>
          </w:p>
        </w:tc>
        <w:tc>
          <w:tcPr>
            <w:tcW w:type="dxa" w:w="1500"/>
            <w:tcMar>
              <w:top w:type="dxa" w:w="60"/>
              <w:left w:type="dxa" w:w="100"/>
              <w:bottom w:type="dxa" w:w="60"/>
              <w:right w:type="dxa" w:w="100"/>
            </w:tcMar>
          </w:tcPr>
          <w:p>
            <w:r>
              <w:rPr>
                <w:b w:val="false"/>
                <w:bCs w:val="false"/>
                <w:color w:val="000000"/>
                <w:sz w:val="20"/>
                <w:szCs w:val="20"/>
              </w:rPr>
              <w:t xml:space="preserve">30–50</w:t>
            </w:r>
          </w:p>
        </w:tc>
        <w:tc>
          <w:tcPr>
            <w:tcW w:type="dxa" w:w="1600"/>
            <w:tcMar>
              <w:top w:type="dxa" w:w="60"/>
              <w:left w:type="dxa" w:w="100"/>
              <w:bottom w:type="dxa" w:w="60"/>
              <w:right w:type="dxa" w:w="100"/>
            </w:tcMar>
          </w:tcPr>
          <w:p>
            <w:r>
              <w:rPr>
                <w:b w:val="false"/>
                <w:bCs w:val="false"/>
                <w:color w:val="000000"/>
                <w:sz w:val="20"/>
                <w:szCs w:val="20"/>
              </w:rPr>
              <w:t xml:space="preserve">8–10</w:t>
            </w:r>
          </w:p>
        </w:tc>
        <w:tc>
          <w:tcPr>
            <w:tcW w:type="dxa" w:w="1500"/>
            <w:tcMar>
              <w:top w:type="dxa" w:w="60"/>
              <w:left w:type="dxa" w:w="100"/>
              <w:bottom w:type="dxa" w:w="60"/>
              <w:right w:type="dxa" w:w="100"/>
            </w:tcMar>
          </w:tcPr>
          <w:p>
            <w:r>
              <w:rPr>
                <w:b w:val="false"/>
                <w:bCs w:val="false"/>
                <w:color w:val="000000"/>
                <w:sz w:val="20"/>
                <w:szCs w:val="20"/>
              </w:rPr>
              <w:t xml:space="preserve">200</w:t>
            </w:r>
          </w:p>
        </w:tc>
        <w:tc>
          <w:tcPr>
            <w:tcW w:type="dxa" w:w="2026"/>
            <w:tcMar>
              <w:top w:type="dxa" w:w="60"/>
              <w:left w:type="dxa" w:w="100"/>
              <w:bottom w:type="dxa" w:w="60"/>
              <w:right w:type="dxa" w:w="100"/>
            </w:tcMar>
          </w:tcPr>
          <w:p>
            <w:r>
              <w:rPr>
                <w:b w:val="false"/>
                <w:bCs w:val="false"/>
                <w:color w:val="000000"/>
                <w:sz w:val="20"/>
                <w:szCs w:val="20"/>
              </w:rPr>
              <w:t xml:space="preserve">1–3 tháng</w:t>
            </w:r>
          </w:p>
        </w:tc>
      </w:tr>
    </w:tbl>
    <w:p>
      <w:pPr>
        <w:spacing w:after="120"/>
      </w:pPr>
    </w:p>
    <w:p>
      <w:pPr>
        <w:pStyle w:val="ListParagraph"/>
        <w:numPr>
          <w:ilvl w:val="0"/>
          <w:numId w:val="3"/>
        </w:numPr>
        <w:spacing w:after="60"/>
      </w:pPr>
      <w:r>
        <w:t xml:space="preserve">Confirm Bars là nút chỉnh chính: nhỏ → vào sớm nhưng nhiễu; lớn → chắc nhưng trễ. Đổi tham số phải BACKTEST lại trước khi dùng tiền thật.</w:t>
      </w:r>
    </w:p>
    <w:p>
      <w:pPr>
        <w:pStyle w:val="ListParagraph"/>
        <w:numPr>
          <w:ilvl w:val="0"/>
          <w:numId w:val="3"/>
        </w:numPr>
        <w:spacing w:after="60"/>
      </w:pPr>
      <w:r>
        <w:t xml:space="preserve">Backtest trên rổ ≥ 50 mã thanh khoản, tối thiểu 3 năm dữ liệu, có cả giai đoạn thị trường xấu. Kỳ vọng thực tế của hệ thống swing: tỷ lệ thắng 40–55%, lợi nhuận đến từ việc lệnh thắng lớn hơn lệnh thua (R:R), không phải từ tỷ lệ thắng cao.</w:t>
      </w:r>
    </w:p>
    <w:p>
      <w:pPr>
        <w:pStyle w:val="Heading1"/>
        <w:spacing w:after="140" w:before="320"/>
      </w:pPr>
      <w:r>
        <w:t xml:space="preserve">8. NHỮNG ĐIỀU TUYỆT ĐỐI KHÔNG LÀM</w:t>
      </w:r>
    </w:p>
    <w:p>
      <w:pPr>
        <w:pStyle w:val="ListParagraph"/>
        <w:numPr>
          <w:ilvl w:val="0"/>
          <w:numId w:val="4"/>
        </w:numPr>
        <w:spacing w:after="60"/>
      </w:pPr>
      <w:r>
        <w:t xml:space="preserve">Không đoán đáy trước khi hệ thống xác nhận – kể cả khi “nhìn rất giống đáy”.</w:t>
      </w:r>
    </w:p>
    <w:p>
      <w:pPr>
        <w:pStyle w:val="ListParagraph"/>
        <w:numPr>
          <w:ilvl w:val="0"/>
          <w:numId w:val="4"/>
        </w:numPr>
        <w:spacing w:after="60"/>
      </w:pPr>
      <w:r>
        <w:t xml:space="preserve">Không dời cắt lỗ xuống, không gồng lỗ, không bình quân giá xuống.</w:t>
      </w:r>
    </w:p>
    <w:p>
      <w:pPr>
        <w:pStyle w:val="ListParagraph"/>
        <w:numPr>
          <w:ilvl w:val="0"/>
          <w:numId w:val="4"/>
        </w:numPr>
        <w:spacing w:after="60"/>
      </w:pPr>
      <w:r>
        <w:t xml:space="preserve">Không mua vì tin đồn, phím hàng, hay sợ lỡ sóng (FOMO) khi giá đã chạy quá 3% khỏi điểm tín hiệu.</w:t>
      </w:r>
    </w:p>
    <w:p>
      <w:pPr>
        <w:pStyle w:val="ListParagraph"/>
        <w:numPr>
          <w:ilvl w:val="0"/>
          <w:numId w:val="4"/>
        </w:numPr>
        <w:spacing w:after="60"/>
      </w:pPr>
      <w:r>
        <w:t xml:space="preserve">Không vào lệnh khi thiếu dù chỉ 1 mục trong checklist mục 4.</w:t>
      </w:r>
    </w:p>
    <w:p>
      <w:pPr>
        <w:pStyle w:val="ListParagraph"/>
        <w:numPr>
          <w:ilvl w:val="0"/>
          <w:numId w:val="4"/>
        </w:numPr>
        <w:spacing w:after="60"/>
      </w:pPr>
      <w:r>
        <w:t xml:space="preserve">Không giao dịch khi VN-Index gãy xu hướng mạnh – tiền mặt cũng là một vị thế.</w:t>
      </w:r>
    </w:p>
    <w:p>
      <w:pPr>
        <w:pStyle w:val="ListParagraph"/>
        <w:numPr>
          <w:ilvl w:val="0"/>
          <w:numId w:val="4"/>
        </w:numPr>
        <w:spacing w:after="60"/>
      </w:pPr>
      <w:r>
        <w:t xml:space="preserve">Không đánh giá hệ thống bằng 1–2 lệnh; đánh giá bằng chuỗi ≥ 30 lệnh trong nhật ký.</w:t>
      </w:r>
    </w:p>
    <w:p>
      <w:pPr>
        <w:pStyle w:val="Heading1"/>
        <w:spacing w:after="140" w:before="320"/>
      </w:pPr>
      <w:r>
        <w:t xml:space="preserve">9. NHẬT KÝ GIAO DỊCH VÀ ĐÁNH GIÁ ĐỊNH KỲ</w:t>
      </w:r>
    </w:p>
    <w:p>
      <w:pPr>
        <w:spacing w:after="120"/>
      </w:pPr>
      <w:r>
        <w:t xml:space="preserve">Mỗi lệnh ghi lại: ngày, mã, giá mua, SL, TP, khối lượng, lý do vào (chụp chart), ngày thoát, giá thoát, lý do thoát, lãi/lỗ theo R (số lần rủi ro ban đầu). Cuối mỗi tuần rà: có lệnh nào vi phạm checklist không? Cuối mỗi tháng tính: tỷ lệ thắng, R trung bình lệnh thắng/thua, tổng R. Hệ thống chỉ được tăng size khi tổng R dương qua ít nhất 2 tháng liên tiếp.</w:t>
      </w:r>
    </w:p>
    <w:p>
      <w:pPr>
        <w:pStyle w:val="Heading1"/>
        <w:spacing w:after="140" w:before="320"/>
      </w:pPr>
      <w:r>
        <w:t xml:space="preserve">10. TÓM TẮT MỘT TRANG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C6E0B4" w:val="clear"/>
            <w:tcMar>
              <w:top w:type="dxa" w:w="60"/>
              <w:left w:type="dxa" w:w="100"/>
              <w:bottom w:type="dxa" w:w="60"/>
              <w:right w:type="dxa" w:w="100"/>
            </w:tcMar>
          </w:tcPr>
          <w:p>
            <w:pPr>
              <w:jc w:val="center"/>
            </w:pPr>
            <w:r>
              <w:rPr>
                <w:b/>
                <w:bCs/>
                <w:color w:val="000000"/>
                <w:sz w:val="20"/>
                <w:szCs w:val="20"/>
              </w:rPr>
              <w:t xml:space="preserve">VÀO LỆNH (MUA)</w:t>
            </w:r>
          </w:p>
        </w:tc>
        <w:tc>
          <w:tcPr>
            <w:tcW w:type="dxa" w:w="4513"/>
            <w:shd w:fill="F4B7B4" w:val="clear"/>
            <w:tcMar>
              <w:top w:type="dxa" w:w="60"/>
              <w:left w:type="dxa" w:w="100"/>
              <w:bottom w:type="dxa" w:w="60"/>
              <w:right w:type="dxa" w:w="100"/>
            </w:tcMar>
          </w:tcPr>
          <w:p>
            <w:pPr>
              <w:jc w:val="center"/>
            </w:pPr>
            <w:r>
              <w:rPr>
                <w:b/>
                <w:bCs/>
                <w:color w:val="000000"/>
                <w:sz w:val="20"/>
                <w:szCs w:val="20"/>
              </w:rPr>
              <w:t xml:space="preserve">THOÁT LỆNH (BÁN)</w:t>
            </w:r>
          </w:p>
        </w:tc>
      </w:tr>
      <w:tr>
        <w:tc>
          <w:tcPr>
            <w:tcW w:type="dxa" w:w="4513"/>
            <w:tcMar>
              <w:top w:type="dxa" w:w="60"/>
              <w:left w:type="dxa" w:w="100"/>
              <w:bottom w:type="dxa" w:w="60"/>
              <w:right w:type="dxa" w:w="100"/>
            </w:tcMar>
          </w:tcPr>
          <w:p>
            <w:r>
              <w:rPr>
                <w:b w:val="false"/>
                <w:bCs w:val="false"/>
                <w:color w:val="000000"/>
                <w:sz w:val="20"/>
                <w:szCs w:val="20"/>
              </w:rPr>
              <w:t xml:space="preserve">Mũi tên xanh (Mua = 1): đáy xác nhận + giá trên MA100 + khối lượng ≥ 1.2× trung bình + giá vượt High nến đáy.</w:t>
            </w:r>
          </w:p>
        </w:tc>
        <w:tc>
          <w:tcPr>
            <w:tcW w:type="dxa" w:w="4513"/>
            <w:tcMar>
              <w:top w:type="dxa" w:w="60"/>
              <w:left w:type="dxa" w:w="100"/>
              <w:bottom w:type="dxa" w:w="60"/>
              <w:right w:type="dxa" w:w="100"/>
            </w:tcMar>
          </w:tcPr>
          <w:p>
            <w:r>
              <w:rPr>
                <w:b w:val="false"/>
                <w:bCs w:val="false"/>
                <w:color w:val="000000"/>
                <w:sz w:val="20"/>
                <w:szCs w:val="20"/>
              </w:rPr>
              <w:t xml:space="preserve">Cắt lỗ: đóng cửa thủng đáy gần nhất (đường cam) → bán hết phiên kế tiếp.</w:t>
            </w:r>
          </w:p>
        </w:tc>
      </w:tr>
      <w:tr>
        <w:tc>
          <w:tcPr>
            <w:tcW w:type="dxa" w:w="4513"/>
            <w:tcMar>
              <w:top w:type="dxa" w:w="60"/>
              <w:left w:type="dxa" w:w="100"/>
              <w:bottom w:type="dxa" w:w="60"/>
              <w:right w:type="dxa" w:w="100"/>
            </w:tcMar>
          </w:tcPr>
          <w:p>
            <w:r>
              <w:rPr>
                <w:b w:val="false"/>
                <w:bCs w:val="false"/>
                <w:color w:val="000000"/>
                <w:sz w:val="20"/>
                <w:szCs w:val="20"/>
              </w:rPr>
              <w:t xml:space="preserve">Thị trường chung thuận lợi, R:R lên R1 ≥ 1.5, giá chưa chạy quá +3%.</w:t>
            </w:r>
          </w:p>
        </w:tc>
        <w:tc>
          <w:tcPr>
            <w:tcW w:type="dxa" w:w="4513"/>
            <w:tcMar>
              <w:top w:type="dxa" w:w="60"/>
              <w:left w:type="dxa" w:w="100"/>
              <w:bottom w:type="dxa" w:w="60"/>
              <w:right w:type="dxa" w:w="100"/>
            </w:tcMar>
          </w:tcPr>
          <w:p>
            <w:r>
              <w:rPr>
                <w:b w:val="false"/>
                <w:bCs w:val="false"/>
                <w:color w:val="000000"/>
                <w:sz w:val="20"/>
                <w:szCs w:val="20"/>
              </w:rPr>
              <w:t xml:space="preserve">Chốt 1/2 tại R1; phần còn lại trailing theo đáy mới, nhắm R2–R3.</w:t>
            </w:r>
          </w:p>
        </w:tc>
      </w:tr>
      <w:tr>
        <w:tc>
          <w:tcPr>
            <w:tcW w:type="dxa" w:w="4513"/>
            <w:tcMar>
              <w:top w:type="dxa" w:w="60"/>
              <w:left w:type="dxa" w:w="100"/>
              <w:bottom w:type="dxa" w:w="60"/>
              <w:right w:type="dxa" w:w="100"/>
            </w:tcMar>
          </w:tcPr>
          <w:p>
            <w:r>
              <w:rPr>
                <w:b w:val="false"/>
                <w:bCs w:val="false"/>
                <w:color w:val="000000"/>
                <w:sz w:val="20"/>
                <w:szCs w:val="20"/>
              </w:rPr>
              <w:t xml:space="preserve">Size = (NAV × 1%) / (Giá mua − SL); ≤ 5 mã; tổng rủi ro mở ≤ 6% NAV.</w:t>
            </w:r>
          </w:p>
        </w:tc>
        <w:tc>
          <w:tcPr>
            <w:tcW w:type="dxa" w:w="4513"/>
            <w:tcMar>
              <w:top w:type="dxa" w:w="60"/>
              <w:left w:type="dxa" w:w="100"/>
              <w:bottom w:type="dxa" w:w="60"/>
              <w:right w:type="dxa" w:w="100"/>
            </w:tcMar>
          </w:tcPr>
          <w:p>
            <w:r>
              <w:rPr>
                <w:b w:val="false"/>
                <w:bCs w:val="false"/>
                <w:color w:val="000000"/>
                <w:sz w:val="20"/>
                <w:szCs w:val="20"/>
              </w:rPr>
              <w:t xml:space="preserve">Mũi tên đỏ (Ban = 1) hoặc time-stop 15 phiên không tiến triển → thoát toàn bộ.</w:t>
            </w:r>
          </w:p>
        </w:tc>
      </w:tr>
      <w:tr>
        <w:tc>
          <w:tcPr>
            <w:tcW w:type="dxa" w:w="4513"/>
            <w:tcMar>
              <w:top w:type="dxa" w:w="60"/>
              <w:left w:type="dxa" w:w="100"/>
              <w:bottom w:type="dxa" w:w="60"/>
              <w:right w:type="dxa" w:w="100"/>
            </w:tcMar>
          </w:tcPr>
          <w:p>
            <w:r>
              <w:rPr>
                <w:b w:val="false"/>
                <w:bCs w:val="false"/>
                <w:color w:val="000000"/>
                <w:sz w:val="20"/>
                <w:szCs w:val="20"/>
              </w:rPr>
              <w:t xml:space="preserve">Đặt LO quanh giá tín hiệu; nhớ T+2 mới bán được.</w:t>
            </w:r>
          </w:p>
        </w:tc>
        <w:tc>
          <w:tcPr>
            <w:tcW w:type="dxa" w:w="4513"/>
            <w:tcMar>
              <w:top w:type="dxa" w:w="60"/>
              <w:left w:type="dxa" w:w="100"/>
              <w:bottom w:type="dxa" w:w="60"/>
              <w:right w:type="dxa" w:w="100"/>
            </w:tcMar>
          </w:tcPr>
          <w:p>
            <w:r>
              <w:rPr>
                <w:b w:val="false"/>
                <w:bCs w:val="false"/>
                <w:color w:val="000000"/>
                <w:sz w:val="20"/>
                <w:szCs w:val="20"/>
              </w:rPr>
              <w:t xml:space="preserve">SL chỉ nâng lên, không bao giờ hạ xuống.</w:t>
            </w:r>
          </w:p>
        </w:tc>
      </w:tr>
    </w:tbl>
    <w:p>
      <w:pPr>
        <w:spacing w:after="120"/>
      </w:pPr>
    </w:p>
    <w:p>
      <w:pPr>
        <w:spacing w:after="120"/>
      </w:pPr>
      <w:r>
        <w:rPr>
          <w:b/>
          <w:bCs/>
        </w:rPr>
        <w:t xml:space="preserve">Lưu ý cuối: </w:t>
      </w:r>
      <w:r>
        <w:rPr>
          <w:i/>
          <w:iCs/>
        </w:rPr>
        <w:t xml:space="preserve">phương pháp này là khung kỷ luật, không phải lời hứa lợi nhuận. Sức mạnh của nó nằm ở việc cắt lỗ nhỏ – để lệnh thắng chạy – và lặp lại nhất quán. Hãy backtest bằng chính bộ code V2 (kết quả backtest của V2 phản ánh đúng giao dịch thực vì tín hiệu không vẽ lại) và giao dịch thử nghiệm size nhỏ tối thiểu 2 tháng trước khi áp dụng đủ quy mô.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20"/>
      </w:pPr>
    </w:lvl>
    <w:lvl w:ilvl="1" w15:tentative="1">
      <w:start w:val="1"/>
      <w:numFmt w:val="bullet"/>
      <w:lvlText w:val="–"/>
      <w:lvlJc w:val="left"/>
      <w:pPr>
        <w:ind w:left="880" w:hanging="22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b/>
      <w:bCs/>
      <w:color w:val="1F3864"/>
      <w:sz w:val="28"/>
      <w:szCs w:val="28"/>
    </w:rPr>
  </w:style>
  <w:style w:type="paragraph" w:styleId="Heading2">
    <w:name w:val="Heading 2"/>
    <w:basedOn w:val="Normal"/>
    <w:next w:val="Normal"/>
    <w:qFormat/>
    <w:pPr>
      <w:spacing w:after="100" w:before="240"/>
    </w:pPr>
    <w:rPr>
      <w:b/>
      <w:bCs/>
      <w:color w:val="2E539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2026-07-18T06:33:35.456Z</dcterms:created>
  <dcterms:modified xsi:type="dcterms:W3CDTF">2026-07-18T06:33:35.472Z</dcterms:modified>
</cp:coreProperties>
</file>

<file path=docProps/custom.xml><?xml version="1.0" encoding="utf-8"?>
<Properties xmlns="http://schemas.openxmlformats.org/officeDocument/2006/custom-properties" xmlns:vt="http://schemas.openxmlformats.org/officeDocument/2006/docPropsVTypes"/>
</file>