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Singleton Pattern</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Creational Pattern</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Singleton</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instance</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constructor</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getInstance()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instance is null THEN</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instance = new Singleton</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instance</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CLASS</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practical situation is managing a global configuration or logging system. For example, an application may use a single Logger instance to record events from different modules. Using the Singleton pattern ensures that all parts of the system share the same logger instance and avoid creating multiple conflicting objects.</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