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DANHMUC — Danh mục (biến thể rút gọn của UI)</w:t>
      </w:r>
    </w:p>
    <w:p>
      <w:pPr>
        <w:pStyle w:val="T-Gach-"/>
      </w:pPr>
      <w:r>
        <w:t>Đây là biến thể rút gọn của UI, không phải một loại riêng. Hành vi CRUD chuẩn đã đặc tả một lần ở component CMP-DANHMUC-001 trong tài liệu tổng; ở đây chỉ khai báo phần riêng của danh mục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MỌI mã tham chiếu (UC, thông báo, trạng thái, vai trò, tác nhân, component) phải có trong sổ đăng ký tương ứng. Cần mã mới thì thêm vào sổ trong cùng Merge Request, không tự đặt trong file chức năng.</w:t>
      </w:r>
    </w:p>
    <w:p>
      <w:pPr>
        <w:pStyle w:val="T-Gach-"/>
      </w:pPr>
      <w:r>
        <w:t>Mã thông báo dùng chung toàn hệ thống — tra messages.csv trước khi tạo mã mới. Cùng một nội dung thông báo thì dùng lại mã cũ, không tạo mã song song.</w:t>
      </w:r>
    </w:p>
    <w:p>
      <w:pPr>
        <w:pStyle w:val="T-Gach-"/>
      </w:pPr>
      <w:r>
        <w:t>Hai mục “Tác nhân” và “Lịch sử thay đổi” do script build tự đổ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Use case: UC-«4 số» — ví dụ UC-0787  (BRD — cố định, không đổi khi sắp xếp lại)</w:t>
      </w:r>
    </w:p>
    <w:p>
      <w:pPr>
        <w:pStyle w:val="T-Gach-"/>
      </w:pPr>
      <w:r>
        <w:t>Phân hệ: «3–6 chữ» — ví dụ QLSP  (8 mã cố định)</w:t>
      </w:r>
    </w:p>
    <w:p>
      <w:pPr>
        <w:pStyle w:val="T-Gach-"/>
      </w:pPr>
      <w:r>
        <w:t>Nhóm chức năng: GRP-«phân hệ»-«2 số» — ví dụ GRP-HTVH-01  (groups.csv, khớp cây menu)</w:t>
      </w:r>
    </w:p>
    <w:p>
      <w:pPr>
        <w:pStyle w:val="T-Gach-"/>
      </w:pPr>
      <w:r>
        <w:t>Chức năng: FUNC-«phân hệ»-«3 số» — ví dụ FUNC-QLSP-047  (manifest, đánh liên tiếp)</w:t>
      </w:r>
    </w:p>
    <w:p>
      <w:pPr>
        <w:pStyle w:val="T-Gach-"/>
      </w:pPr>
      <w:r>
        <w:t>Tính năng: FEAT-«phân hệ»-«số CN»-«2 số» — ví dụ FEAT-QLSP-047-01  (trong file chức năng)</w:t>
      </w:r>
    </w:p>
    <w:p>
      <w:pPr>
        <w:pStyle w:val="T-Gach-"/>
      </w:pPr>
      <w:r>
        <w:t>Quy tắc nghiệp vụ: BR-«phân hệ»-«số CN»-«3 số» — ví dụ BR-QLSP-047-001  (trong file chức năng)</w:t>
      </w:r>
    </w:p>
    <w:p>
      <w:pPr>
        <w:pStyle w:val="T-Gach-"/>
      </w:pPr>
      <w:r>
        <w:t>Đối tượng nghiệp vụ: «CHỮ HOA» — ví dụ SANPHAM  (objects.csv)</w:t>
      </w:r>
    </w:p>
    <w:p>
      <w:pPr>
        <w:pStyle w:val="T-Gach-"/>
      </w:pPr>
      <w:r>
        <w:t>Thông báo: «LOẠI»_«3 số» — ví dụ ERR_014  (messages.csv — dùng chung toàn hệ thống, không theo đối tượng/phân hệ)</w:t>
      </w:r>
    </w:p>
    <w:p>
      <w:pPr>
        <w:pStyle w:val="T-Gach-"/>
      </w:pPr>
      <w:r>
        <w:t>Trạng thái: ST-«đối tượng»-«2 số» — ví dụ ST-SANPHAM-01  (states.csv)</w:t>
      </w:r>
    </w:p>
    <w:p>
      <w:pPr>
        <w:pStyle w:val="T-Gach-"/>
      </w:pPr>
      <w:r>
        <w:t>Vai trò: ROLE-«mã» — ví dụ ROLE-QTHT  (roles.csv)</w:t>
      </w:r>
    </w:p>
    <w:p>
      <w:pPr>
        <w:pStyle w:val="T-Gach-"/>
      </w:pPr>
      <w:r>
        <w:t>Tác nhân / hệ thống: «mã viết tắt» — ví dụ CB-KSDL, HT-M5  (participants.csv)</w:t>
      </w:r>
    </w:p>
    <w:p>
      <w:pPr>
        <w:pStyle w:val="T-Gach-"/>
      </w:pPr>
      <w:r>
        <w:t>Component: CMP-«tên»-«3 số» — ví dụ CMP-GRID-001  (components.csv)</w:t>
      </w:r>
    </w:p>
    <w:p>
      <w:pPr>
        <w:pStyle w:val="T-Gach-"/>
      </w:pPr>
      <w:r>
        <w:t>Sơ đồ: «mã chức năng»_seq-«2 số» — ví dụ FUNC-QLSP-047_seq-01  (diagrams/)</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 DANHMUC. Nhóm chức năng: mã từ groups.csv. Vị trí chức năng: đường dẫn menu, hoặc endpoint, hoặc tên job. Hai dòng Tác nhân do script build tự đổ từ các UC đã khai ở mục Truy vết yêu cầu.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Nhóm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Yêu cầu đặc thù</w:t>
            </w:r>
          </w:p>
        </w:tc>
        <w:tc>
          <w:tcPr>
            <w:tcW w:type="dxa" w:w="6955"/>
          </w:tcPr>
          <w:p/>
        </w:tc>
      </w:tr>
    </w:tbl>
    <w:p>
      <w:pPr>
        <w:pStyle w:val="T-NoiDung"/>
      </w:pPr>
    </w:p>
    <w:p>
      <w:pPr>
        <w:pStyle w:val="Heading4"/>
      </w:pPr>
      <w:r>
        <w:t>Truy vết yêu cầu</w:t>
      </w:r>
    </w:p>
    <w:p>
      <w:pPr>
        <w:pStyle w:val="Caption"/>
      </w:pPr>
      <w:r>
        <w:t>Mỗi UC phải có ĐÚNG MỘT chức năng khai vai trò “Chính”; các chức năng khác chỉ khai “Dùng chung” và không đặc tả lại. Cột “Tên UC” do script build tự đổ từ usecases.csv — không gõ tay. Mức đáp ứng: Đầy đủ / Một phần (một phần thì ghi rõ chức năng nào bù ở cột Ghi chú). Tính năng kỹ thuật không thuộc UC nào thì ghi “Không thuộc UC” và nêu căn cứ ở Ghi chú.</w:t>
      </w:r>
    </w:p>
    <w:tbl>
      <w:tblPr>
        <w:tblStyle w:val="TableStyle3"/>
        <w:tblW w:type="auto" w:w="0"/>
        <w:tblLayout w:type="fixed"/>
        <w:tblLook w:firstColumn="1" w:firstRow="1" w:lastColumn="0" w:lastRow="0" w:noHBand="0" w:noVBand="1" w:val="04A0"/>
      </w:tblPr>
      <w:tblGrid>
        <w:gridCol w:w="1100"/>
        <w:gridCol w:w="2600"/>
        <w:gridCol w:w="2000"/>
        <w:gridCol w:w="1200"/>
        <w:gridCol w:w="1200"/>
        <w:gridCol w:w="1255"/>
      </w:tblGrid>
      <w:tr>
        <w:tc>
          <w:tcPr>
            <w:tcW w:type="dxa" w:w="1100"/>
          </w:tcPr>
          <w:p>
            <w:r>
              <w:rPr>
                <w:b/>
              </w:rPr>
              <w:t>Mã UC</w:t>
            </w:r>
          </w:p>
        </w:tc>
        <w:tc>
          <w:tcPr>
            <w:tcW w:type="dxa" w:w="2600"/>
          </w:tcPr>
          <w:p>
            <w:r>
              <w:rPr>
                <w:b/>
              </w:rPr>
              <w:t>Tên UC</w:t>
            </w:r>
          </w:p>
        </w:tc>
        <w:tc>
          <w:tcPr>
            <w:tcW w:type="dxa" w:w="2000"/>
          </w:tcPr>
          <w:p>
            <w:r>
              <w:rPr>
                <w:b/>
              </w:rPr>
              <w:t>Tính năng đáp ứng</w:t>
            </w:r>
          </w:p>
        </w:tc>
        <w:tc>
          <w:tcPr>
            <w:tcW w:type="dxa" w:w="1200"/>
          </w:tcPr>
          <w:p>
            <w:r>
              <w:rPr>
                <w:b/>
              </w:rPr>
              <w:t>Vai trò</w:t>
            </w:r>
          </w:p>
        </w:tc>
        <w:tc>
          <w:tcPr>
            <w:tcW w:type="dxa" w:w="1200"/>
          </w:tcPr>
          <w:p>
            <w:r>
              <w:rPr>
                <w:b/>
              </w:rPr>
              <w:t>Mức đáp ứng</w:t>
            </w:r>
          </w:p>
        </w:tc>
        <w:tc>
          <w:tcPr>
            <w:tcW w:type="dxa" w:w="1255"/>
          </w:tcPr>
          <w:p>
            <w:r>
              <w:rPr>
                <w:b/>
              </w:rPr>
              <w:t>Ghi chú</w:t>
            </w: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bl>
    <w:p>
      <w:pPr>
        <w:pStyle w:val="T-NoiDung"/>
      </w:pPr>
    </w:p>
    <w:p>
      <w:pPr>
        <w:pStyle w:val="Heading4"/>
      </w:pPr>
      <w:r>
        <w:t>Ma trận phân quyền</w:t>
      </w:r>
    </w:p>
    <w:p>
      <w:pPr>
        <w:pStyle w:val="Caption"/>
      </w:pPr>
      <w:r>
        <w:t>Mã vai trò lấy từ roles.csv,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«ROLE_1»</w:t>
            </w:r>
          </w:p>
        </w:tc>
        <w:tc>
          <w:tcPr>
            <w:tcW w:type="dxa" w:w="800"/>
          </w:tcPr>
          <w:p>
            <w:r>
              <w:rPr>
                <w:b/>
              </w:rPr>
              <w:t>«ROLE_2»</w:t>
            </w:r>
          </w:p>
        </w:tc>
        <w:tc>
          <w:tcPr>
            <w:tcW w:type="dxa" w:w="800"/>
          </w:tcPr>
          <w:p>
            <w:r>
              <w:rPr>
                <w:b/>
              </w:rPr>
              <w:t>«ROLE_3»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lấy từ states.csv (dạng ST-«đối tượng»-«2 số»).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BR-«phân hệ»-«số chức năng»-«3 số», ví dụ BR-QLSP-047-001.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Danh mục này dùng ở đâu, ai quản lý, có ảnh hưởng dữ liệu lịch sử không.</w:t>
      </w:r>
    </w:p>
    <w:p>
      <w:pPr>
        <w:pStyle w:val="Heading5"/>
      </w:pPr>
      <w:r>
        <w:t>Danh sách trường</w:t>
      </w:r>
    </w:p>
    <w:p>
      <w:pPr>
        <w:pStyle w:val="Caption"/>
      </w:pPr>
      <w:r>
        <w:t>Giới hạn: độ dài, độ lớn tối đa, khoảng giá trị — ví dụ “tối đa 200 ký tự”. Mô tả ràng buộc: gộp chung nguồn dữ liệu, mã quy tắc (BR-…), mã thông báo khi vi phạm, và các diễn giải khác.</w:t>
      </w:r>
    </w:p>
    <w:tbl>
      <w:tblPr>
        <w:tblStyle w:val="TableStyle3"/>
        <w:tblW w:type="auto" w:w="0"/>
        <w:tblLayout w:type="fixed"/>
        <w:tblLook w:firstColumn="1" w:firstRow="1" w:lastColumn="0" w:lastRow="0" w:noHBand="0" w:noVBand="1" w:val="04A0"/>
      </w:tblPr>
      <w:tblGrid>
        <w:gridCol w:w="500"/>
        <w:gridCol w:w="1800"/>
        <w:gridCol w:w="1500"/>
        <w:gridCol w:w="1400"/>
        <w:gridCol w:w="1000"/>
        <w:gridCol w:w="3155"/>
      </w:tblGrid>
      <w:tr>
        <w:tc>
          <w:tcPr>
            <w:tcW w:type="dxa" w:w="500"/>
          </w:tcPr>
          <w:p>
            <w:r>
              <w:rPr>
                <w:b/>
              </w:rPr>
              <w:t>STT</w:t>
            </w:r>
          </w:p>
        </w:tc>
        <w:tc>
          <w:tcPr>
            <w:tcW w:type="dxa" w:w="1800"/>
          </w:tcPr>
          <w:p>
            <w:r>
              <w:rPr>
                <w:b/>
              </w:rPr>
              <w:t>Tên trường</w:t>
            </w:r>
          </w:p>
        </w:tc>
        <w:tc>
          <w:tcPr>
            <w:tcW w:type="dxa" w:w="1500"/>
          </w:tcPr>
          <w:p>
            <w:r>
              <w:rPr>
                <w:b/>
              </w:rPr>
              <w:t>Kiểu dữ liệu / Loại control</w:t>
            </w:r>
          </w:p>
        </w:tc>
        <w:tc>
          <w:tcPr>
            <w:tcW w:type="dxa" w:w="1400"/>
          </w:tcPr>
          <w:p>
            <w:r>
              <w:rPr>
                <w:b/>
              </w:rPr>
              <w:t>Bắt buộc / Giá trị mặc định</w:t>
            </w:r>
          </w:p>
        </w:tc>
        <w:tc>
          <w:tcPr>
            <w:tcW w:type="dxa" w:w="1000"/>
          </w:tcPr>
          <w:p>
            <w:r>
              <w:rPr>
                <w:b/>
              </w:rPr>
              <w:t>Giới hạn</w:t>
            </w:r>
          </w:p>
        </w:tc>
        <w:tc>
          <w:tcPr>
            <w:tcW w:type="dxa" w:w="3155"/>
          </w:tcPr>
          <w:p>
            <w:r>
              <w:rPr>
                <w:b/>
              </w:rPr>
              <w:t>Mô tả ràng buộc</w:t>
            </w: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bl>
    <w:p>
      <w:pPr>
        <w:pStyle w:val="T-NoiDung"/>
      </w:pPr>
    </w:p>
    <w:p>
      <w:pPr>
        <w:pStyle w:val="Heading5"/>
      </w:pPr>
      <w:r>
        <w:t>Khoá duy nhất và quy tắc trùng lặp</w:t>
      </w:r>
    </w:p>
    <w:tbl>
      <w:tblPr>
        <w:tblStyle w:val="TableStyle3"/>
        <w:tblW w:type="auto" w:w="0"/>
        <w:tblLayout w:type="fixed"/>
        <w:tblLook w:firstColumn="1" w:firstRow="1" w:lastColumn="0" w:lastRow="0" w:noHBand="0" w:noVBand="1" w:val="04A0"/>
      </w:tblPr>
      <w:tblGrid>
        <w:gridCol w:w="500"/>
        <w:gridCol w:w="3000"/>
        <w:gridCol w:w="3000"/>
        <w:gridCol w:w="2855"/>
      </w:tblGrid>
      <w:tr>
        <w:tc>
          <w:tcPr>
            <w:tcW w:type="dxa" w:w="500"/>
          </w:tcPr>
          <w:p>
            <w:r>
              <w:rPr>
                <w:b/>
              </w:rPr>
              <w:t>STT</w:t>
            </w:r>
          </w:p>
        </w:tc>
        <w:tc>
          <w:tcPr>
            <w:tcW w:type="dxa" w:w="3000"/>
          </w:tcPr>
          <w:p>
            <w:r>
              <w:rPr>
                <w:b/>
              </w:rPr>
              <w:t>Tổ hợp khoá</w:t>
            </w:r>
          </w:p>
        </w:tc>
        <w:tc>
          <w:tcPr>
            <w:tcW w:type="dxa" w:w="3000"/>
          </w:tcPr>
          <w:p>
            <w:r>
              <w:rPr>
                <w:b/>
              </w:rPr>
              <w:t>Phạm vi duy nhất</w:t>
            </w:r>
          </w:p>
        </w:tc>
        <w:tc>
          <w:tcPr>
            <w:tcW w:type="dxa" w:w="2855"/>
          </w:tcPr>
          <w:p>
            <w:r>
              <w:rPr>
                <w:b/>
              </w:rPr>
              <w:t>Mã thông báo khi trùng</w:t>
            </w: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bl>
    <w:p>
      <w:pPr>
        <w:pStyle w:val="T-NoiDung"/>
      </w:pPr>
    </w:p>
    <w:p>
      <w:pPr>
        <w:pStyle w:val="Heading5"/>
      </w:pPr>
      <w:r>
        <w:t>Điểm khác biệt so với mẫu chuẩn</w:t>
      </w:r>
    </w:p>
    <w:p>
      <w:pPr>
        <w:pStyle w:val="Caption"/>
      </w:pPr>
      <w:r>
        <w:t>Mục này RỖNG là bình thường và tốt — nghĩa là danh mục thừa hưởng đúng hành vi CRUD chuẩn. Chỉ khai báo chỗ thật sự khác.</w:t>
      </w:r>
    </w:p>
    <w:tbl>
      <w:tblPr>
        <w:tblStyle w:val="TableStyle3"/>
        <w:tblW w:type="auto" w:w="0"/>
        <w:tblLayout w:type="fixed"/>
        <w:tblLook w:firstColumn="1" w:firstRow="1" w:lastColumn="0" w:lastRow="0" w:noHBand="0" w:noVBand="1" w:val="04A0"/>
      </w:tblPr>
      <w:tblGrid>
        <w:gridCol w:w="500"/>
        <w:gridCol w:w="2200"/>
        <w:gridCol w:w="3200"/>
        <w:gridCol w:w="3455"/>
      </w:tblGrid>
      <w:tr>
        <w:tc>
          <w:tcPr>
            <w:tcW w:type="dxa" w:w="500"/>
          </w:tcPr>
          <w:p>
            <w:r>
              <w:rPr>
                <w:b/>
              </w:rPr>
              <w:t>STT</w:t>
            </w:r>
          </w:p>
        </w:tc>
        <w:tc>
          <w:tcPr>
            <w:tcW w:type="dxa" w:w="2200"/>
          </w:tcPr>
          <w:p>
            <w:r>
              <w:rPr>
                <w:b/>
              </w:rPr>
              <w:t>Hạng mục</w:t>
            </w:r>
          </w:p>
        </w:tc>
        <w:tc>
          <w:tcPr>
            <w:tcW w:type="dxa" w:w="3200"/>
          </w:tcPr>
          <w:p>
            <w:r>
              <w:rPr>
                <w:b/>
              </w:rPr>
              <w:t>Mẫu chuẩn CMP-DANHMUC-001 quy định</w:t>
            </w:r>
          </w:p>
        </w:tc>
        <w:tc>
          <w:tcPr>
            <w:tcW w:type="dxa" w:w="3455"/>
          </w:tcPr>
          <w:p>
            <w:r>
              <w:rPr>
                <w:b/>
              </w:rPr>
              <w:t>Chức năng này khác thế nào</w:t>
            </w: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bl>
    <w:p>
      <w:pPr>
        <w:pStyle w:val="T-NoiDung"/>
      </w:pPr>
    </w:p>
    <w:p>
      <w:pPr>
        <w:pStyle w:val="Heading5"/>
      </w:pPr>
      <w:r>
        <w:t>Mã lỗi và thông báo</w:t>
      </w:r>
    </w:p>
    <w:p>
      <w:pPr>
        <w:pStyle w:val="Caption"/>
      </w:pPr>
      <w:r>
        <w:t>Mã dùng chung TOÀN HỆ THỐNG, dạng «LOẠI»_«3 số» — ví dụ ERR_014. Số thứ tự chạy chung cho cả hệ thống theo từng loại (ERR/WAR/INF/SUC/CONF), không theo đối tượng hay phân hệ. Tra messages.csv trước: cùng nội dung thì dùng lại mã cũ, kể cả khi mã đó đang được phân hệ khác dùng. Mã mới thì thêm vào messages.csv trong cùng Merge Request — lấy số tiếp theo của đúng loại đó. Cột “Nội dung” ở đây chỉ để đọc — nội dung chuẩn nằm ở sổ.</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5"/>
      </w:pPr>
      <w:r>
        <w:t>Tiêu chí chấp nhận</w:t>
      </w:r>
    </w:p>
    <w:p>
      <w:pPr>
        <w:pStyle w:val="Caption"/>
      </w:pPr>
      <w:r>
        <w:t>3–6 câu khẳng định KIỂM ĐƯỢC cho mỗi tính năng, không phải kịch bản kiểm thử đầy đủ. Mỗi câu phải quan sát được kết quả đúng/sai, tránh câu định tính kiểu “giao diện thân thiện”. Kịch bản chi tiết thuộc tài liệu kiểm thử.</w:t>
      </w:r>
    </w:p>
    <w:tbl>
      <w:tblPr>
        <w:tblStyle w:val="TableStyle3"/>
        <w:tblW w:type="auto" w:w="0"/>
        <w:tblLayout w:type="fixed"/>
        <w:tblLook w:firstColumn="1" w:firstRow="1" w:lastColumn="0" w:lastRow="0" w:noHBand="0" w:noVBand="1" w:val="04A0"/>
      </w:tblPr>
      <w:tblGrid>
        <w:gridCol w:w="500"/>
        <w:gridCol w:w="6855"/>
        <w:gridCol w:w="2000"/>
      </w:tblGrid>
      <w:tr>
        <w:tc>
          <w:tcPr>
            <w:tcW w:type="dxa" w:w="500"/>
          </w:tcPr>
          <w:p>
            <w:r>
              <w:rPr>
                <w:b/>
              </w:rPr>
              <w:t>STT</w:t>
            </w:r>
          </w:p>
        </w:tc>
        <w:tc>
          <w:tcPr>
            <w:tcW w:type="dxa" w:w="6855"/>
          </w:tcPr>
          <w:p>
            <w:r>
              <w:rPr>
                <w:b/>
              </w:rPr>
              <w:t>Tiêu chí — «Khi … thì hệ thống phải …»</w:t>
            </w:r>
          </w:p>
        </w:tc>
        <w:tc>
          <w:tcPr>
            <w:tcW w:type="dxa" w:w="2000"/>
          </w:tcPr>
          <w:p>
            <w:r>
              <w:rPr>
                <w:b/>
              </w:rPr>
              <w:t>Mã BR liên quan</w:t>
            </w: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Phân loại dữ liệu</w:t>
      </w:r>
    </w:p>
    <w:p>
      <w:pPr>
        <w:pStyle w:val="Caption"/>
      </w:pPr>
      <w:r>
        <w:t>Phân loại: Công khai / Nội bộ / Nhạy cảm / Định danh cá nhân. Bắt buộc khai với mọi trường là dữ liệu cá nhân (CCCD, số điện thoại, địa chỉ, thông tin tín dụng của cá nhân). Quy tắc che: hiển thị đầy đủ / che một phần / chỉ vai trò nào được xem bản đầy đủ. Ghi nhật ký: thao tác nào phải vào nhật ký truy cập. Không có dữ liệu nhạy cảm thì ghi “Không áp dụng”.</w:t>
      </w:r>
    </w:p>
    <w:tbl>
      <w:tblPr>
        <w:tblStyle w:val="TableStyle3"/>
        <w:tblW w:type="auto" w:w="0"/>
        <w:tblLayout w:type="fixed"/>
        <w:tblLook w:firstColumn="1" w:firstRow="1" w:lastColumn="0" w:lastRow="0" w:noHBand="0" w:noVBand="1" w:val="04A0"/>
      </w:tblPr>
      <w:tblGrid>
        <w:gridCol w:w="500"/>
        <w:gridCol w:w="2400"/>
        <w:gridCol w:w="1600"/>
        <w:gridCol w:w="2200"/>
        <w:gridCol w:w="1300"/>
        <w:gridCol w:w="1355"/>
      </w:tblGrid>
      <w:tr>
        <w:tc>
          <w:tcPr>
            <w:tcW w:type="dxa" w:w="500"/>
          </w:tcPr>
          <w:p>
            <w:r>
              <w:rPr>
                <w:b/>
              </w:rPr>
              <w:t>STT</w:t>
            </w:r>
          </w:p>
        </w:tc>
        <w:tc>
          <w:tcPr>
            <w:tcW w:type="dxa" w:w="2400"/>
          </w:tcPr>
          <w:p>
            <w:r>
              <w:rPr>
                <w:b/>
              </w:rPr>
              <w:t>Trường / Nhóm dữ liệu</w:t>
            </w:r>
          </w:p>
        </w:tc>
        <w:tc>
          <w:tcPr>
            <w:tcW w:type="dxa" w:w="1600"/>
          </w:tcPr>
          <w:p>
            <w:r>
              <w:rPr>
                <w:b/>
              </w:rPr>
              <w:t>Phân loại</w:t>
            </w:r>
          </w:p>
        </w:tc>
        <w:tc>
          <w:tcPr>
            <w:tcW w:type="dxa" w:w="2200"/>
          </w:tcPr>
          <w:p>
            <w:r>
              <w:rPr>
                <w:b/>
              </w:rPr>
              <w:t>Quy tắc che</w:t>
            </w:r>
          </w:p>
        </w:tc>
        <w:tc>
          <w:tcPr>
            <w:tcW w:type="dxa" w:w="1300"/>
          </w:tcPr>
          <w:p>
            <w:r>
              <w:rPr>
                <w:b/>
              </w:rPr>
              <w:t>Ghi nhật ký</w:t>
            </w:r>
          </w:p>
        </w:tc>
        <w:tc>
          <w:tcPr>
            <w:tcW w:type="dxa" w:w="1355"/>
          </w:tcPr>
          <w:p>
            <w:r>
              <w:rPr>
                <w:b/>
              </w:rPr>
              <w:t>Thời hạn lưu</w:t>
            </w: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