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JOB — Job (xử lý theo lô / định kỳ)</w:t>
      </w:r>
    </w:p>
    <w:p>
      <w:pPr>
        <w:pStyle w:val="T-Gach-"/>
      </w:pPr>
      <w:r>
        <w:t>Loại này BẮT BUỘC có sơ đồ trình tự (luồng có từ 2 hệ thống trở lên). Viết file diagrams/«mã chức năng»_seq-01.puml và giữ placeholder trong file này.</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MỌI mã tham chiếu (UC, thông báo, trạng thái, vai trò, tác nhân, component) phải có trong sổ đăng ký tương ứng. Cần mã mới thì thêm vào sổ trong cùng Merge Request, không tự đặt trong file chức năng.</w:t>
      </w:r>
    </w:p>
    <w:p>
      <w:pPr>
        <w:pStyle w:val="T-Gach-"/>
      </w:pPr>
      <w:r>
        <w:t>Mã thông báo dùng chung toàn hệ thống — tra messages.csv trước khi tạo mã mới. Cùng một nội dung thông báo thì dùng lại mã cũ, không tạo mã song song.</w:t>
      </w:r>
    </w:p>
    <w:p>
      <w:pPr>
        <w:pStyle w:val="T-Gach-"/>
      </w:pPr>
      <w:r>
        <w:t>Hai mục “Tác nhân” và “Lịch sử thay đổi” do script build tự đổ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Use case: UC-«4 số» — ví dụ UC-0787  (BRD — cố định, không đổi khi sắp xếp lại)</w:t>
      </w:r>
    </w:p>
    <w:p>
      <w:pPr>
        <w:pStyle w:val="T-Gach-"/>
      </w:pPr>
      <w:r>
        <w:t>Phân hệ: «3–6 chữ» — ví dụ QLSP  (8 mã cố định)</w:t>
      </w:r>
    </w:p>
    <w:p>
      <w:pPr>
        <w:pStyle w:val="T-Gach-"/>
      </w:pPr>
      <w:r>
        <w:t>Nhóm chức năng: GRP-«phân hệ»-«2 số» — ví dụ GRP-HTVH-01  (groups.csv, khớp cây menu)</w:t>
      </w:r>
    </w:p>
    <w:p>
      <w:pPr>
        <w:pStyle w:val="T-Gach-"/>
      </w:pPr>
      <w:r>
        <w:t>Chức năng: FUNC-«phân hệ»-«3 số» — ví dụ FUNC-QLSP-047  (manifest, đánh liên tiếp)</w:t>
      </w:r>
    </w:p>
    <w:p>
      <w:pPr>
        <w:pStyle w:val="T-Gach-"/>
      </w:pPr>
      <w:r>
        <w:t>Tính năng: FEAT-«phân hệ»-«số CN»-«2 số» — ví dụ FEAT-QLSP-047-01  (trong file chức năng)</w:t>
      </w:r>
    </w:p>
    <w:p>
      <w:pPr>
        <w:pStyle w:val="T-Gach-"/>
      </w:pPr>
      <w:r>
        <w:t>Quy tắc nghiệp vụ: BR-«phân hệ»-«số CN»-«3 số» — ví dụ BR-QLSP-047-001  (trong file chức năng)</w:t>
      </w:r>
    </w:p>
    <w:p>
      <w:pPr>
        <w:pStyle w:val="T-Gach-"/>
      </w:pPr>
      <w:r>
        <w:t>Đối tượng nghiệp vụ: «CHỮ HOA» — ví dụ SANPHAM  (objects.csv)</w:t>
      </w:r>
    </w:p>
    <w:p>
      <w:pPr>
        <w:pStyle w:val="T-Gach-"/>
      </w:pPr>
      <w:r>
        <w:t>Thông báo: «LOẠI»_«3 số» — ví dụ ERR_014  (messages.csv — dùng chung toàn hệ thống, không theo đối tượng/phân hệ)</w:t>
      </w:r>
    </w:p>
    <w:p>
      <w:pPr>
        <w:pStyle w:val="T-Gach-"/>
      </w:pPr>
      <w:r>
        <w:t>Trạng thái: ST-«đối tượng»-«2 số» — ví dụ ST-SANPHAM-01  (states.csv)</w:t>
      </w:r>
    </w:p>
    <w:p>
      <w:pPr>
        <w:pStyle w:val="T-Gach-"/>
      </w:pPr>
      <w:r>
        <w:t>Vai trò: ROLE-«mã» — ví dụ ROLE-QTHT  (roles.csv)</w:t>
      </w:r>
    </w:p>
    <w:p>
      <w:pPr>
        <w:pStyle w:val="T-Gach-"/>
      </w:pPr>
      <w:r>
        <w:t>Tác nhân / hệ thống: «mã viết tắt» — ví dụ CB-KSDL, HT-M5  (participants.csv)</w:t>
      </w:r>
    </w:p>
    <w:p>
      <w:pPr>
        <w:pStyle w:val="T-Gach-"/>
      </w:pPr>
      <w:r>
        <w:t>Component: CMP-«tên»-«3 số» — ví dụ CMP-GRID-001  (components.csv)</w:t>
      </w:r>
    </w:p>
    <w:p>
      <w:pPr>
        <w:pStyle w:val="T-Gach-"/>
      </w:pPr>
      <w:r>
        <w:t>Sơ đồ: «mã chức năng»_seq-«2 số» — ví dụ FUNC-QLSP-047_seq-01  (diagrams/)</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 DANHMUC. Nhóm chức năng: mã từ groups.csv. Vị trí chức năng: đường dẫn menu, hoặc endpoint, hoặc tên job. Hai dòng Tác nhân do script build tự đổ từ các UC đã khai ở mục Truy vết yêu cầu.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Nhóm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Yêu cầu đặc thù</w:t>
            </w:r>
          </w:p>
        </w:tc>
        <w:tc>
          <w:tcPr>
            <w:tcW w:type="dxa" w:w="6955"/>
          </w:tcPr>
          <w:p/>
        </w:tc>
      </w:tr>
    </w:tbl>
    <w:p>
      <w:pPr>
        <w:pStyle w:val="T-NoiDung"/>
      </w:pPr>
    </w:p>
    <w:p>
      <w:pPr>
        <w:pStyle w:val="Heading4"/>
      </w:pPr>
      <w:r>
        <w:t>Truy vết yêu cầu</w:t>
      </w:r>
    </w:p>
    <w:p>
      <w:pPr>
        <w:pStyle w:val="Caption"/>
      </w:pPr>
      <w:r>
        <w:t>Mỗi UC phải có ĐÚNG MỘT chức năng khai vai trò “Chính”; các chức năng khác chỉ khai “Dùng chung” và không đặc tả lại. Cột “Tên UC” do script build tự đổ từ usecases.csv — không gõ tay. Mức đáp ứng: Đầy đủ / Một phần (một phần thì ghi rõ chức năng nào bù ở cột Ghi chú). Tính năng kỹ thuật không thuộc UC nào thì ghi “Không thuộc UC” và nêu căn cứ ở Ghi chú.</w:t>
      </w:r>
    </w:p>
    <w:tbl>
      <w:tblPr>
        <w:tblStyle w:val="TableStyle3"/>
        <w:tblW w:type="auto" w:w="0"/>
        <w:tblLayout w:type="fixed"/>
        <w:tblLook w:firstColumn="1" w:firstRow="1" w:lastColumn="0" w:lastRow="0" w:noHBand="0" w:noVBand="1" w:val="04A0"/>
      </w:tblPr>
      <w:tblGrid>
        <w:gridCol w:w="1100"/>
        <w:gridCol w:w="2600"/>
        <w:gridCol w:w="2000"/>
        <w:gridCol w:w="1200"/>
        <w:gridCol w:w="1200"/>
        <w:gridCol w:w="1255"/>
      </w:tblGrid>
      <w:tr>
        <w:tc>
          <w:tcPr>
            <w:tcW w:type="dxa" w:w="1100"/>
          </w:tcPr>
          <w:p>
            <w:r>
              <w:rPr>
                <w:b/>
              </w:rPr>
              <w:t>Mã UC</w:t>
            </w:r>
          </w:p>
        </w:tc>
        <w:tc>
          <w:tcPr>
            <w:tcW w:type="dxa" w:w="2600"/>
          </w:tcPr>
          <w:p>
            <w:r>
              <w:rPr>
                <w:b/>
              </w:rPr>
              <w:t>Tên UC</w:t>
            </w:r>
          </w:p>
        </w:tc>
        <w:tc>
          <w:tcPr>
            <w:tcW w:type="dxa" w:w="2000"/>
          </w:tcPr>
          <w:p>
            <w:r>
              <w:rPr>
                <w:b/>
              </w:rPr>
              <w:t>Tính năng đáp ứng</w:t>
            </w:r>
          </w:p>
        </w:tc>
        <w:tc>
          <w:tcPr>
            <w:tcW w:type="dxa" w:w="1200"/>
          </w:tcPr>
          <w:p>
            <w:r>
              <w:rPr>
                <w:b/>
              </w:rPr>
              <w:t>Vai trò</w:t>
            </w:r>
          </w:p>
        </w:tc>
        <w:tc>
          <w:tcPr>
            <w:tcW w:type="dxa" w:w="1200"/>
          </w:tcPr>
          <w:p>
            <w:r>
              <w:rPr>
                <w:b/>
              </w:rPr>
              <w:t>Mức đáp ứng</w:t>
            </w:r>
          </w:p>
        </w:tc>
        <w:tc>
          <w:tcPr>
            <w:tcW w:type="dxa" w:w="1255"/>
          </w:tcPr>
          <w:p>
            <w:r>
              <w:rPr>
                <w:b/>
              </w:rPr>
              <w:t>Ghi chú</w:t>
            </w: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bl>
    <w:p>
      <w:pPr>
        <w:pStyle w:val="T-NoiDung"/>
      </w:pPr>
    </w:p>
    <w:p>
      <w:pPr>
        <w:pStyle w:val="Heading4"/>
      </w:pPr>
      <w:r>
        <w:t>Ma trận phân quyền</w:t>
      </w:r>
    </w:p>
    <w:p>
      <w:pPr>
        <w:pStyle w:val="Caption"/>
      </w:pPr>
      <w:r>
        <w:t>Job chạy tự động không cần phân quyền người dùng; bảng này khai báo ai được thực hiện thao tác THỦ CÔNG: chạy lại, dừng, xem nhật ký, tải báo cáo lỗi. Mỗi tính năng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600"/>
        <w:gridCol w:w="2400"/>
        <w:gridCol w:w="1955"/>
      </w:tblGrid>
      <w:tr>
        <w:tc>
          <w:tcPr>
            <w:tcW w:type="dxa" w:w="500"/>
          </w:tcPr>
          <w:p>
            <w:r>
              <w:rPr>
                <w:b/>
              </w:rPr>
              <w:t>STT</w:t>
            </w:r>
          </w:p>
        </w:tc>
        <w:tc>
          <w:tcPr>
            <w:tcW w:type="dxa" w:w="1900"/>
          </w:tcPr>
          <w:p>
            <w:r>
              <w:rPr>
                <w:b/>
              </w:rPr>
              <w:t>Mã tính năng</w:t>
            </w:r>
          </w:p>
        </w:tc>
        <w:tc>
          <w:tcPr>
            <w:tcW w:type="dxa" w:w="2600"/>
          </w:tcPr>
          <w:p>
            <w:r>
              <w:rPr>
                <w:b/>
              </w:rPr>
              <w:t>Thao tác thủ công</w:t>
            </w:r>
          </w:p>
        </w:tc>
        <w:tc>
          <w:tcPr>
            <w:tcW w:type="dxa" w:w="2400"/>
          </w:tcPr>
          <w:p>
            <w:r>
              <w:rPr>
                <w:b/>
              </w:rPr>
              <w:t>Mã vai trò được phép</w:t>
            </w:r>
          </w:p>
        </w:tc>
        <w:tc>
          <w:tcPr>
            <w:tcW w:type="dxa" w:w="1955"/>
          </w:tcPr>
          <w:p>
            <w:r>
              <w:rPr>
                <w:b/>
              </w:rPr>
              <w:t>Phạm vi dữ liệu</w:t>
            </w: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bl>
    <w:p>
      <w:pPr>
        <w:pStyle w:val="T-NoiDung"/>
      </w:pPr>
    </w:p>
    <w:p>
      <w:pPr>
        <w:pStyle w:val="Heading4"/>
      </w:pPr>
      <w:r>
        <w:t>Sơ đồ luồng dữ liệu</w:t>
      </w:r>
    </w:p>
    <w:p>
      <w:pPr>
        <w:pStyle w:val="Caption"/>
      </w:pPr>
      <w:r>
        <w:t>Dữ liệu đi từ nguồn nào, qua các bước xử lý nào, ghi vào đâu. Kèm các nhánh loại bỏ bản ghi không hợp lệ.</w:t>
      </w:r>
    </w:p>
    <w:p>
      <w:pPr>
        <w:pStyle w:val="Heading4"/>
      </w:pPr>
      <w:r>
        <w:t>Sơ đồ trạng thái</w:t>
      </w:r>
    </w:p>
    <w:p>
      <w:pPr>
        <w:pStyle w:val="Caption"/>
      </w:pPr>
      <w:r>
        <w:t>Chỉ lập khi đối tượng nghiệp vụ có vòng đời trạng thái. Mã trạng thái lấy từ states.csv (dạng ST-«đối tượng»-«2 số»).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BR-«phân hệ»-«số chức năng»-«3 số», ví dụ BR-QLSP-047-001.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Job làm gì, chạy trên dữ liệu nào, kết quả dùng cho nghiệp vụ nào.</w:t>
      </w:r>
    </w:p>
    <w:p>
      <w:pPr>
        <w:pStyle w:val="Heading5"/>
      </w:pPr>
      <w:r>
        <w:t>Kích hoạt và lịch chạy</w:t>
      </w:r>
    </w:p>
    <w:p>
      <w:pPr>
        <w:pStyle w:val="Caption"/>
      </w:pPr>
      <w:r>
        <w:t>Cơ chế kích hoạt: theo lịch / theo sự kiện / thủ công. Cửa sổ thời gian quan trọng khi job nặng, tránh giờ cao điểm.</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kích hoạt</w:t>
            </w:r>
          </w:p>
        </w:tc>
        <w:tc>
          <w:tcPr>
            <w:tcW w:type="dxa" w:w="6955"/>
          </w:tcPr>
          <w:p/>
        </w:tc>
      </w:tr>
      <w:tr>
        <w:tc>
          <w:tcPr>
            <w:tcW w:type="dxa" w:w="2400"/>
          </w:tcPr>
          <w:p>
            <w:r>
              <w:t>Biểu thức lịch (cron)</w:t>
            </w:r>
          </w:p>
        </w:tc>
        <w:tc>
          <w:tcPr>
            <w:tcW w:type="dxa" w:w="6955"/>
          </w:tcPr>
          <w:p/>
        </w:tc>
      </w:tr>
      <w:tr>
        <w:tc>
          <w:tcPr>
            <w:tcW w:type="dxa" w:w="2400"/>
          </w:tcPr>
          <w:p>
            <w:r>
              <w:t>Cửa sổ thời gian được phép chạy</w:t>
            </w:r>
          </w:p>
        </w:tc>
        <w:tc>
          <w:tcPr>
            <w:tcW w:type="dxa" w:w="6955"/>
          </w:tcPr>
          <w:p/>
        </w:tc>
      </w:tr>
      <w:tr>
        <w:tc>
          <w:tcPr>
            <w:tcW w:type="dxa" w:w="2400"/>
          </w:tcPr>
          <w:p>
            <w:r>
              <w:t>Job phụ thuộc chạy trước</w:t>
            </w:r>
          </w:p>
        </w:tc>
        <w:tc>
          <w:tcPr>
            <w:tcW w:type="dxa" w:w="6955"/>
          </w:tcPr>
          <w:p/>
        </w:tc>
      </w:tr>
      <w:tr>
        <w:tc>
          <w:tcPr>
            <w:tcW w:type="dxa" w:w="2400"/>
          </w:tcPr>
          <w:p>
            <w:r>
              <w:t>Thời gian chạy dự kiến</w:t>
            </w:r>
          </w:p>
        </w:tc>
        <w:tc>
          <w:tcPr>
            <w:tcW w:type="dxa" w:w="6955"/>
          </w:tcPr>
          <w:p/>
        </w:tc>
      </w:tr>
      <w:tr>
        <w:tc>
          <w:tcPr>
            <w:tcW w:type="dxa" w:w="2400"/>
          </w:tcPr>
          <w:p>
            <w:r>
              <w:t>Cho phép chạy song song</w:t>
            </w:r>
          </w:p>
        </w:tc>
        <w:tc>
          <w:tcPr>
            <w:tcW w:type="dxa" w:w="6955"/>
          </w:tcPr>
          <w:p/>
        </w:tc>
      </w:tr>
    </w:tbl>
    <w:p>
      <w:pPr>
        <w:pStyle w:val="T-NoiDung"/>
      </w:pPr>
    </w:p>
    <w:p>
      <w:pPr>
        <w:pStyle w:val="Heading5"/>
      </w:pPr>
      <w:r>
        <w:t>Nguồn dữ liệu vào</w:t>
      </w:r>
    </w:p>
    <w:tbl>
      <w:tblPr>
        <w:tblStyle w:val="TableStyle3"/>
        <w:tblW w:type="auto" w:w="0"/>
        <w:tblLayout w:type="fixed"/>
        <w:tblLook w:firstColumn="1" w:firstRow="1" w:lastColumn="0" w:lastRow="0" w:noHBand="0" w:noVBand="1" w:val="04A0"/>
      </w:tblPr>
      <w:tblGrid>
        <w:gridCol w:w="500"/>
        <w:gridCol w:w="1500"/>
        <w:gridCol w:w="2400"/>
        <w:gridCol w:w="1400"/>
        <w:gridCol w:w="3555"/>
      </w:tblGrid>
      <w:tr>
        <w:tc>
          <w:tcPr>
            <w:tcW w:type="dxa" w:w="500"/>
          </w:tcPr>
          <w:p>
            <w:r>
              <w:rPr>
                <w:b/>
              </w:rPr>
              <w:t>STT</w:t>
            </w:r>
          </w:p>
        </w:tc>
        <w:tc>
          <w:tcPr>
            <w:tcW w:type="dxa" w:w="1500"/>
          </w:tcPr>
          <w:p>
            <w:r>
              <w:rPr>
                <w:b/>
              </w:rPr>
              <w:t>Loại nguồn</w:t>
            </w:r>
          </w:p>
        </w:tc>
        <w:tc>
          <w:tcPr>
            <w:tcW w:type="dxa" w:w="2400"/>
          </w:tcPr>
          <w:p>
            <w:r>
              <w:rPr>
                <w:b/>
              </w:rPr>
              <w:t>Tên đối tượng</w:t>
            </w:r>
          </w:p>
        </w:tc>
        <w:tc>
          <w:tcPr>
            <w:tcW w:type="dxa" w:w="1400"/>
          </w:tcPr>
          <w:p>
            <w:r>
              <w:rPr>
                <w:b/>
              </w:rPr>
              <w:t>Định dạng</w:t>
            </w:r>
          </w:p>
        </w:tc>
        <w:tc>
          <w:tcPr>
            <w:tcW w:type="dxa" w:w="3555"/>
          </w:tcPr>
          <w:p>
            <w:r>
              <w:rPr>
                <w:b/>
              </w:rPr>
              <w:t>Điều kiện lấy dữ liệu</w:t>
            </w: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bl>
    <w:p>
      <w:pPr>
        <w:pStyle w:val="T-NoiDung"/>
      </w:pPr>
    </w:p>
    <w:p>
      <w:pPr>
        <w:pStyle w:val="Heading5"/>
      </w:pPr>
      <w:r>
        <w:t>Quy tắc kiểm tra và loại bỏ</w:t>
      </w:r>
    </w:p>
    <w:p>
      <w:pPr>
        <w:pStyle w:val="Caption"/>
      </w:pPr>
      <w:r>
        <w:t>Ba tầng theo thứ tự: đúng định dạng tệp → đúng cấu trúc dữ liệu → đúng quy tắc nghiệp vụ. Hành động khi sai: loại bỏ bản ghi / dừng cả lô / ghi nhận cảnh báo. Kèm cơ chế trả báo cáo lỗi về đơn vị gửi và quy trình gửi lại.</w:t>
      </w:r>
    </w:p>
    <w:tbl>
      <w:tblPr>
        <w:tblStyle w:val="TableStyle3"/>
        <w:tblW w:type="auto" w:w="0"/>
        <w:tblLayout w:type="fixed"/>
        <w:tblLook w:firstColumn="1" w:firstRow="1" w:lastColumn="0" w:lastRow="0" w:noHBand="0" w:noVBand="1" w:val="04A0"/>
      </w:tblPr>
      <w:tblGrid>
        <w:gridCol w:w="1200"/>
        <w:gridCol w:w="2000"/>
        <w:gridCol w:w="3000"/>
        <w:gridCol w:w="1800"/>
        <w:gridCol w:w="1355"/>
      </w:tblGrid>
      <w:tr>
        <w:tc>
          <w:tcPr>
            <w:tcW w:type="dxa" w:w="1200"/>
          </w:tcPr>
          <w:p>
            <w:r>
              <w:rPr>
                <w:b/>
              </w:rPr>
              <w:t>Tầng kiểm tra</w:t>
            </w:r>
          </w:p>
        </w:tc>
        <w:tc>
          <w:tcPr>
            <w:tcW w:type="dxa" w:w="2000"/>
          </w:tcPr>
          <w:p>
            <w:r>
              <w:rPr>
                <w:b/>
              </w:rPr>
              <w:t>Mã quy tắc</w:t>
            </w:r>
          </w:p>
        </w:tc>
        <w:tc>
          <w:tcPr>
            <w:tcW w:type="dxa" w:w="3000"/>
          </w:tcPr>
          <w:p>
            <w:r>
              <w:rPr>
                <w:b/>
              </w:rPr>
              <w:t>Nội dung kiểm tra</w:t>
            </w:r>
          </w:p>
        </w:tc>
        <w:tc>
          <w:tcPr>
            <w:tcW w:type="dxa" w:w="1800"/>
          </w:tcPr>
          <w:p>
            <w:r>
              <w:rPr>
                <w:b/>
              </w:rPr>
              <w:t>Hành động khi sai</w:t>
            </w:r>
          </w:p>
        </w:tc>
        <w:tc>
          <w:tcPr>
            <w:tcW w:type="dxa" w:w="1355"/>
          </w:tcPr>
          <w:p>
            <w:r>
              <w:rPr>
                <w:b/>
              </w:rPr>
              <w:t>Mã thông báo</w:t>
            </w: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bl>
    <w:p>
      <w:pPr>
        <w:pStyle w:val="T-NoiDung"/>
      </w:pPr>
    </w:p>
    <w:p>
      <w:pPr>
        <w:pStyle w:val="Heading5"/>
      </w:pPr>
      <w:r>
        <w:t>Xử lý và ghi nhận</w:t>
      </w:r>
    </w:p>
    <w:tbl>
      <w:tblPr>
        <w:tblStyle w:val="TableStyle3"/>
        <w:tblW w:type="auto" w:w="0"/>
        <w:tblLayout w:type="fixed"/>
        <w:tblLook w:firstColumn="1" w:firstRow="1" w:lastColumn="0" w:lastRow="0" w:noHBand="0" w:noVBand="1" w:val="04A0"/>
      </w:tblPr>
      <w:tblGrid>
        <w:gridCol w:w="700"/>
        <w:gridCol w:w="3400"/>
        <w:gridCol w:w="2400"/>
        <w:gridCol w:w="2855"/>
      </w:tblGrid>
      <w:tr>
        <w:tc>
          <w:tcPr>
            <w:tcW w:type="dxa" w:w="700"/>
          </w:tcPr>
          <w:p>
            <w:r>
              <w:rPr>
                <w:b/>
              </w:rPr>
              <w:t>Bước</w:t>
            </w:r>
          </w:p>
        </w:tc>
        <w:tc>
          <w:tcPr>
            <w:tcW w:type="dxa" w:w="3400"/>
          </w:tcPr>
          <w:p>
            <w:r>
              <w:rPr>
                <w:b/>
              </w:rPr>
              <w:t>Xử lý</w:t>
            </w:r>
          </w:p>
        </w:tc>
        <w:tc>
          <w:tcPr>
            <w:tcW w:type="dxa" w:w="2400"/>
          </w:tcPr>
          <w:p>
            <w:r>
              <w:rPr>
                <w:b/>
              </w:rPr>
              <w:t>Đối tượng ghi</w:t>
            </w:r>
          </w:p>
        </w:tc>
        <w:tc>
          <w:tcPr>
            <w:tcW w:type="dxa" w:w="2855"/>
          </w:tcPr>
          <w:p>
            <w:r>
              <w:rPr>
                <w:b/>
              </w:rPr>
              <w:t>Ghi nhận kết quả</w:t>
            </w: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trong participants.csv, không viết tên mô tả tự do.</w:t>
      </w:r>
    </w:p>
    <w:p>
      <w:pPr>
        <w:pStyle w:val="T-NoiDung"/>
      </w:pPr>
      <w:r>
        <w:rPr>
          <w:b/>
        </w:rPr>
        <w:t>[[DIAGRAM: MÃ_CHỨC_NĂNG_seq-01]]</w:t>
      </w:r>
    </w:p>
    <w:p>
      <w:pPr>
        <w:pStyle w:val="T-NoiDung"/>
      </w:pPr>
    </w:p>
    <w:p>
      <w:pPr>
        <w:pStyle w:val="Heading5"/>
      </w:pPr>
      <w:r>
        <w:t>Chạy lại và bù trừ</w:t>
      </w:r>
    </w:p>
    <w:p>
      <w:pPr>
        <w:pStyle w:val="Caption"/>
      </w:pPr>
      <w:r>
        <w:t>Nếu job không idempotent, phải nêu rõ hậu quả khi chạy lại và cách phòng tránh. Đây là câu hỏi vận hành sẽ hỏi đầu tiên khi job lỗi.</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Job có idempotent không</w:t>
            </w:r>
          </w:p>
        </w:tc>
        <w:tc>
          <w:tcPr>
            <w:tcW w:type="dxa" w:w="6955"/>
          </w:tcPr>
          <w:p/>
        </w:tc>
      </w:tr>
      <w:tr>
        <w:tc>
          <w:tcPr>
            <w:tcW w:type="dxa" w:w="2400"/>
          </w:tcPr>
          <w:p>
            <w:r>
              <w:t>Chạy lại từ đầu hay từ điểm dừng</w:t>
            </w:r>
          </w:p>
        </w:tc>
        <w:tc>
          <w:tcPr>
            <w:tcW w:type="dxa" w:w="6955"/>
          </w:tcPr>
          <w:p/>
        </w:tc>
      </w:tr>
      <w:tr>
        <w:tc>
          <w:tcPr>
            <w:tcW w:type="dxa" w:w="2400"/>
          </w:tcPr>
          <w:p>
            <w:r>
              <w:t>Xử lý bản ghi đã ghi một phần</w:t>
            </w:r>
          </w:p>
        </w:tc>
        <w:tc>
          <w:tcPr>
            <w:tcW w:type="dxa" w:w="6955"/>
          </w:tcPr>
          <w:p/>
        </w:tc>
      </w:tr>
      <w:tr>
        <w:tc>
          <w:tcPr>
            <w:tcW w:type="dxa" w:w="2400"/>
          </w:tcPr>
          <w:p>
            <w:r>
              <w:t>Thao tác bù trừ thủ công</w:t>
            </w:r>
          </w:p>
        </w:tc>
        <w:tc>
          <w:tcPr>
            <w:tcW w:type="dxa" w:w="6955"/>
          </w:tcPr>
          <w:p/>
        </w:tc>
      </w:tr>
      <w:tr>
        <w:tc>
          <w:tcPr>
            <w:tcW w:type="dxa" w:w="2400"/>
          </w:tcPr>
          <w:p>
            <w:r>
              <w:t>Người được phép chạy lại</w:t>
            </w:r>
          </w:p>
        </w:tc>
        <w:tc>
          <w:tcPr>
            <w:tcW w:type="dxa" w:w="6955"/>
          </w:tcPr>
          <w:p/>
        </w:tc>
      </w:tr>
    </w:tbl>
    <w:p>
      <w:pPr>
        <w:pStyle w:val="T-NoiDung"/>
      </w:pPr>
    </w:p>
    <w:p>
      <w:pPr>
        <w:pStyle w:val="Heading5"/>
      </w:pPr>
      <w:r>
        <w:t>Giám sát và cảnh báo</w:t>
      </w:r>
    </w:p>
    <w:tbl>
      <w:tblPr>
        <w:tblStyle w:val="TableStyle3"/>
        <w:tblW w:type="auto" w:w="0"/>
        <w:tblLayout w:type="fixed"/>
        <w:tblLook w:firstColumn="1" w:firstRow="1" w:lastColumn="0" w:lastRow="0" w:noHBand="0" w:noVBand="1" w:val="04A0"/>
      </w:tblPr>
      <w:tblGrid>
        <w:gridCol w:w="500"/>
        <w:gridCol w:w="2600"/>
        <w:gridCol w:w="1800"/>
        <w:gridCol w:w="1800"/>
        <w:gridCol w:w="2655"/>
      </w:tblGrid>
      <w:tr>
        <w:tc>
          <w:tcPr>
            <w:tcW w:type="dxa" w:w="500"/>
          </w:tcPr>
          <w:p>
            <w:r>
              <w:rPr>
                <w:b/>
              </w:rPr>
              <w:t>STT</w:t>
            </w:r>
          </w:p>
        </w:tc>
        <w:tc>
          <w:tcPr>
            <w:tcW w:type="dxa" w:w="2600"/>
          </w:tcPr>
          <w:p>
            <w:r>
              <w:rPr>
                <w:b/>
              </w:rPr>
              <w:t>Chỉ số giám sát</w:t>
            </w:r>
          </w:p>
        </w:tc>
        <w:tc>
          <w:tcPr>
            <w:tcW w:type="dxa" w:w="1800"/>
          </w:tcPr>
          <w:p>
            <w:r>
              <w:rPr>
                <w:b/>
              </w:rPr>
              <w:t>Ngưỡng cảnh báo</w:t>
            </w:r>
          </w:p>
        </w:tc>
        <w:tc>
          <w:tcPr>
            <w:tcW w:type="dxa" w:w="1800"/>
          </w:tcPr>
          <w:p>
            <w:r>
              <w:rPr>
                <w:b/>
              </w:rPr>
              <w:t>Kênh cảnh báo</w:t>
            </w:r>
          </w:p>
        </w:tc>
        <w:tc>
          <w:tcPr>
            <w:tcW w:type="dxa" w:w="2655"/>
          </w:tcPr>
          <w:p>
            <w:r>
              <w:rPr>
                <w:b/>
              </w:rPr>
              <w:t>Người nhận</w:t>
            </w: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bl>
    <w:p>
      <w:pPr>
        <w:pStyle w:val="T-NoiDung"/>
      </w:pPr>
    </w:p>
    <w:p>
      <w:pPr>
        <w:pStyle w:val="Heading5"/>
      </w:pPr>
      <w:r>
        <w:t>Mã lỗi và thông báo</w:t>
      </w:r>
    </w:p>
    <w:p>
      <w:pPr>
        <w:pStyle w:val="Caption"/>
      </w:pPr>
      <w:r>
        <w:t>Mã dùng chung TOÀN HỆ THỐNG, dạng «LOẠI»_«3 số» — ví dụ ERR_014. Số thứ tự chạy chung cho cả hệ thống theo từng loại (ERR/WAR/INF/SUC/CONF), không theo đối tượng hay phân hệ. Tra messages.csv trước: cùng nội dung thì dùng lại mã cũ, kể cả khi mã đó đang được phân hệ khác dùng. Mã mới thì thêm vào messages.csv trong cùng Merge Request — lấy số tiếp theo của đúng loại đó. Cột “Nội dung” ở đây chỉ để đọc — nội dung chuẩn nằm ở sổ.</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5"/>
      </w:pPr>
      <w:r>
        <w:t>Tiêu chí chấp nhận</w:t>
      </w:r>
    </w:p>
    <w:p>
      <w:pPr>
        <w:pStyle w:val="Caption"/>
      </w:pPr>
      <w:r>
        <w:t>3–6 câu khẳng định KIỂM ĐƯỢC cho mỗi tính năng, không phải kịch bản kiểm thử đầy đủ. Mỗi câu phải quan sát được kết quả đúng/sai, tránh câu định tính kiểu “giao diện thân thiện”. Kịch bản chi tiết thuộc tài liệu kiểm thử.</w:t>
      </w:r>
    </w:p>
    <w:tbl>
      <w:tblPr>
        <w:tblStyle w:val="TableStyle3"/>
        <w:tblW w:type="auto" w:w="0"/>
        <w:tblLayout w:type="fixed"/>
        <w:tblLook w:firstColumn="1" w:firstRow="1" w:lastColumn="0" w:lastRow="0" w:noHBand="0" w:noVBand="1" w:val="04A0"/>
      </w:tblPr>
      <w:tblGrid>
        <w:gridCol w:w="500"/>
        <w:gridCol w:w="6855"/>
        <w:gridCol w:w="2000"/>
      </w:tblGrid>
      <w:tr>
        <w:tc>
          <w:tcPr>
            <w:tcW w:type="dxa" w:w="500"/>
          </w:tcPr>
          <w:p>
            <w:r>
              <w:rPr>
                <w:b/>
              </w:rPr>
              <w:t>STT</w:t>
            </w:r>
          </w:p>
        </w:tc>
        <w:tc>
          <w:tcPr>
            <w:tcW w:type="dxa" w:w="6855"/>
          </w:tcPr>
          <w:p>
            <w:r>
              <w:rPr>
                <w:b/>
              </w:rPr>
              <w:t>Tiêu chí — «Khi … thì hệ thống phải …»</w:t>
            </w:r>
          </w:p>
        </w:tc>
        <w:tc>
          <w:tcPr>
            <w:tcW w:type="dxa" w:w="2000"/>
          </w:tcPr>
          <w:p>
            <w:r>
              <w:rPr>
                <w:b/>
              </w:rPr>
              <w:t>Mã BR liên quan</w:t>
            </w: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Phân loại dữ liệu</w:t>
      </w:r>
    </w:p>
    <w:p>
      <w:pPr>
        <w:pStyle w:val="Caption"/>
      </w:pPr>
      <w:r>
        <w:t>Phân loại: Công khai / Nội bộ / Nhạy cảm / Định danh cá nhân. Bắt buộc khai với mọi trường là dữ liệu cá nhân (CCCD, số điện thoại, địa chỉ, thông tin tín dụng của cá nhân). Quy tắc che: hiển thị đầy đủ / che một phần / chỉ vai trò nào được xem bản đầy đủ. Ghi nhật ký: thao tác nào phải vào nhật ký truy cập. Không có dữ liệu nhạy cảm thì ghi “Không áp dụng”.</w:t>
      </w:r>
    </w:p>
    <w:tbl>
      <w:tblPr>
        <w:tblStyle w:val="TableStyle3"/>
        <w:tblW w:type="auto" w:w="0"/>
        <w:tblLayout w:type="fixed"/>
        <w:tblLook w:firstColumn="1" w:firstRow="1" w:lastColumn="0" w:lastRow="0" w:noHBand="0" w:noVBand="1" w:val="04A0"/>
      </w:tblPr>
      <w:tblGrid>
        <w:gridCol w:w="500"/>
        <w:gridCol w:w="2400"/>
        <w:gridCol w:w="1600"/>
        <w:gridCol w:w="2200"/>
        <w:gridCol w:w="1300"/>
        <w:gridCol w:w="1355"/>
      </w:tblGrid>
      <w:tr>
        <w:tc>
          <w:tcPr>
            <w:tcW w:type="dxa" w:w="500"/>
          </w:tcPr>
          <w:p>
            <w:r>
              <w:rPr>
                <w:b/>
              </w:rPr>
              <w:t>STT</w:t>
            </w:r>
          </w:p>
        </w:tc>
        <w:tc>
          <w:tcPr>
            <w:tcW w:type="dxa" w:w="2400"/>
          </w:tcPr>
          <w:p>
            <w:r>
              <w:rPr>
                <w:b/>
              </w:rPr>
              <w:t>Trường / Nhóm dữ liệu</w:t>
            </w:r>
          </w:p>
        </w:tc>
        <w:tc>
          <w:tcPr>
            <w:tcW w:type="dxa" w:w="1600"/>
          </w:tcPr>
          <w:p>
            <w:r>
              <w:rPr>
                <w:b/>
              </w:rPr>
              <w:t>Phân loại</w:t>
            </w:r>
          </w:p>
        </w:tc>
        <w:tc>
          <w:tcPr>
            <w:tcW w:type="dxa" w:w="2200"/>
          </w:tcPr>
          <w:p>
            <w:r>
              <w:rPr>
                <w:b/>
              </w:rPr>
              <w:t>Quy tắc che</w:t>
            </w:r>
          </w:p>
        </w:tc>
        <w:tc>
          <w:tcPr>
            <w:tcW w:type="dxa" w:w="1300"/>
          </w:tcPr>
          <w:p>
            <w:r>
              <w:rPr>
                <w:b/>
              </w:rPr>
              <w:t>Ghi nhật ký</w:t>
            </w:r>
          </w:p>
        </w:tc>
        <w:tc>
          <w:tcPr>
            <w:tcW w:type="dxa" w:w="1355"/>
          </w:tcPr>
          <w:p>
            <w:r>
              <w:rPr>
                <w:b/>
              </w:rPr>
              <w:t>Thời hạn lưu</w:t>
            </w: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