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PHANTICH — Phân tích chỉ tiêu báo cáo thống kê</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MỌI mã tham chiếu (UC, thông báo, trạng thái, vai trò, tác nhân, component) phải có trong sổ đăng ký tương ứng. Cần mã mới thì thêm vào sổ trong cùng Merge Request, không tự đặt trong file chức năng.</w:t>
      </w:r>
    </w:p>
    <w:p>
      <w:pPr>
        <w:pStyle w:val="T-Gach-"/>
      </w:pPr>
      <w:r>
        <w:t>Mã thông báo dùng chung toàn hệ thống — tra messages.csv trước khi tạo mã mới. Cùng một nội dung thông báo thì dùng lại mã cũ, không tạo mã song song.</w:t>
      </w:r>
    </w:p>
    <w:p>
      <w:pPr>
        <w:pStyle w:val="T-Gach-"/>
      </w:pPr>
      <w:r>
        <w:t>Hai mục “Tác nhân” và “Lịch sử thay đổi” do script build tự đổ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Use case: UC-«4 số» — ví dụ UC-0787  (BRD — cố định, không đổi khi sắp xếp lại)</w:t>
      </w:r>
    </w:p>
    <w:p>
      <w:pPr>
        <w:pStyle w:val="T-Gach-"/>
      </w:pPr>
      <w:r>
        <w:t>Phân hệ: «3–6 chữ» — ví dụ QLSP  (8 mã cố định)</w:t>
      </w:r>
    </w:p>
    <w:p>
      <w:pPr>
        <w:pStyle w:val="T-Gach-"/>
      </w:pPr>
      <w:r>
        <w:t>Nhóm chức năng: GRP-«phân hệ»-«2 số» — ví dụ GRP-HTVH-01  (groups.csv, khớp cây menu)</w:t>
      </w:r>
    </w:p>
    <w:p>
      <w:pPr>
        <w:pStyle w:val="T-Gach-"/>
      </w:pPr>
      <w:r>
        <w:t>Chức năng: FUNC-«phân hệ»-«3 số» — ví dụ FUNC-QLSP-047  (manifest, đánh liên tiếp)</w:t>
      </w:r>
    </w:p>
    <w:p>
      <w:pPr>
        <w:pStyle w:val="T-Gach-"/>
      </w:pPr>
      <w:r>
        <w:t>Tính năng: FEAT-«phân hệ»-«số CN»-«2 số» — ví dụ FEAT-QLSP-047-01  (trong file chức năng)</w:t>
      </w:r>
    </w:p>
    <w:p>
      <w:pPr>
        <w:pStyle w:val="T-Gach-"/>
      </w:pPr>
      <w:r>
        <w:t>Quy tắc nghiệp vụ: BR-«phân hệ»-«số CN»-«3 số» — ví dụ BR-QLSP-047-001  (trong file chức năng)</w:t>
      </w:r>
    </w:p>
    <w:p>
      <w:pPr>
        <w:pStyle w:val="T-Gach-"/>
      </w:pPr>
      <w:r>
        <w:t>Đối tượng nghiệp vụ: «CHỮ HOA» — ví dụ SANPHAM  (objects.csv)</w:t>
      </w:r>
    </w:p>
    <w:p>
      <w:pPr>
        <w:pStyle w:val="T-Gach-"/>
      </w:pPr>
      <w:r>
        <w:t>Thông báo: «LOẠI»_«3 số» — ví dụ ERR_014  (messages.csv — dùng chung toàn hệ thống, không theo đối tượng/phân hệ)</w:t>
      </w:r>
    </w:p>
    <w:p>
      <w:pPr>
        <w:pStyle w:val="T-Gach-"/>
      </w:pPr>
      <w:r>
        <w:t>Trạng thái: ST-«đối tượng»-«2 số» — ví dụ ST-SANPHAM-01  (states.csv)</w:t>
      </w:r>
    </w:p>
    <w:p>
      <w:pPr>
        <w:pStyle w:val="T-Gach-"/>
      </w:pPr>
      <w:r>
        <w:t>Vai trò: ROLE-«mã» — ví dụ ROLE-QTHT  (roles.csv)</w:t>
      </w:r>
    </w:p>
    <w:p>
      <w:pPr>
        <w:pStyle w:val="T-Gach-"/>
      </w:pPr>
      <w:r>
        <w:t>Tác nhân / hệ thống: «mã viết tắt» — ví dụ CB-KSDL, HT-M5  (participants.csv)</w:t>
      </w:r>
    </w:p>
    <w:p>
      <w:pPr>
        <w:pStyle w:val="T-Gach-"/>
      </w:pPr>
      <w:r>
        <w:t>Component: CMP-«tên»-«3 số» — ví dụ CMP-GRID-001  (components.csv)</w:t>
      </w:r>
    </w:p>
    <w:p>
      <w:pPr>
        <w:pStyle w:val="T-Gach-"/>
      </w:pPr>
      <w:r>
        <w:t>Sơ đồ: «mã chức năng»_seq-«2 số» — ví dụ FUNC-QLSP-047_seq-01  (diagrams/)</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 DANHMUC. Nhóm chức năng: mã từ groups.csv. Vị trí chức năng: đường dẫn menu, hoặc endpoint, hoặc tên job. Hai dòng Tác nhân do script build tự đổ từ các UC đã khai ở mục Truy vết yêu cầu.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Nhóm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Yêu cầu đặc thù</w:t>
            </w:r>
          </w:p>
        </w:tc>
        <w:tc>
          <w:tcPr>
            <w:tcW w:type="dxa" w:w="6955"/>
          </w:tcPr>
          <w:p/>
        </w:tc>
      </w:tr>
    </w:tbl>
    <w:p>
      <w:pPr>
        <w:pStyle w:val="T-NoiDung"/>
      </w:pPr>
    </w:p>
    <w:p>
      <w:pPr>
        <w:pStyle w:val="Heading4"/>
      </w:pPr>
      <w:r>
        <w:t>Truy vết yêu cầu</w:t>
      </w:r>
    </w:p>
    <w:p>
      <w:pPr>
        <w:pStyle w:val="Caption"/>
      </w:pPr>
      <w:r>
        <w:t>Mỗi UC phải có ĐÚNG MỘT chức năng khai vai trò “Chính”; các chức năng khác chỉ khai “Dùng chung” và không đặc tả lại. Cột “Tên UC” do script build tự đổ từ usecases.csv — không gõ tay. Mức đáp ứng: Đầy đủ / Một phần (một phần thì ghi rõ chức năng nào bù ở cột Ghi chú). Tính năng kỹ thuật không thuộc UC nào thì ghi “Không thuộc UC” và nêu căn cứ ở Ghi chú.</w:t>
      </w:r>
    </w:p>
    <w:tbl>
      <w:tblPr>
        <w:tblStyle w:val="TableStyle3"/>
        <w:tblW w:type="auto" w:w="0"/>
        <w:tblLayout w:type="fixed"/>
        <w:tblLook w:firstColumn="1" w:firstRow="1" w:lastColumn="0" w:lastRow="0" w:noHBand="0" w:noVBand="1" w:val="04A0"/>
      </w:tblPr>
      <w:tblGrid>
        <w:gridCol w:w="1100"/>
        <w:gridCol w:w="2600"/>
        <w:gridCol w:w="2000"/>
        <w:gridCol w:w="1200"/>
        <w:gridCol w:w="1200"/>
        <w:gridCol w:w="1255"/>
      </w:tblGrid>
      <w:tr>
        <w:tc>
          <w:tcPr>
            <w:tcW w:type="dxa" w:w="1100"/>
          </w:tcPr>
          <w:p>
            <w:r>
              <w:rPr>
                <w:b/>
              </w:rPr>
              <w:t>Mã UC</w:t>
            </w:r>
          </w:p>
        </w:tc>
        <w:tc>
          <w:tcPr>
            <w:tcW w:type="dxa" w:w="2600"/>
          </w:tcPr>
          <w:p>
            <w:r>
              <w:rPr>
                <w:b/>
              </w:rPr>
              <w:t>Tên UC</w:t>
            </w:r>
          </w:p>
        </w:tc>
        <w:tc>
          <w:tcPr>
            <w:tcW w:type="dxa" w:w="2000"/>
          </w:tcPr>
          <w:p>
            <w:r>
              <w:rPr>
                <w:b/>
              </w:rPr>
              <w:t>Tính năng đáp ứng</w:t>
            </w:r>
          </w:p>
        </w:tc>
        <w:tc>
          <w:tcPr>
            <w:tcW w:type="dxa" w:w="1200"/>
          </w:tcPr>
          <w:p>
            <w:r>
              <w:rPr>
                <w:b/>
              </w:rPr>
              <w:t>Vai trò</w:t>
            </w:r>
          </w:p>
        </w:tc>
        <w:tc>
          <w:tcPr>
            <w:tcW w:type="dxa" w:w="1200"/>
          </w:tcPr>
          <w:p>
            <w:r>
              <w:rPr>
                <w:b/>
              </w:rPr>
              <w:t>Mức đáp ứng</w:t>
            </w:r>
          </w:p>
        </w:tc>
        <w:tc>
          <w:tcPr>
            <w:tcW w:type="dxa" w:w="1255"/>
          </w:tcPr>
          <w:p>
            <w:r>
              <w:rPr>
                <w:b/>
              </w:rPr>
              <w:t>Ghi chú</w:t>
            </w: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r>
        <w:tc>
          <w:tcPr>
            <w:tcW w:type="dxa" w:w="1100"/>
          </w:tcPr>
          <w:p/>
        </w:tc>
        <w:tc>
          <w:tcPr>
            <w:tcW w:type="dxa" w:w="2600"/>
          </w:tcPr>
          <w:p/>
        </w:tc>
        <w:tc>
          <w:tcPr>
            <w:tcW w:type="dxa" w:w="2000"/>
          </w:tcPr>
          <w:p/>
        </w:tc>
        <w:tc>
          <w:tcPr>
            <w:tcW w:type="dxa" w:w="1200"/>
          </w:tcPr>
          <w:p/>
        </w:tc>
        <w:tc>
          <w:tcPr>
            <w:tcW w:type="dxa" w:w="1200"/>
          </w:tcPr>
          <w:p/>
        </w:tc>
        <w:tc>
          <w:tcPr>
            <w:tcW w:type="dxa" w:w="1255"/>
          </w:tcPr>
          <w:p/>
        </w:tc>
      </w:tr>
    </w:tbl>
    <w:p>
      <w:pPr>
        <w:pStyle w:val="T-NoiDung"/>
      </w:pPr>
    </w:p>
    <w:p>
      <w:pPr>
        <w:pStyle w:val="Heading4"/>
      </w:pPr>
      <w:r>
        <w:t>Ma trận phân quyền</w:t>
      </w:r>
    </w:p>
    <w:p>
      <w:pPr>
        <w:pStyle w:val="Caption"/>
      </w:pPr>
      <w:r>
        <w:t>Mã vai trò lấy từ roles.csv,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«ROLE_1»</w:t>
            </w:r>
          </w:p>
        </w:tc>
        <w:tc>
          <w:tcPr>
            <w:tcW w:type="dxa" w:w="800"/>
          </w:tcPr>
          <w:p>
            <w:r>
              <w:rPr>
                <w:b/>
              </w:rPr>
              <w:t>«ROLE_2»</w:t>
            </w:r>
          </w:p>
        </w:tc>
        <w:tc>
          <w:tcPr>
            <w:tcW w:type="dxa" w:w="800"/>
          </w:tcPr>
          <w:p>
            <w:r>
              <w:rPr>
                <w:b/>
              </w:rPr>
              <w:t>«ROLE_3»</w:t>
            </w:r>
          </w:p>
        </w:tc>
        <w:tc>
          <w:tcPr>
            <w:tcW w:type="dxa" w:w="2155"/>
          </w:tcPr>
          <w:p>
            <w:r>
              <w:rPr>
                <w:b/>
              </w:rPr>
              <w:t>Phạm vi dữ liệu</w:t>
            </w: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màn hình tham số, xem trước và kết xuất. Không có màn hình thì ghi “Không áp dụng”.</w:t>
      </w:r>
    </w:p>
    <w:p>
      <w:pPr>
        <w:pStyle w:val="Heading4"/>
      </w:pPr>
      <w:r>
        <w:t>Sơ đồ trạng thái</w:t>
      </w:r>
    </w:p>
    <w:p>
      <w:pPr>
        <w:pStyle w:val="Caption"/>
      </w:pPr>
      <w:r>
        <w:t>Chỉ lập khi đối tượng nghiệp vụ có vòng đời trạng thái. Mã trạng thái lấy từ states.csv (dạng ST-«đối tượng»-«2 số»).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BR-«phân hệ»-«số chức năng»-«3 số», ví dụ BR-QLSP-047-001.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Báo cáo phục vụ mục đích gì, ai đọc, gửi cho cơ quan nào, tần suất nào.</w:t>
      </w:r>
    </w:p>
    <w:p>
      <w:pPr>
        <w:pStyle w:val="Heading5"/>
      </w:pPr>
      <w:r>
        <w:t>Định nghĩa chỉ tiêu</w:t>
      </w:r>
    </w:p>
    <w:p>
      <w:pPr>
        <w:pStyle w:val="Caption"/>
      </w:pPr>
      <w:r>
        <w:t>Công thức viết bằng ký hiệu chỉ tiêu, không viết bằng tên bảng/trường. Văn bản quy định: số hiệu và điều khoản làm căn cứ.</w:t>
      </w:r>
    </w:p>
    <w:tbl>
      <w:tblPr>
        <w:tblStyle w:val="TableStyle3"/>
        <w:tblW w:type="auto" w:w="0"/>
        <w:tblLayout w:type="fixed"/>
        <w:tblLook w:firstColumn="1" w:firstRow="1" w:lastColumn="0" w:lastRow="0" w:noHBand="0" w:noVBand="1" w:val="04A0"/>
      </w:tblPr>
      <w:tblGrid>
        <w:gridCol w:w="1400"/>
        <w:gridCol w:w="2200"/>
        <w:gridCol w:w="1000"/>
        <w:gridCol w:w="1200"/>
        <w:gridCol w:w="2400"/>
        <w:gridCol w:w="1155"/>
      </w:tblGrid>
      <w:tr>
        <w:tc>
          <w:tcPr>
            <w:tcW w:type="dxa" w:w="1400"/>
          </w:tcPr>
          <w:p>
            <w:r>
              <w:rPr>
                <w:b/>
              </w:rPr>
              <w:t>Mã chỉ tiêu</w:t>
            </w:r>
          </w:p>
        </w:tc>
        <w:tc>
          <w:tcPr>
            <w:tcW w:type="dxa" w:w="2200"/>
          </w:tcPr>
          <w:p>
            <w:r>
              <w:rPr>
                <w:b/>
              </w:rPr>
              <w:t>Tên chỉ tiêu</w:t>
            </w:r>
          </w:p>
        </w:tc>
        <w:tc>
          <w:tcPr>
            <w:tcW w:type="dxa" w:w="1000"/>
          </w:tcPr>
          <w:p>
            <w:r>
              <w:rPr>
                <w:b/>
              </w:rPr>
              <w:t>Đơn vị đo</w:t>
            </w:r>
          </w:p>
        </w:tc>
        <w:tc>
          <w:tcPr>
            <w:tcW w:type="dxa" w:w="1200"/>
          </w:tcPr>
          <w:p>
            <w:r>
              <w:rPr>
                <w:b/>
              </w:rPr>
              <w:t>Kỳ báo cáo</w:t>
            </w:r>
          </w:p>
        </w:tc>
        <w:tc>
          <w:tcPr>
            <w:tcW w:type="dxa" w:w="2400"/>
          </w:tcPr>
          <w:p>
            <w:r>
              <w:rPr>
                <w:b/>
              </w:rPr>
              <w:t>Công thức</w:t>
            </w:r>
          </w:p>
        </w:tc>
        <w:tc>
          <w:tcPr>
            <w:tcW w:type="dxa" w:w="1155"/>
          </w:tcPr>
          <w:p>
            <w:r>
              <w:rPr>
                <w:b/>
              </w:rPr>
              <w:t>Văn bản quy định</w:t>
            </w: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bl>
    <w:p>
      <w:pPr>
        <w:pStyle w:val="T-NoiDung"/>
      </w:pPr>
    </w:p>
    <w:p>
      <w:pPr>
        <w:pStyle w:val="Heading5"/>
      </w:pPr>
      <w:r>
        <w:t>Nguồn dữ liệu và phạm vi</w:t>
      </w:r>
    </w:p>
    <w:p>
      <w:pPr>
        <w:pStyle w:val="Caption"/>
      </w:pPr>
      <w:r>
        <w:t>Thời điểm chốt số liệu quyết định con số — hai người chốt khác thời điểm sẽ ra hai kết quả và không ai sai.</w:t>
      </w:r>
    </w:p>
    <w:tbl>
      <w:tblPr>
        <w:tblStyle w:val="TableStyle3"/>
        <w:tblW w:type="auto" w:w="0"/>
        <w:tblLayout w:type="fixed"/>
        <w:tblLook w:firstColumn="1" w:firstRow="1" w:lastColumn="0" w:lastRow="0" w:noHBand="0" w:noVBand="1" w:val="04A0"/>
      </w:tblPr>
      <w:tblGrid>
        <w:gridCol w:w="500"/>
        <w:gridCol w:w="1800"/>
        <w:gridCol w:w="2000"/>
        <w:gridCol w:w="2400"/>
        <w:gridCol w:w="2655"/>
      </w:tblGrid>
      <w:tr>
        <w:tc>
          <w:tcPr>
            <w:tcW w:type="dxa" w:w="500"/>
          </w:tcPr>
          <w:p>
            <w:r>
              <w:rPr>
                <w:b/>
              </w:rPr>
              <w:t>STT</w:t>
            </w:r>
          </w:p>
        </w:tc>
        <w:tc>
          <w:tcPr>
            <w:tcW w:type="dxa" w:w="1800"/>
          </w:tcPr>
          <w:p>
            <w:r>
              <w:rPr>
                <w:b/>
              </w:rPr>
              <w:t>Bảng / Nguồn</w:t>
            </w:r>
          </w:p>
        </w:tc>
        <w:tc>
          <w:tcPr>
            <w:tcW w:type="dxa" w:w="2000"/>
          </w:tcPr>
          <w:p>
            <w:r>
              <w:rPr>
                <w:b/>
              </w:rPr>
              <w:t>Trường sử dụng</w:t>
            </w:r>
          </w:p>
        </w:tc>
        <w:tc>
          <w:tcPr>
            <w:tcW w:type="dxa" w:w="2400"/>
          </w:tcPr>
          <w:p>
            <w:r>
              <w:rPr>
                <w:b/>
              </w:rPr>
              <w:t>Điều kiện lọc</w:t>
            </w:r>
          </w:p>
        </w:tc>
        <w:tc>
          <w:tcPr>
            <w:tcW w:type="dxa" w:w="2655"/>
          </w:tcPr>
          <w:p>
            <w:r>
              <w:rPr>
                <w:b/>
              </w:rPr>
              <w:t>Thời điểm chốt số liệu</w:t>
            </w: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bl>
    <w:p>
      <w:pPr>
        <w:pStyle w:val="T-NoiDung"/>
      </w:pPr>
    </w:p>
    <w:p>
      <w:pPr>
        <w:pStyle w:val="Heading5"/>
      </w:pPr>
      <w:r>
        <w:t>Quy tắc tính toán và tổng hợp</w:t>
      </w:r>
    </w:p>
    <w:p>
      <w:pPr>
        <w:pStyle w:val="Caption"/>
      </w:pPr>
      <w:r>
        <w:t>Quy tắc làm tròn và xử lý giá trị thiếu phải khai báo tường minh; đây là nguyên nhân lệch số phổ biến nhất giữa báo cáo và đối chiếu.</w:t>
      </w:r>
    </w:p>
    <w:tbl>
      <w:tblPr>
        <w:tblStyle w:val="TableStyle3"/>
        <w:tblW w:type="auto" w:w="0"/>
        <w:tblLayout w:type="fixed"/>
        <w:tblLook w:firstColumn="1" w:firstRow="1" w:lastColumn="0" w:lastRow="0" w:noHBand="0" w:noVBand="1" w:val="04A0"/>
      </w:tblPr>
      <w:tblGrid>
        <w:gridCol w:w="2000"/>
        <w:gridCol w:w="2800"/>
        <w:gridCol w:w="1600"/>
        <w:gridCol w:w="1500"/>
        <w:gridCol w:w="1455"/>
      </w:tblGrid>
      <w:tr>
        <w:tc>
          <w:tcPr>
            <w:tcW w:type="dxa" w:w="2000"/>
          </w:tcPr>
          <w:p>
            <w:r>
              <w:rPr>
                <w:b/>
              </w:rPr>
              <w:t>Mã quy tắc</w:t>
            </w:r>
          </w:p>
        </w:tc>
        <w:tc>
          <w:tcPr>
            <w:tcW w:type="dxa" w:w="2800"/>
          </w:tcPr>
          <w:p>
            <w:r>
              <w:rPr>
                <w:b/>
              </w:rPr>
              <w:t>Nội dung</w:t>
            </w:r>
          </w:p>
        </w:tc>
        <w:tc>
          <w:tcPr>
            <w:tcW w:type="dxa" w:w="1600"/>
          </w:tcPr>
          <w:p>
            <w:r>
              <w:rPr>
                <w:b/>
              </w:rPr>
              <w:t>Chiều tổng hợp</w:t>
            </w:r>
          </w:p>
        </w:tc>
        <w:tc>
          <w:tcPr>
            <w:tcW w:type="dxa" w:w="1500"/>
          </w:tcPr>
          <w:p>
            <w:r>
              <w:rPr>
                <w:b/>
              </w:rPr>
              <w:t>Quy tắc làm tròn</w:t>
            </w:r>
          </w:p>
        </w:tc>
        <w:tc>
          <w:tcPr>
            <w:tcW w:type="dxa" w:w="1455"/>
          </w:tcPr>
          <w:p>
            <w:r>
              <w:rPr>
                <w:b/>
              </w:rPr>
              <w:t>Xử lý giá trị thiếu</w:t>
            </w: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bl>
    <w:p>
      <w:pPr>
        <w:pStyle w:val="T-NoiDung"/>
      </w:pPr>
    </w:p>
    <w:p>
      <w:pPr>
        <w:pStyle w:val="Heading5"/>
      </w:pPr>
      <w:r>
        <w:t>Bố cục kết xuất</w:t>
      </w:r>
    </w:p>
    <w:p>
      <w:pPr>
        <w:pStyle w:val="Caption"/>
      </w:pPr>
      <w:r>
        <w:t>Vùng: tiêu đề / thân / dòng tổng / chân trang. Định dạng kết xuất: Excel / PDF / tệp phẳng theo mẫu của cơ quan nhận.</w:t>
      </w:r>
    </w:p>
    <w:tbl>
      <w:tblPr>
        <w:tblStyle w:val="TableStyle3"/>
        <w:tblW w:type="auto" w:w="0"/>
        <w:tblLayout w:type="fixed"/>
        <w:tblLook w:firstColumn="1" w:firstRow="1" w:lastColumn="0" w:lastRow="0" w:noHBand="0" w:noVBand="1" w:val="04A0"/>
      </w:tblPr>
      <w:tblGrid>
        <w:gridCol w:w="1200"/>
        <w:gridCol w:w="2600"/>
        <w:gridCol w:w="2000"/>
        <w:gridCol w:w="1600"/>
        <w:gridCol w:w="1955"/>
      </w:tblGrid>
      <w:tr>
        <w:tc>
          <w:tcPr>
            <w:tcW w:type="dxa" w:w="1200"/>
          </w:tcPr>
          <w:p>
            <w:r>
              <w:rPr>
                <w:b/>
              </w:rPr>
              <w:t>Vùng</w:t>
            </w:r>
          </w:p>
        </w:tc>
        <w:tc>
          <w:tcPr>
            <w:tcW w:type="dxa" w:w="2600"/>
          </w:tcPr>
          <w:p>
            <w:r>
              <w:rPr>
                <w:b/>
              </w:rPr>
              <w:t>Nội dung</w:t>
            </w:r>
          </w:p>
        </w:tc>
        <w:tc>
          <w:tcPr>
            <w:tcW w:type="dxa" w:w="2000"/>
          </w:tcPr>
          <w:p>
            <w:r>
              <w:rPr>
                <w:b/>
              </w:rPr>
              <w:t>Nguồn</w:t>
            </w:r>
          </w:p>
        </w:tc>
        <w:tc>
          <w:tcPr>
            <w:tcW w:type="dxa" w:w="1600"/>
          </w:tcPr>
          <w:p>
            <w:r>
              <w:rPr>
                <w:b/>
              </w:rPr>
              <w:t>Định dạng</w:t>
            </w:r>
          </w:p>
        </w:tc>
        <w:tc>
          <w:tcPr>
            <w:tcW w:type="dxa" w:w="1955"/>
          </w:tcPr>
          <w:p>
            <w:r>
              <w:rPr>
                <w:b/>
              </w:rPr>
              <w:t>Ghi chú</w:t>
            </w: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bl>
    <w:p>
      <w:pPr>
        <w:pStyle w:val="T-NoiDung"/>
      </w:pPr>
    </w:p>
    <w:p>
      <w:pPr>
        <w:pStyle w:val="Heading5"/>
      </w:pPr>
      <w:r>
        <w:t>Đối chiếu và kiểm chứng</w:t>
      </w:r>
    </w:p>
    <w:p>
      <w:pPr>
        <w:pStyle w:val="Caption"/>
      </w:pPr>
      <w:r>
        <w:t>Bắt buộc với báo cáo gửi cơ quan quản lý: nêu rõ cách chứng minh con số đúng — tổng kiểm soát, đối chiếu chéo, so với kỳ trước.</w:t>
      </w:r>
    </w:p>
    <w:tbl>
      <w:tblPr>
        <w:tblStyle w:val="TableStyle3"/>
        <w:tblW w:type="auto" w:w="0"/>
        <w:tblLayout w:type="fixed"/>
        <w:tblLook w:firstColumn="1" w:firstRow="1" w:lastColumn="0" w:lastRow="0" w:noHBand="0" w:noVBand="1" w:val="04A0"/>
      </w:tblPr>
      <w:tblGrid>
        <w:gridCol w:w="500"/>
        <w:gridCol w:w="3400"/>
        <w:gridCol w:w="3400"/>
        <w:gridCol w:w="2055"/>
      </w:tblGrid>
      <w:tr>
        <w:tc>
          <w:tcPr>
            <w:tcW w:type="dxa" w:w="500"/>
          </w:tcPr>
          <w:p>
            <w:r>
              <w:rPr>
                <w:b/>
              </w:rPr>
              <w:t>STT</w:t>
            </w:r>
          </w:p>
        </w:tc>
        <w:tc>
          <w:tcPr>
            <w:tcW w:type="dxa" w:w="3400"/>
          </w:tcPr>
          <w:p>
            <w:r>
              <w:rPr>
                <w:b/>
              </w:rPr>
              <w:t>Phép đối chiếu</w:t>
            </w:r>
          </w:p>
        </w:tc>
        <w:tc>
          <w:tcPr>
            <w:tcW w:type="dxa" w:w="3400"/>
          </w:tcPr>
          <w:p>
            <w:r>
              <w:rPr>
                <w:b/>
              </w:rPr>
              <w:t>Nguồn đối chiếu</w:t>
            </w:r>
          </w:p>
        </w:tc>
        <w:tc>
          <w:tcPr>
            <w:tcW w:type="dxa" w:w="2055"/>
          </w:tcPr>
          <w:p>
            <w:r>
              <w:rPr>
                <w:b/>
              </w:rPr>
              <w:t>Sai số cho phép</w:t>
            </w: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bl>
    <w:p>
      <w:pPr>
        <w:pStyle w:val="T-NoiDung"/>
      </w:pPr>
    </w:p>
    <w:p>
      <w:pPr>
        <w:pStyle w:val="Heading5"/>
      </w:pPr>
      <w:r>
        <w:t>Xử lý khối lượng lớn</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Cơ chế kết xuất (đồng bộ / bất đồng bộ)</w:t>
            </w:r>
          </w:p>
        </w:tc>
        <w:tc>
          <w:tcPr>
            <w:tcW w:type="dxa" w:w="6955"/>
          </w:tcPr>
          <w:p/>
        </w:tc>
      </w:tr>
      <w:tr>
        <w:tc>
          <w:tcPr>
            <w:tcW w:type="dxa" w:w="2400"/>
          </w:tcPr>
          <w:p>
            <w:r>
              <w:t>Cách thông báo hoàn thành</w:t>
            </w:r>
          </w:p>
        </w:tc>
        <w:tc>
          <w:tcPr>
            <w:tcW w:type="dxa" w:w="6955"/>
          </w:tcPr>
          <w:p/>
        </w:tc>
      </w:tr>
      <w:tr>
        <w:tc>
          <w:tcPr>
            <w:tcW w:type="dxa" w:w="2400"/>
          </w:tcPr>
          <w:p>
            <w:r>
              <w:t>Thời gian giữ tệp kết quả</w:t>
            </w:r>
          </w:p>
        </w:tc>
        <w:tc>
          <w:tcPr>
            <w:tcW w:type="dxa" w:w="6955"/>
          </w:tcPr>
          <w:p/>
        </w:tc>
      </w:tr>
      <w:tr>
        <w:tc>
          <w:tcPr>
            <w:tcW w:type="dxa" w:w="2400"/>
          </w:tcPr>
          <w:p>
            <w:r>
              <w:t>Khối lượng dữ liệu dự kiến</w:t>
            </w:r>
          </w:p>
        </w:tc>
        <w:tc>
          <w:tcPr>
            <w:tcW w:type="dxa" w:w="6955"/>
          </w:tcPr>
          <w:p/>
        </w:tc>
      </w:tr>
      <w:tr>
        <w:tc>
          <w:tcPr>
            <w:tcW w:type="dxa" w:w="2400"/>
          </w:tcPr>
          <w:p>
            <w:r>
              <w:t>Giải pháp tăng tốc</w:t>
            </w:r>
          </w:p>
        </w:tc>
        <w:tc>
          <w:tcPr>
            <w:tcW w:type="dxa" w:w="6955"/>
          </w:tcPr>
          <w:p/>
        </w:tc>
      </w:tr>
    </w:tbl>
    <w:p>
      <w:pPr>
        <w:pStyle w:val="T-NoiDung"/>
      </w:pPr>
    </w:p>
    <w:p>
      <w:pPr>
        <w:pStyle w:val="Heading5"/>
      </w:pPr>
      <w:r>
        <w:t>Mã lỗi và thông báo</w:t>
      </w:r>
    </w:p>
    <w:p>
      <w:pPr>
        <w:pStyle w:val="Caption"/>
      </w:pPr>
      <w:r>
        <w:t>Mã dùng chung TOÀN HỆ THỐNG, dạng «LOẠI»_«3 số» — ví dụ ERR_014. Số thứ tự chạy chung cho cả hệ thống theo từng loại (ERR/WAR/INF/SUC/CONF), không theo đối tượng hay phân hệ. Tra messages.csv trước: cùng nội dung thì dùng lại mã cũ, kể cả khi mã đó đang được phân hệ khác dùng. Mã mới thì thêm vào messages.csv trong cùng Merge Request — lấy số tiếp theo của đúng loại đó. Cột “Nội dung” ở đây chỉ để đọc — nội dung chuẩn nằm ở sổ.</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5"/>
      </w:pPr>
      <w:r>
        <w:t>Tiêu chí chấp nhận</w:t>
      </w:r>
    </w:p>
    <w:p>
      <w:pPr>
        <w:pStyle w:val="Caption"/>
      </w:pPr>
      <w:r>
        <w:t>3–6 câu khẳng định KIỂM ĐƯỢC cho mỗi tính năng, không phải kịch bản kiểm thử đầy đủ. Mỗi câu phải quan sát được kết quả đúng/sai, tránh câu định tính kiểu “giao diện thân thiện”. Kịch bản chi tiết thuộc tài liệu kiểm thử.</w:t>
      </w:r>
    </w:p>
    <w:tbl>
      <w:tblPr>
        <w:tblStyle w:val="TableStyle3"/>
        <w:tblW w:type="auto" w:w="0"/>
        <w:tblLayout w:type="fixed"/>
        <w:tblLook w:firstColumn="1" w:firstRow="1" w:lastColumn="0" w:lastRow="0" w:noHBand="0" w:noVBand="1" w:val="04A0"/>
      </w:tblPr>
      <w:tblGrid>
        <w:gridCol w:w="500"/>
        <w:gridCol w:w="6855"/>
        <w:gridCol w:w="2000"/>
      </w:tblGrid>
      <w:tr>
        <w:tc>
          <w:tcPr>
            <w:tcW w:type="dxa" w:w="500"/>
          </w:tcPr>
          <w:p>
            <w:r>
              <w:rPr>
                <w:b/>
              </w:rPr>
              <w:t>STT</w:t>
            </w:r>
          </w:p>
        </w:tc>
        <w:tc>
          <w:tcPr>
            <w:tcW w:type="dxa" w:w="6855"/>
          </w:tcPr>
          <w:p>
            <w:r>
              <w:rPr>
                <w:b/>
              </w:rPr>
              <w:t>Tiêu chí — «Khi … thì hệ thống phải …»</w:t>
            </w:r>
          </w:p>
        </w:tc>
        <w:tc>
          <w:tcPr>
            <w:tcW w:type="dxa" w:w="2000"/>
          </w:tcPr>
          <w:p>
            <w:r>
              <w:rPr>
                <w:b/>
              </w:rPr>
              <w:t>Mã BR liên quan</w:t>
            </w: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r>
        <w:tc>
          <w:tcPr>
            <w:tcW w:type="dxa" w:w="500"/>
          </w:tcPr>
          <w:p/>
        </w:tc>
        <w:tc>
          <w:tcPr>
            <w:tcW w:type="dxa" w:w="6855"/>
          </w:tcPr>
          <w:p/>
        </w:tc>
        <w:tc>
          <w:tcPr>
            <w:tcW w:type="dxa" w:w="2000"/>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Phân loại dữ liệu</w:t>
      </w:r>
    </w:p>
    <w:p>
      <w:pPr>
        <w:pStyle w:val="Caption"/>
      </w:pPr>
      <w:r>
        <w:t>Phân loại: Công khai / Nội bộ / Nhạy cảm / Định danh cá nhân. Bắt buộc khai với mọi trường là dữ liệu cá nhân (CCCD, số điện thoại, địa chỉ, thông tin tín dụng của cá nhân). Quy tắc che: hiển thị đầy đủ / che một phần / chỉ vai trò nào được xem bản đầy đủ. Ghi nhật ký: thao tác nào phải vào nhật ký truy cập. Không có dữ liệu nhạy cảm thì ghi “Không áp dụng”.</w:t>
      </w:r>
    </w:p>
    <w:tbl>
      <w:tblPr>
        <w:tblStyle w:val="TableStyle3"/>
        <w:tblW w:type="auto" w:w="0"/>
        <w:tblLayout w:type="fixed"/>
        <w:tblLook w:firstColumn="1" w:firstRow="1" w:lastColumn="0" w:lastRow="0" w:noHBand="0" w:noVBand="1" w:val="04A0"/>
      </w:tblPr>
      <w:tblGrid>
        <w:gridCol w:w="500"/>
        <w:gridCol w:w="2400"/>
        <w:gridCol w:w="1600"/>
        <w:gridCol w:w="2200"/>
        <w:gridCol w:w="1300"/>
        <w:gridCol w:w="1355"/>
      </w:tblGrid>
      <w:tr>
        <w:tc>
          <w:tcPr>
            <w:tcW w:type="dxa" w:w="500"/>
          </w:tcPr>
          <w:p>
            <w:r>
              <w:rPr>
                <w:b/>
              </w:rPr>
              <w:t>STT</w:t>
            </w:r>
          </w:p>
        </w:tc>
        <w:tc>
          <w:tcPr>
            <w:tcW w:type="dxa" w:w="2400"/>
          </w:tcPr>
          <w:p>
            <w:r>
              <w:rPr>
                <w:b/>
              </w:rPr>
              <w:t>Trường / Nhóm dữ liệu</w:t>
            </w:r>
          </w:p>
        </w:tc>
        <w:tc>
          <w:tcPr>
            <w:tcW w:type="dxa" w:w="1600"/>
          </w:tcPr>
          <w:p>
            <w:r>
              <w:rPr>
                <w:b/>
              </w:rPr>
              <w:t>Phân loại</w:t>
            </w:r>
          </w:p>
        </w:tc>
        <w:tc>
          <w:tcPr>
            <w:tcW w:type="dxa" w:w="2200"/>
          </w:tcPr>
          <w:p>
            <w:r>
              <w:rPr>
                <w:b/>
              </w:rPr>
              <w:t>Quy tắc che</w:t>
            </w:r>
          </w:p>
        </w:tc>
        <w:tc>
          <w:tcPr>
            <w:tcW w:type="dxa" w:w="1300"/>
          </w:tcPr>
          <w:p>
            <w:r>
              <w:rPr>
                <w:b/>
              </w:rPr>
              <w:t>Ghi nhật ký</w:t>
            </w:r>
          </w:p>
        </w:tc>
        <w:tc>
          <w:tcPr>
            <w:tcW w:type="dxa" w:w="1355"/>
          </w:tcPr>
          <w:p>
            <w:r>
              <w:rPr>
                <w:b/>
              </w:rPr>
              <w:t>Thời hạn lưu</w:t>
            </w: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r>
        <w:tc>
          <w:tcPr>
            <w:tcW w:type="dxa" w:w="500"/>
          </w:tcPr>
          <w:p/>
        </w:tc>
        <w:tc>
          <w:tcPr>
            <w:tcW w:type="dxa" w:w="2400"/>
          </w:tcPr>
          <w:p/>
        </w:tc>
        <w:tc>
          <w:tcPr>
            <w:tcW w:type="dxa" w:w="1600"/>
          </w:tcPr>
          <w:p/>
        </w:tc>
        <w:tc>
          <w:tcPr>
            <w:tcW w:type="dxa" w:w="2200"/>
          </w:tcPr>
          <w:p/>
        </w:tc>
        <w:tc>
          <w:tcPr>
            <w:tcW w:type="dxa" w:w="1300"/>
          </w:tcPr>
          <w:p/>
        </w:tc>
        <w:tc>
          <w:tcPr>
            <w:tcW w:type="dxa" w:w="13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