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9" w:type="dxa"/>
      </w:tblPr>
      <w:tblGrid>
        <w:gridCol w:w="9420"/>
      </w:tblGrid>
      <w:tr>
        <w:trPr>
          <w:trHeight w:val="270" w:hRule="auto"/>
          <w:jc w:val="left"/>
        </w:trPr>
        <w:tc>
          <w:tcPr>
            <w:tcW w:w="94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BÀI 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ẬP LỚN CUỐI K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Ì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ọc phần: CSE425 Hệ thống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ông tin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ịa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ý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tài: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WebSite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nông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các tình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viên: -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Thi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 xml:space="preserve">  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TÓM 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 TÀI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phát tri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ngày càng nhanh chóng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ngành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xu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Nam,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thu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 và tìm ki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 thông tin là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 vô cùng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các nhà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, nhà phát tri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và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bi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là ban ngành qu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lý.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thúc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y phát tri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cao 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 qu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lý thông tin chúng em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Website 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phân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và di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tích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lo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theo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C TIÊU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 TÀI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website 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trí và phân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ng, di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tích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lo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(ngô, lúa,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n)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 2014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2016.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 trình: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QGIS, PgAdmin4, HTML CSS, PHP, Javascript, jquery, Postgresql, Geoserver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 xml:space="preserve"> </w:t>
        <w:tab/>
        <w:tab/>
        <w:t xml:space="preserve">     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T QU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 KI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báo cáo bài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 Project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 và làm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các 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 x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lý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QGIS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Map vào 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eoserver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Postgresql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Leaflet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 và làm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GeoJson và PHP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Web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Cung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 thông tin và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trí phân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các lo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dùng có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tìm ki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 theo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lo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n,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và di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tích theo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arker 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thông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ng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lo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 nông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