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97D5C" w14:textId="77777777" w:rsidR="00901264" w:rsidRDefault="00901264" w:rsidP="00901264">
      <w:pPr>
        <w:rPr>
          <w:rFonts w:ascii="Arial" w:hAnsi="Arial" w:cs="Arial"/>
          <w:b/>
          <w:bCs/>
          <w:u w:val="single"/>
        </w:rPr>
      </w:pPr>
      <w:r w:rsidRPr="00655995">
        <w:rPr>
          <w:rFonts w:ascii="Arial" w:hAnsi="Arial" w:cs="Arial"/>
          <w:b/>
          <w:bCs/>
          <w:sz w:val="20"/>
          <w:szCs w:val="20"/>
          <w:highlight w:val="yellow"/>
          <w:u w:val="single"/>
        </w:rPr>
        <w:t>THIS IS</w:t>
      </w:r>
      <w:r>
        <w:rPr>
          <w:rFonts w:ascii="Arial" w:hAnsi="Arial" w:cs="Arial"/>
          <w:b/>
          <w:bCs/>
          <w:sz w:val="20"/>
          <w:szCs w:val="20"/>
          <w:u w:val="single"/>
        </w:rPr>
        <w:t xml:space="preserve">: </w:t>
      </w:r>
      <w:r w:rsidRPr="00901264">
        <w:rPr>
          <w:rFonts w:ascii="Arial" w:hAnsi="Arial" w:cs="Arial"/>
          <w:b/>
          <w:bCs/>
          <w:u w:val="single"/>
        </w:rPr>
        <w:t xml:space="preserve">table = </w:t>
      </w:r>
      <w:proofErr w:type="spellStart"/>
      <w:r w:rsidRPr="00901264">
        <w:rPr>
          <w:rFonts w:ascii="Arial" w:hAnsi="Arial" w:cs="Arial"/>
          <w:b/>
          <w:bCs/>
          <w:u w:val="single"/>
        </w:rPr>
        <w:t>soup.find</w:t>
      </w:r>
      <w:proofErr w:type="spellEnd"/>
      <w:r w:rsidRPr="00901264">
        <w:rPr>
          <w:rFonts w:ascii="Arial" w:hAnsi="Arial" w:cs="Arial"/>
          <w:b/>
          <w:bCs/>
          <w:u w:val="single"/>
        </w:rPr>
        <w:t>("table", {"id": "table_daily_2"})</w:t>
      </w:r>
    </w:p>
    <w:p w14:paraId="301EB399" w14:textId="12BFB5D0" w:rsidR="003109E9" w:rsidRDefault="00655995" w:rsidP="003109E9">
      <w:pPr>
        <w:rPr>
          <w:rFonts w:ascii="Arial" w:hAnsi="Arial" w:cs="Arial"/>
          <w:b/>
          <w:bCs/>
          <w:u w:val="single"/>
        </w:rPr>
      </w:pPr>
      <w:r w:rsidRPr="00655995">
        <w:rPr>
          <w:rFonts w:ascii="Arial" w:hAnsi="Arial" w:cs="Arial"/>
          <w:b/>
          <w:bCs/>
          <w:sz w:val="20"/>
          <w:szCs w:val="20"/>
          <w:highlight w:val="cyan"/>
          <w:u w:val="single"/>
        </w:rPr>
        <w:t>THIS IS</w:t>
      </w:r>
      <w:r>
        <w:rPr>
          <w:rFonts w:ascii="Arial" w:hAnsi="Arial" w:cs="Arial"/>
          <w:b/>
          <w:bCs/>
          <w:sz w:val="20"/>
          <w:szCs w:val="20"/>
          <w:u w:val="single"/>
        </w:rPr>
        <w:t xml:space="preserve">: </w:t>
      </w:r>
      <w:r w:rsidR="003109E9" w:rsidRPr="003109E9">
        <w:rPr>
          <w:rFonts w:ascii="Arial" w:hAnsi="Arial" w:cs="Arial"/>
          <w:b/>
          <w:bCs/>
          <w:u w:val="single"/>
        </w:rPr>
        <w:t xml:space="preserve">headers = </w:t>
      </w:r>
      <w:proofErr w:type="spellStart"/>
      <w:r w:rsidR="003109E9" w:rsidRPr="003109E9">
        <w:rPr>
          <w:rFonts w:ascii="Arial" w:hAnsi="Arial" w:cs="Arial"/>
          <w:b/>
          <w:bCs/>
          <w:u w:val="single"/>
        </w:rPr>
        <w:t>table.find</w:t>
      </w:r>
      <w:proofErr w:type="spellEnd"/>
      <w:r w:rsidR="003109E9" w:rsidRPr="003109E9">
        <w:rPr>
          <w:rFonts w:ascii="Arial" w:hAnsi="Arial" w:cs="Arial"/>
          <w:b/>
          <w:bCs/>
          <w:u w:val="single"/>
        </w:rPr>
        <w:t>("</w:t>
      </w:r>
      <w:proofErr w:type="spellStart"/>
      <w:r w:rsidR="003109E9" w:rsidRPr="003109E9">
        <w:rPr>
          <w:rFonts w:ascii="Arial" w:hAnsi="Arial" w:cs="Arial"/>
          <w:b/>
          <w:bCs/>
          <w:u w:val="single"/>
        </w:rPr>
        <w:t>thead</w:t>
      </w:r>
      <w:proofErr w:type="spellEnd"/>
      <w:r w:rsidR="003109E9" w:rsidRPr="003109E9">
        <w:rPr>
          <w:rFonts w:ascii="Arial" w:hAnsi="Arial" w:cs="Arial"/>
          <w:b/>
          <w:bCs/>
          <w:u w:val="single"/>
        </w:rPr>
        <w:t>").</w:t>
      </w:r>
      <w:proofErr w:type="spellStart"/>
      <w:r w:rsidR="003109E9" w:rsidRPr="003109E9">
        <w:rPr>
          <w:rFonts w:ascii="Arial" w:hAnsi="Arial" w:cs="Arial"/>
          <w:b/>
          <w:bCs/>
          <w:u w:val="single"/>
        </w:rPr>
        <w:t>find_all</w:t>
      </w:r>
      <w:proofErr w:type="spellEnd"/>
      <w:r w:rsidR="003109E9" w:rsidRPr="003109E9">
        <w:rPr>
          <w:rFonts w:ascii="Arial" w:hAnsi="Arial" w:cs="Arial"/>
          <w:b/>
          <w:bCs/>
          <w:u w:val="single"/>
        </w:rPr>
        <w:t>("</w:t>
      </w:r>
      <w:proofErr w:type="spellStart"/>
      <w:r w:rsidR="003109E9" w:rsidRPr="003109E9">
        <w:rPr>
          <w:rFonts w:ascii="Arial" w:hAnsi="Arial" w:cs="Arial"/>
          <w:b/>
          <w:bCs/>
          <w:u w:val="single"/>
        </w:rPr>
        <w:t>th</w:t>
      </w:r>
      <w:proofErr w:type="spellEnd"/>
      <w:r w:rsidR="003109E9" w:rsidRPr="003109E9">
        <w:rPr>
          <w:rFonts w:ascii="Arial" w:hAnsi="Arial" w:cs="Arial"/>
          <w:b/>
          <w:bCs/>
          <w:u w:val="single"/>
        </w:rPr>
        <w:t>")[:]</w:t>
      </w:r>
    </w:p>
    <w:p w14:paraId="26BC3079" w14:textId="77777777" w:rsidR="00D219CB" w:rsidRPr="00D219CB" w:rsidRDefault="00D219CB" w:rsidP="00D219CB">
      <w:pPr>
        <w:rPr>
          <w:rFonts w:ascii="Arial" w:hAnsi="Arial" w:cs="Arial"/>
          <w:b/>
          <w:bCs/>
          <w:u w:val="single"/>
        </w:rPr>
      </w:pPr>
      <w:r w:rsidRPr="00D219CB">
        <w:rPr>
          <w:rFonts w:ascii="Arial" w:hAnsi="Arial" w:cs="Arial"/>
          <w:b/>
          <w:bCs/>
          <w:sz w:val="20"/>
          <w:szCs w:val="20"/>
          <w:highlight w:val="magenta"/>
          <w:u w:val="single"/>
        </w:rPr>
        <w:t>THIS IS</w:t>
      </w:r>
      <w:r>
        <w:rPr>
          <w:rFonts w:ascii="Arial" w:hAnsi="Arial" w:cs="Arial"/>
          <w:b/>
          <w:bCs/>
          <w:sz w:val="20"/>
          <w:szCs w:val="20"/>
          <w:u w:val="single"/>
        </w:rPr>
        <w:t xml:space="preserve">: </w:t>
      </w:r>
      <w:r w:rsidRPr="00D219CB">
        <w:rPr>
          <w:rFonts w:ascii="Arial" w:hAnsi="Arial" w:cs="Arial"/>
          <w:b/>
          <w:bCs/>
          <w:u w:val="single"/>
        </w:rPr>
        <w:t xml:space="preserve">rows = </w:t>
      </w:r>
      <w:proofErr w:type="spellStart"/>
      <w:r w:rsidRPr="00D219CB">
        <w:rPr>
          <w:rFonts w:ascii="Arial" w:hAnsi="Arial" w:cs="Arial"/>
          <w:b/>
          <w:bCs/>
          <w:u w:val="single"/>
        </w:rPr>
        <w:t>table.find</w:t>
      </w:r>
      <w:proofErr w:type="spellEnd"/>
      <w:r w:rsidRPr="00D219CB">
        <w:rPr>
          <w:rFonts w:ascii="Arial" w:hAnsi="Arial" w:cs="Arial"/>
          <w:b/>
          <w:bCs/>
          <w:u w:val="single"/>
        </w:rPr>
        <w:t>("</w:t>
      </w:r>
      <w:proofErr w:type="spellStart"/>
      <w:r w:rsidRPr="00D219CB">
        <w:rPr>
          <w:rFonts w:ascii="Arial" w:hAnsi="Arial" w:cs="Arial"/>
          <w:b/>
          <w:bCs/>
          <w:u w:val="single"/>
        </w:rPr>
        <w:t>tbody</w:t>
      </w:r>
      <w:proofErr w:type="spellEnd"/>
      <w:r w:rsidRPr="00D219CB">
        <w:rPr>
          <w:rFonts w:ascii="Arial" w:hAnsi="Arial" w:cs="Arial"/>
          <w:b/>
          <w:bCs/>
          <w:u w:val="single"/>
        </w:rPr>
        <w:t>").</w:t>
      </w:r>
      <w:proofErr w:type="spellStart"/>
      <w:r w:rsidRPr="00D219CB">
        <w:rPr>
          <w:rFonts w:ascii="Arial" w:hAnsi="Arial" w:cs="Arial"/>
          <w:b/>
          <w:bCs/>
          <w:u w:val="single"/>
        </w:rPr>
        <w:t>find_all</w:t>
      </w:r>
      <w:proofErr w:type="spellEnd"/>
      <w:r w:rsidRPr="00D219CB">
        <w:rPr>
          <w:rFonts w:ascii="Arial" w:hAnsi="Arial" w:cs="Arial"/>
          <w:b/>
          <w:bCs/>
          <w:u w:val="single"/>
        </w:rPr>
        <w:t>("tr")</w:t>
      </w:r>
    </w:p>
    <w:p w14:paraId="4D8D07B8" w14:textId="1C9C6308" w:rsidR="00D219CB" w:rsidRPr="003109E9" w:rsidRDefault="00D219CB" w:rsidP="003109E9">
      <w:pPr>
        <w:rPr>
          <w:rFonts w:ascii="Arial" w:hAnsi="Arial" w:cs="Arial"/>
          <w:b/>
          <w:bCs/>
          <w:u w:val="single"/>
        </w:rPr>
      </w:pPr>
    </w:p>
    <w:p w14:paraId="777C1647" w14:textId="24DCBF96" w:rsidR="00655995" w:rsidRPr="00901264" w:rsidRDefault="00655995" w:rsidP="00901264">
      <w:pPr>
        <w:rPr>
          <w:rFonts w:ascii="Arial" w:hAnsi="Arial" w:cs="Arial"/>
          <w:b/>
          <w:bCs/>
          <w:u w:val="single"/>
        </w:rPr>
      </w:pPr>
    </w:p>
    <w:p w14:paraId="532D5B60" w14:textId="77777777" w:rsidR="008B5CC6" w:rsidRPr="00BA1306" w:rsidRDefault="008B5CC6" w:rsidP="008B5CC6">
      <w:pPr>
        <w:spacing w:after="0" w:line="240" w:lineRule="auto"/>
        <w:rPr>
          <w:rFonts w:ascii="Arial" w:hAnsi="Arial" w:cs="Arial"/>
          <w:sz w:val="20"/>
          <w:szCs w:val="20"/>
          <w:highlight w:val="yellow"/>
        </w:rPr>
      </w:pPr>
      <w:r w:rsidRPr="00FC2214">
        <w:rPr>
          <w:rFonts w:ascii="Arial" w:hAnsi="Arial" w:cs="Arial"/>
          <w:sz w:val="20"/>
          <w:szCs w:val="20"/>
        </w:rPr>
        <w:t xml:space="preserve">           </w:t>
      </w:r>
      <w:r w:rsidRPr="00BA1306">
        <w:rPr>
          <w:rFonts w:ascii="Arial" w:hAnsi="Arial" w:cs="Arial"/>
          <w:sz w:val="20"/>
          <w:szCs w:val="20"/>
          <w:highlight w:val="yellow"/>
        </w:rPr>
        <w:t>&lt;table class="</w:t>
      </w:r>
      <w:proofErr w:type="spellStart"/>
      <w:r w:rsidRPr="00BA1306">
        <w:rPr>
          <w:rFonts w:ascii="Arial" w:hAnsi="Arial" w:cs="Arial"/>
          <w:sz w:val="20"/>
          <w:szCs w:val="20"/>
          <w:highlight w:val="yellow"/>
        </w:rPr>
        <w:t>bocss</w:t>
      </w:r>
      <w:proofErr w:type="spellEnd"/>
      <w:r w:rsidRPr="00BA1306">
        <w:rPr>
          <w:rFonts w:ascii="Arial" w:hAnsi="Arial" w:cs="Arial"/>
          <w:sz w:val="20"/>
          <w:szCs w:val="20"/>
          <w:highlight w:val="yellow"/>
        </w:rPr>
        <w:t>-table table-refresh-2024 data" id="table_daily_2"&gt;</w:t>
      </w:r>
    </w:p>
    <w:p w14:paraId="0E174BA4" w14:textId="2E03569E"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w:t>
      </w:r>
      <w:proofErr w:type="spellStart"/>
      <w:r w:rsidRPr="00BA1306">
        <w:rPr>
          <w:rFonts w:ascii="Arial" w:hAnsi="Arial" w:cs="Arial"/>
          <w:sz w:val="20"/>
          <w:szCs w:val="20"/>
          <w:highlight w:val="yellow"/>
        </w:rPr>
        <w:t>thead</w:t>
      </w:r>
      <w:proofErr w:type="spellEnd"/>
      <w:r w:rsidRPr="00BA1306">
        <w:rPr>
          <w:rFonts w:ascii="Arial" w:hAnsi="Arial" w:cs="Arial"/>
          <w:sz w:val="20"/>
          <w:szCs w:val="20"/>
          <w:highlight w:val="yellow"/>
        </w:rPr>
        <w:t>&gt;</w:t>
      </w:r>
    </w:p>
    <w:p w14:paraId="2EBD9D48"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&lt;tr&gt;</w:t>
      </w:r>
    </w:p>
    <w:p w14:paraId="3B47B0AB" w14:textId="77777777" w:rsidR="008B5CC6" w:rsidRPr="00655995" w:rsidRDefault="008B5CC6" w:rsidP="008B5CC6">
      <w:pPr>
        <w:spacing w:after="0" w:line="240" w:lineRule="auto"/>
        <w:rPr>
          <w:rFonts w:ascii="Arial" w:hAnsi="Arial" w:cs="Arial"/>
          <w:sz w:val="20"/>
          <w:szCs w:val="20"/>
          <w:highlight w:val="cyan"/>
        </w:rPr>
      </w:pPr>
      <w:r w:rsidRPr="00BA1306">
        <w:rPr>
          <w:rFonts w:ascii="Arial" w:hAnsi="Arial" w:cs="Arial"/>
          <w:sz w:val="20"/>
          <w:szCs w:val="20"/>
          <w:highlight w:val="yellow"/>
        </w:rPr>
        <w:t xml:space="preserve">              </w:t>
      </w:r>
      <w:r w:rsidRPr="00655995">
        <w:rPr>
          <w:rFonts w:ascii="Arial" w:hAnsi="Arial" w:cs="Arial"/>
          <w:sz w:val="20"/>
          <w:szCs w:val="20"/>
          <w:highlight w:val="cyan"/>
        </w:rPr>
        <w:t>&lt;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class="text" scope="col"&gt;</w:t>
      </w:r>
    </w:p>
    <w:p w14:paraId="48515DF9"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Series</w:t>
      </w:r>
    </w:p>
    <w:p w14:paraId="748EE8BA"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29832E85"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289C5D0A"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19</w:t>
      </w:r>
    </w:p>
    <w:p w14:paraId="11AA0F5E"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441C4E9B"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0D0078C3"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22</w:t>
      </w:r>
    </w:p>
    <w:p w14:paraId="66258C42"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49829B64"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329015E2"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23</w:t>
      </w:r>
    </w:p>
    <w:p w14:paraId="5CA44EAD"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266B18F1"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75A8A413"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24</w:t>
      </w:r>
    </w:p>
    <w:p w14:paraId="61AB5487"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04D6A0FA"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38EA59CF"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25</w:t>
      </w:r>
    </w:p>
    <w:p w14:paraId="11841C84"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14469DEA"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&lt;/tr&gt;</w:t>
      </w:r>
    </w:p>
    <w:p w14:paraId="7424E90E"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w:t>
      </w:r>
      <w:proofErr w:type="spellStart"/>
      <w:r w:rsidRPr="00BA1306">
        <w:rPr>
          <w:rFonts w:ascii="Arial" w:hAnsi="Arial" w:cs="Arial"/>
          <w:sz w:val="20"/>
          <w:szCs w:val="20"/>
          <w:highlight w:val="yellow"/>
        </w:rPr>
        <w:t>thead</w:t>
      </w:r>
      <w:proofErr w:type="spellEnd"/>
      <w:r w:rsidRPr="00BA1306">
        <w:rPr>
          <w:rFonts w:ascii="Arial" w:hAnsi="Arial" w:cs="Arial"/>
          <w:sz w:val="20"/>
          <w:szCs w:val="20"/>
          <w:highlight w:val="yellow"/>
        </w:rPr>
        <w:t>&gt;</w:t>
      </w:r>
    </w:p>
    <w:p w14:paraId="470DB020"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w:t>
      </w:r>
      <w:proofErr w:type="spellStart"/>
      <w:r w:rsidRPr="00BA1306">
        <w:rPr>
          <w:rFonts w:ascii="Arial" w:hAnsi="Arial" w:cs="Arial"/>
          <w:sz w:val="20"/>
          <w:szCs w:val="20"/>
          <w:highlight w:val="yellow"/>
        </w:rPr>
        <w:t>tbody</w:t>
      </w:r>
      <w:proofErr w:type="spellEnd"/>
      <w:r w:rsidRPr="00BA1306">
        <w:rPr>
          <w:rFonts w:ascii="Arial" w:hAnsi="Arial" w:cs="Arial"/>
          <w:sz w:val="20"/>
          <w:szCs w:val="20"/>
          <w:highlight w:val="yellow"/>
        </w:rPr>
        <w:t>&gt;</w:t>
      </w:r>
    </w:p>
    <w:p w14:paraId="732AA725" w14:textId="77777777" w:rsidR="008B5CC6" w:rsidRPr="008E7370" w:rsidRDefault="008B5CC6" w:rsidP="008B5CC6">
      <w:pPr>
        <w:spacing w:after="0" w:line="240" w:lineRule="auto"/>
        <w:rPr>
          <w:rFonts w:ascii="Arial" w:hAnsi="Arial" w:cs="Arial"/>
          <w:sz w:val="20"/>
          <w:szCs w:val="20"/>
          <w:highlight w:val="magenta"/>
        </w:rPr>
      </w:pPr>
      <w:r w:rsidRPr="008E7370">
        <w:rPr>
          <w:rFonts w:ascii="Arial" w:hAnsi="Arial" w:cs="Arial"/>
          <w:sz w:val="20"/>
          <w:szCs w:val="20"/>
          <w:highlight w:val="magenta"/>
        </w:rPr>
        <w:t xml:space="preserve">             &lt;tr&gt;</w:t>
      </w:r>
    </w:p>
    <w:p w14:paraId="465B296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--indent-0" </w:t>
      </w:r>
      <w:proofErr w:type="spellStart"/>
      <w:r w:rsidRPr="00D219CB">
        <w:rPr>
          <w:rFonts w:ascii="Arial" w:hAnsi="Arial" w:cs="Arial"/>
          <w:sz w:val="20"/>
          <w:szCs w:val="20"/>
          <w:highlight w:val="magenta"/>
        </w:rPr>
        <w:t>colspan</w:t>
      </w:r>
      <w:proofErr w:type="spellEnd"/>
      <w:r w:rsidRPr="00D219CB">
        <w:rPr>
          <w:rFonts w:ascii="Arial" w:hAnsi="Arial" w:cs="Arial"/>
          <w:sz w:val="20"/>
          <w:szCs w:val="20"/>
          <w:highlight w:val="magenta"/>
        </w:rPr>
        <w:t>="6" scope="row"&gt;</w:t>
      </w:r>
    </w:p>
    <w:p w14:paraId="324F60A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Government of Canada benchmark bond yields</w:t>
      </w:r>
    </w:p>
    <w:p w14:paraId="2A3BCE8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536E94B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544C067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03A2240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7E4E18D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 </w:t>
      </w:r>
      <w:proofErr w:type="gramStart"/>
      <w:r w:rsidRPr="00D219CB">
        <w:rPr>
          <w:rFonts w:ascii="Arial" w:hAnsi="Arial" w:cs="Arial"/>
          <w:sz w:val="20"/>
          <w:szCs w:val="20"/>
          <w:highlight w:val="magenta"/>
        </w:rPr>
        <w:t>year</w:t>
      </w:r>
      <w:proofErr w:type="gramEnd"/>
    </w:p>
    <w:p w14:paraId="151B84D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5BC4D1E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8B5469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2.46</w:t>
      </w:r>
    </w:p>
    <w:p w14:paraId="4D60CC4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589314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B3381A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2.45</w:t>
      </w:r>
    </w:p>
    <w:p w14:paraId="1202956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829615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68700F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2.45</w:t>
      </w:r>
    </w:p>
    <w:p w14:paraId="743C174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05711E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756D3C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2.45</w:t>
      </w:r>
    </w:p>
    <w:p w14:paraId="0908A6E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BF8E68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lastRenderedPageBreak/>
        <w:t xml:space="preserve">              &lt;td&gt;</w:t>
      </w:r>
    </w:p>
    <w:p w14:paraId="06B0C2B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2.49</w:t>
      </w:r>
    </w:p>
    <w:p w14:paraId="462B32C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24915D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48D8203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2657C30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0FE1E27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 </w:t>
      </w:r>
      <w:proofErr w:type="gramStart"/>
      <w:r w:rsidRPr="00D219CB">
        <w:rPr>
          <w:rFonts w:ascii="Arial" w:hAnsi="Arial" w:cs="Arial"/>
          <w:sz w:val="20"/>
          <w:szCs w:val="20"/>
          <w:highlight w:val="magenta"/>
        </w:rPr>
        <w:t>year</w:t>
      </w:r>
      <w:proofErr w:type="gramEnd"/>
    </w:p>
    <w:p w14:paraId="67BA0A4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672858B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1DF92E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2.47</w:t>
      </w:r>
    </w:p>
    <w:p w14:paraId="4912C95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70C39F6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BC7B34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2.46</w:t>
      </w:r>
    </w:p>
    <w:p w14:paraId="5735516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37FE4F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C805CD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2.45</w:t>
      </w:r>
    </w:p>
    <w:p w14:paraId="7377181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AE3549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E2FF30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2.46</w:t>
      </w:r>
    </w:p>
    <w:p w14:paraId="508C124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8A66F2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40430C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2.49</w:t>
      </w:r>
    </w:p>
    <w:p w14:paraId="7FD0C9F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7E0E9F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5A7D600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16DAEE6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67F9904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5 </w:t>
      </w:r>
      <w:proofErr w:type="gramStart"/>
      <w:r w:rsidRPr="00D219CB">
        <w:rPr>
          <w:rFonts w:ascii="Arial" w:hAnsi="Arial" w:cs="Arial"/>
          <w:sz w:val="20"/>
          <w:szCs w:val="20"/>
          <w:highlight w:val="magenta"/>
        </w:rPr>
        <w:t>year</w:t>
      </w:r>
      <w:proofErr w:type="gramEnd"/>
    </w:p>
    <w:p w14:paraId="6C21EFD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6CFA7CA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08C9DA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2.74</w:t>
      </w:r>
    </w:p>
    <w:p w14:paraId="0D8A110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4BBF3D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9863EB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2.73</w:t>
      </w:r>
    </w:p>
    <w:p w14:paraId="6E20FAD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244472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06A617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2.73</w:t>
      </w:r>
    </w:p>
    <w:p w14:paraId="5C28B6F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1010CA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0506A5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2.73</w:t>
      </w:r>
    </w:p>
    <w:p w14:paraId="680B8FF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E9F288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AE2EAE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2.77</w:t>
      </w:r>
    </w:p>
    <w:p w14:paraId="4E59B52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2872C7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76C2FF1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31C1185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57CF3BD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7 </w:t>
      </w:r>
      <w:proofErr w:type="gramStart"/>
      <w:r w:rsidRPr="00D219CB">
        <w:rPr>
          <w:rFonts w:ascii="Arial" w:hAnsi="Arial" w:cs="Arial"/>
          <w:sz w:val="20"/>
          <w:szCs w:val="20"/>
          <w:highlight w:val="magenta"/>
        </w:rPr>
        <w:t>year</w:t>
      </w:r>
      <w:proofErr w:type="gramEnd"/>
    </w:p>
    <w:p w14:paraId="44375B1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1AAEF6E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542921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2.89</w:t>
      </w:r>
    </w:p>
    <w:p w14:paraId="25EB99E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A7D18E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C32114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2.88</w:t>
      </w:r>
    </w:p>
    <w:p w14:paraId="77CE31E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C5C511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C9FBCC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2.87</w:t>
      </w:r>
    </w:p>
    <w:p w14:paraId="571A7EA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lastRenderedPageBreak/>
        <w:t xml:space="preserve">              &lt;/td&gt;</w:t>
      </w:r>
    </w:p>
    <w:p w14:paraId="2E78B9E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87FF34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2.88</w:t>
      </w:r>
    </w:p>
    <w:p w14:paraId="0FA6003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E63ABC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0C2C58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2.91</w:t>
      </w:r>
    </w:p>
    <w:p w14:paraId="4B2138E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490630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42343E4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6945830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2AC18D7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10 </w:t>
      </w:r>
      <w:proofErr w:type="gramStart"/>
      <w:r w:rsidRPr="00D219CB">
        <w:rPr>
          <w:rFonts w:ascii="Arial" w:hAnsi="Arial" w:cs="Arial"/>
          <w:sz w:val="20"/>
          <w:szCs w:val="20"/>
          <w:highlight w:val="magenta"/>
        </w:rPr>
        <w:t>year</w:t>
      </w:r>
      <w:proofErr w:type="gramEnd"/>
    </w:p>
    <w:p w14:paraId="5E5C34B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125E41D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50FCEC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3.20</w:t>
      </w:r>
    </w:p>
    <w:p w14:paraId="0A7BCE8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AAEFA0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5BA57A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3.19</w:t>
      </w:r>
    </w:p>
    <w:p w14:paraId="48C1603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D95AAF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1CCEFB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3.19</w:t>
      </w:r>
    </w:p>
    <w:p w14:paraId="1E162B5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389378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223A26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3.20</w:t>
      </w:r>
    </w:p>
    <w:p w14:paraId="3C1A7FB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FA28D0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7A0A62C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3.22</w:t>
      </w:r>
    </w:p>
    <w:p w14:paraId="7B7C161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268CB1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6943537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56E60BF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5265053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Long-term</w:t>
      </w:r>
    </w:p>
    <w:p w14:paraId="0886526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2413BBB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41633B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3.64</w:t>
      </w:r>
    </w:p>
    <w:p w14:paraId="02CA456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4D53F0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3E0F69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3.66</w:t>
      </w:r>
    </w:p>
    <w:p w14:paraId="0861156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F7E4D9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7B73261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3.66</w:t>
      </w:r>
    </w:p>
    <w:p w14:paraId="0B884B5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6BE470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CB8BBC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3.67</w:t>
      </w:r>
    </w:p>
    <w:p w14:paraId="6607A28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DF2A62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70DC035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3.67</w:t>
      </w:r>
    </w:p>
    <w:p w14:paraId="4379527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05E414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5AFB1FA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6EFA21D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--indent-0" </w:t>
      </w:r>
      <w:proofErr w:type="spellStart"/>
      <w:r w:rsidRPr="00D219CB">
        <w:rPr>
          <w:rFonts w:ascii="Arial" w:hAnsi="Arial" w:cs="Arial"/>
          <w:sz w:val="20"/>
          <w:szCs w:val="20"/>
          <w:highlight w:val="magenta"/>
        </w:rPr>
        <w:t>colspan</w:t>
      </w:r>
      <w:proofErr w:type="spellEnd"/>
      <w:r w:rsidRPr="00D219CB">
        <w:rPr>
          <w:rFonts w:ascii="Arial" w:hAnsi="Arial" w:cs="Arial"/>
          <w:sz w:val="20"/>
          <w:szCs w:val="20"/>
          <w:highlight w:val="magenta"/>
        </w:rPr>
        <w:t>="6" scope="row"&gt;</w:t>
      </w:r>
    </w:p>
    <w:p w14:paraId="0CF1C6B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Real return bond</w:t>
      </w:r>
    </w:p>
    <w:p w14:paraId="32624E5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006498A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2E4217B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38948C6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35DBAAE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Long-term</w:t>
      </w:r>
    </w:p>
    <w:p w14:paraId="47393FE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lastRenderedPageBreak/>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7A5674A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1C56F9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1.68</w:t>
      </w:r>
    </w:p>
    <w:p w14:paraId="6E5821D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6182C3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8645F6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1.69</w:t>
      </w:r>
    </w:p>
    <w:p w14:paraId="2DAC686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A2D1E0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FE6467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1.70</w:t>
      </w:r>
    </w:p>
    <w:p w14:paraId="00292A9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6542FB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6B723D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1.71</w:t>
      </w:r>
    </w:p>
    <w:p w14:paraId="5AE61B2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8ADC97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E17C46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1.71</w:t>
      </w:r>
    </w:p>
    <w:p w14:paraId="00D7B21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DD8C99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30B9A103"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w:t>
      </w:r>
      <w:proofErr w:type="spellStart"/>
      <w:r w:rsidRPr="00BA1306">
        <w:rPr>
          <w:rFonts w:ascii="Arial" w:hAnsi="Arial" w:cs="Arial"/>
          <w:sz w:val="20"/>
          <w:szCs w:val="20"/>
          <w:highlight w:val="yellow"/>
        </w:rPr>
        <w:t>tbody</w:t>
      </w:r>
      <w:proofErr w:type="spellEnd"/>
      <w:r w:rsidRPr="00BA1306">
        <w:rPr>
          <w:rFonts w:ascii="Arial" w:hAnsi="Arial" w:cs="Arial"/>
          <w:sz w:val="20"/>
          <w:szCs w:val="20"/>
          <w:highlight w:val="yellow"/>
        </w:rPr>
        <w:t>&gt;</w:t>
      </w:r>
    </w:p>
    <w:p w14:paraId="5C62AD4E" w14:textId="77777777" w:rsidR="008B5CC6" w:rsidRDefault="008B5CC6" w:rsidP="008B5CC6">
      <w:pPr>
        <w:spacing w:after="0" w:line="240" w:lineRule="auto"/>
        <w:rPr>
          <w:rFonts w:ascii="Arial" w:hAnsi="Arial" w:cs="Arial"/>
          <w:sz w:val="20"/>
          <w:szCs w:val="20"/>
        </w:rPr>
      </w:pPr>
      <w:r w:rsidRPr="00BA1306">
        <w:rPr>
          <w:rFonts w:ascii="Arial" w:hAnsi="Arial" w:cs="Arial"/>
          <w:sz w:val="20"/>
          <w:szCs w:val="20"/>
          <w:highlight w:val="yellow"/>
        </w:rPr>
        <w:t xml:space="preserve">           &lt;/table&gt;</w:t>
      </w:r>
    </w:p>
    <w:p w14:paraId="1B578C0A" w14:textId="77777777" w:rsidR="00BA1306" w:rsidRPr="00FC2214" w:rsidRDefault="00BA1306" w:rsidP="008B5CC6">
      <w:pPr>
        <w:spacing w:after="0" w:line="240" w:lineRule="auto"/>
        <w:rPr>
          <w:rFonts w:ascii="Arial" w:hAnsi="Arial" w:cs="Arial"/>
          <w:sz w:val="20"/>
          <w:szCs w:val="20"/>
        </w:rPr>
      </w:pPr>
    </w:p>
    <w:p w14:paraId="3E2C9EFF"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 KOHANA LOOKUP CONTENT --&gt;</w:t>
      </w:r>
    </w:p>
    <w:p w14:paraId="50DC83F6"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&lt;p&gt;</w:t>
      </w:r>
    </w:p>
    <w:p w14:paraId="36BF60B7"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Selected benchmark bond yields are based on mid-market closing yields of selected Government of Canada bond issues that mature approximately in the indicated terms. The bond issues used are not necessarily the ones with the remaining time to maturity that is the closest to the indicated term and may differ from other sources. The selected 2-, 5-, 10-, or 30-year issues are generally changed when a building benchmark bond is adopted by financial markets as a benchmark, typically after the last auction for that bond. The selected 3-year issue is usually updated at approximately the same time as changes are made to the 2-year, and sometimes with the 5-year. The selected 7-year issue is typically updated at approximately the same time as the 5- or 10-year benchmarks are changed. The current benchmark bond issues and their effective dates, shown in brackets, are as follows.</w:t>
      </w:r>
    </w:p>
    <w:p w14:paraId="66EE18FB"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&lt;/p&gt;</w:t>
      </w:r>
    </w:p>
    <w:p w14:paraId="5741407B"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&lt;ul&gt;</w:t>
      </w:r>
    </w:p>
    <w:p w14:paraId="7D538CB7"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094A471D"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2 year - 2027.08.01, 2.50% (2025.07.24</w:t>
      </w:r>
      <w:proofErr w:type="gramStart"/>
      <w:r w:rsidRPr="00FC2214">
        <w:rPr>
          <w:rFonts w:ascii="Arial" w:hAnsi="Arial" w:cs="Arial"/>
          <w:sz w:val="20"/>
          <w:szCs w:val="20"/>
        </w:rPr>
        <w:t>);</w:t>
      </w:r>
      <w:proofErr w:type="gramEnd"/>
    </w:p>
    <w:p w14:paraId="0196D61E"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12A0E151"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40F09E8B"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3 year - 2027.09.01, 2.75% (2025.01.16</w:t>
      </w:r>
      <w:proofErr w:type="gramStart"/>
      <w:r w:rsidRPr="00FC2214">
        <w:rPr>
          <w:rFonts w:ascii="Arial" w:hAnsi="Arial" w:cs="Arial"/>
          <w:sz w:val="20"/>
          <w:szCs w:val="20"/>
        </w:rPr>
        <w:t>);</w:t>
      </w:r>
      <w:proofErr w:type="gramEnd"/>
    </w:p>
    <w:p w14:paraId="69FF0FBA"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790B30D4"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3D5D2230"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5 year - 2030.09.01, 2.75% (2025.09.04</w:t>
      </w:r>
      <w:proofErr w:type="gramStart"/>
      <w:r w:rsidRPr="00FC2214">
        <w:rPr>
          <w:rFonts w:ascii="Arial" w:hAnsi="Arial" w:cs="Arial"/>
          <w:sz w:val="20"/>
          <w:szCs w:val="20"/>
        </w:rPr>
        <w:t>);</w:t>
      </w:r>
      <w:proofErr w:type="gramEnd"/>
    </w:p>
    <w:p w14:paraId="38F557F1"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373B7D7C"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0049DC16"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7 year - 2031.12.01, 1.50% (2025.01.16</w:t>
      </w:r>
      <w:proofErr w:type="gramStart"/>
      <w:r w:rsidRPr="00FC2214">
        <w:rPr>
          <w:rFonts w:ascii="Arial" w:hAnsi="Arial" w:cs="Arial"/>
          <w:sz w:val="20"/>
          <w:szCs w:val="20"/>
        </w:rPr>
        <w:t>);</w:t>
      </w:r>
      <w:proofErr w:type="gramEnd"/>
    </w:p>
    <w:p w14:paraId="2C8CE9E5"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34F5CEFC"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551264C6"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10 year - 2035.06.01, 3.25% (2025.06.26</w:t>
      </w:r>
      <w:proofErr w:type="gramStart"/>
      <w:r w:rsidRPr="00FC2214">
        <w:rPr>
          <w:rFonts w:ascii="Arial" w:hAnsi="Arial" w:cs="Arial"/>
          <w:sz w:val="20"/>
          <w:szCs w:val="20"/>
        </w:rPr>
        <w:t>);</w:t>
      </w:r>
      <w:proofErr w:type="gramEnd"/>
    </w:p>
    <w:p w14:paraId="3DB0E7DB"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46BB93ED"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2526BCFF"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Long - 2055.12.01, 2.75% (2024.05.30</w:t>
      </w:r>
      <w:proofErr w:type="gramStart"/>
      <w:r w:rsidRPr="00FC2214">
        <w:rPr>
          <w:rFonts w:ascii="Arial" w:hAnsi="Arial" w:cs="Arial"/>
          <w:sz w:val="20"/>
          <w:szCs w:val="20"/>
        </w:rPr>
        <w:t>);</w:t>
      </w:r>
      <w:proofErr w:type="gramEnd"/>
    </w:p>
    <w:p w14:paraId="5A2D4A91"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169284E7"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0E015ECC"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RRB - 2050.12.01, 0.50% (2020.06.01)</w:t>
      </w:r>
    </w:p>
    <w:p w14:paraId="659E7985"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0BA8D31D"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&lt;/ul&gt;</w:t>
      </w:r>
    </w:p>
    <w:p w14:paraId="66B7B34F"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 END KOHANA LOOKUP CONTENT --&gt;</w:t>
      </w:r>
    </w:p>
    <w:p w14:paraId="606046E0" w14:textId="30066671" w:rsidR="000A2DF2" w:rsidRPr="00FC2214" w:rsidRDefault="008B5CC6" w:rsidP="00BA1306">
      <w:pPr>
        <w:spacing w:after="0" w:line="240" w:lineRule="auto"/>
        <w:rPr>
          <w:rFonts w:ascii="Arial" w:hAnsi="Arial" w:cs="Arial"/>
          <w:sz w:val="20"/>
          <w:szCs w:val="20"/>
        </w:rPr>
      </w:pPr>
      <w:r w:rsidRPr="00FC2214">
        <w:rPr>
          <w:rFonts w:ascii="Arial" w:hAnsi="Arial" w:cs="Arial"/>
          <w:sz w:val="20"/>
          <w:szCs w:val="20"/>
        </w:rPr>
        <w:lastRenderedPageBreak/>
        <w:t xml:space="preserve">          </w:t>
      </w:r>
    </w:p>
    <w:sectPr w:rsidR="000A2DF2" w:rsidRPr="00FC2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F2"/>
    <w:rsid w:val="000A2DF2"/>
    <w:rsid w:val="002941EF"/>
    <w:rsid w:val="003109E9"/>
    <w:rsid w:val="004B4C37"/>
    <w:rsid w:val="005C37EB"/>
    <w:rsid w:val="00655995"/>
    <w:rsid w:val="00677280"/>
    <w:rsid w:val="008B5CC6"/>
    <w:rsid w:val="008E7370"/>
    <w:rsid w:val="00901264"/>
    <w:rsid w:val="00BA1306"/>
    <w:rsid w:val="00CF4F74"/>
    <w:rsid w:val="00D219CB"/>
    <w:rsid w:val="00E6070C"/>
    <w:rsid w:val="00FC2214"/>
    <w:rsid w:val="00FD5B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9E86"/>
  <w15:chartTrackingRefBased/>
  <w15:docId w15:val="{6E5C9C45-DDCD-40E6-BCEB-3731262B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DF2"/>
    <w:rPr>
      <w:rFonts w:eastAsiaTheme="majorEastAsia" w:cstheme="majorBidi"/>
      <w:color w:val="272727" w:themeColor="text1" w:themeTint="D8"/>
    </w:rPr>
  </w:style>
  <w:style w:type="paragraph" w:styleId="Title">
    <w:name w:val="Title"/>
    <w:basedOn w:val="Normal"/>
    <w:next w:val="Normal"/>
    <w:link w:val="TitleChar"/>
    <w:uiPriority w:val="10"/>
    <w:qFormat/>
    <w:rsid w:val="000A2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F2"/>
    <w:pPr>
      <w:spacing w:before="160"/>
      <w:jc w:val="center"/>
    </w:pPr>
    <w:rPr>
      <w:i/>
      <w:iCs/>
      <w:color w:val="404040" w:themeColor="text1" w:themeTint="BF"/>
    </w:rPr>
  </w:style>
  <w:style w:type="character" w:customStyle="1" w:styleId="QuoteChar">
    <w:name w:val="Quote Char"/>
    <w:basedOn w:val="DefaultParagraphFont"/>
    <w:link w:val="Quote"/>
    <w:uiPriority w:val="29"/>
    <w:rsid w:val="000A2DF2"/>
    <w:rPr>
      <w:i/>
      <w:iCs/>
      <w:color w:val="404040" w:themeColor="text1" w:themeTint="BF"/>
    </w:rPr>
  </w:style>
  <w:style w:type="paragraph" w:styleId="ListParagraph">
    <w:name w:val="List Paragraph"/>
    <w:basedOn w:val="Normal"/>
    <w:uiPriority w:val="34"/>
    <w:qFormat/>
    <w:rsid w:val="000A2DF2"/>
    <w:pPr>
      <w:ind w:left="720"/>
      <w:contextualSpacing/>
    </w:pPr>
  </w:style>
  <w:style w:type="character" w:styleId="IntenseEmphasis">
    <w:name w:val="Intense Emphasis"/>
    <w:basedOn w:val="DefaultParagraphFont"/>
    <w:uiPriority w:val="21"/>
    <w:qFormat/>
    <w:rsid w:val="000A2DF2"/>
    <w:rPr>
      <w:i/>
      <w:iCs/>
      <w:color w:val="0F4761" w:themeColor="accent1" w:themeShade="BF"/>
    </w:rPr>
  </w:style>
  <w:style w:type="paragraph" w:styleId="IntenseQuote">
    <w:name w:val="Intense Quote"/>
    <w:basedOn w:val="Normal"/>
    <w:next w:val="Normal"/>
    <w:link w:val="IntenseQuoteChar"/>
    <w:uiPriority w:val="30"/>
    <w:qFormat/>
    <w:rsid w:val="000A2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DF2"/>
    <w:rPr>
      <w:i/>
      <w:iCs/>
      <w:color w:val="0F4761" w:themeColor="accent1" w:themeShade="BF"/>
    </w:rPr>
  </w:style>
  <w:style w:type="character" w:styleId="IntenseReference">
    <w:name w:val="Intense Reference"/>
    <w:basedOn w:val="DefaultParagraphFont"/>
    <w:uiPriority w:val="32"/>
    <w:qFormat/>
    <w:rsid w:val="000A2DF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012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126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Fooq Yiu</dc:creator>
  <cp:keywords/>
  <dc:description/>
  <cp:lastModifiedBy>Fooq Yiu</cp:lastModifiedBy>
  <cp:revision>8</cp:revision>
  <dcterms:created xsi:type="dcterms:W3CDTF">2025-09-29T00:16:00Z</dcterms:created>
  <dcterms:modified xsi:type="dcterms:W3CDTF">2025-09-29T02:30:00Z</dcterms:modified>
</cp:coreProperties>
</file>