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4EFF" w14:textId="77777777" w:rsidR="00005D75" w:rsidRPr="009B71CC" w:rsidRDefault="00005D75" w:rsidP="00E80072">
      <w:pPr>
        <w:spacing w:after="0" w:line="480" w:lineRule="auto"/>
        <w:contextualSpacing/>
        <w:jc w:val="center"/>
        <w:rPr>
          <w:b/>
          <w:bCs/>
        </w:rPr>
      </w:pPr>
      <w:r w:rsidRPr="009B71CC">
        <w:rPr>
          <w:b/>
          <w:bCs/>
        </w:rPr>
        <w:t>Discussion Board 4: Ensuring Medicare's Future Sustainability</w:t>
      </w:r>
    </w:p>
    <w:p w14:paraId="6C2B7F59" w14:textId="77777777" w:rsidR="00005D75" w:rsidRPr="009B71CC" w:rsidRDefault="00005D75" w:rsidP="00E80072">
      <w:pPr>
        <w:spacing w:after="0" w:line="480" w:lineRule="auto"/>
        <w:contextualSpacing/>
        <w:rPr>
          <w:b/>
          <w:bCs/>
        </w:rPr>
      </w:pPr>
      <w:r w:rsidRPr="009B71CC">
        <w:rPr>
          <w:b/>
          <w:bCs/>
        </w:rPr>
        <w:t>What are the alternatives available to policymakers interested in ensuring the solvency of the Medicare program?</w:t>
      </w:r>
    </w:p>
    <w:p w14:paraId="5BC17D21" w14:textId="665E58EE" w:rsidR="00005D75" w:rsidRDefault="00005D75" w:rsidP="00E80072">
      <w:pPr>
        <w:spacing w:after="0" w:line="480" w:lineRule="auto"/>
        <w:contextualSpacing/>
      </w:pPr>
      <w:r>
        <w:t>Medicare is at risk of depleting its trust fund by 2036, and policymakers must consider three types of actions. Revenue increases include raising the 2.9% payroll tax (each 0.1% increase will extend deceleration by one year)</w:t>
      </w:r>
      <w:r w:rsidR="00E80072">
        <w:t xml:space="preserve"> or</w:t>
      </w:r>
      <w:r>
        <w:t xml:space="preserve"> implementing a high-income surcharge on beneficiaries making over current thresholds (which could </w:t>
      </w:r>
      <w:proofErr w:type="gramStart"/>
      <w:r>
        <w:t>be raised</w:t>
      </w:r>
      <w:proofErr w:type="gramEnd"/>
      <w:r>
        <w:t xml:space="preserve"> further</w:t>
      </w:r>
      <w:r w:rsidR="00E80072">
        <w:t>). Lastly, they are considering</w:t>
      </w:r>
      <w:r>
        <w:t xml:space="preserve"> enacting Japan's value-added tax financing approach to capture economic activity more broadly</w:t>
      </w:r>
      <w:r w:rsidR="00E80072" w:rsidRPr="00E80072">
        <w:t xml:space="preserve"> </w:t>
      </w:r>
      <w:r w:rsidR="00E80072">
        <w:t>(</w:t>
      </w:r>
      <w:r w:rsidR="00E80072" w:rsidRPr="00E80072">
        <w:t>Lou</w:t>
      </w:r>
      <w:r w:rsidR="00E80072">
        <w:t xml:space="preserve"> </w:t>
      </w:r>
      <w:r w:rsidR="00E80072" w:rsidRPr="00E80072">
        <w:t>&amp; Buntin, 2025)</w:t>
      </w:r>
      <w:r>
        <w:t xml:space="preserve">. Spending decreases include recapturing the $7 billion spent on Medicare Advantage overpayments each year, raising beneficiary cost-sharing, or limiting additional Medigap supplemental policies that eliminate beneficiaries' price sensitivity to price-cost sharing. Structural approaches include raising the eligibility age because since 1965, people are living six years longer than they were in 1965 or consider combining Part A, B, and D coverage into coverage through a combined structure that would include some level of catastrophic coverage.  </w:t>
      </w:r>
    </w:p>
    <w:p w14:paraId="28EA484F" w14:textId="77777777" w:rsidR="00005D75" w:rsidRPr="009B71CC" w:rsidRDefault="00005D75" w:rsidP="00E80072">
      <w:pPr>
        <w:spacing w:after="0" w:line="480" w:lineRule="auto"/>
        <w:contextualSpacing/>
        <w:rPr>
          <w:b/>
          <w:bCs/>
        </w:rPr>
      </w:pPr>
      <w:r w:rsidRPr="009B71CC">
        <w:rPr>
          <w:b/>
          <w:bCs/>
        </w:rPr>
        <w:t xml:space="preserve">What change should </w:t>
      </w:r>
      <w:proofErr w:type="gramStart"/>
      <w:r w:rsidRPr="009B71CC">
        <w:rPr>
          <w:b/>
          <w:bCs/>
        </w:rPr>
        <w:t>be made</w:t>
      </w:r>
      <w:proofErr w:type="gramEnd"/>
      <w:r w:rsidRPr="009B71CC">
        <w:rPr>
          <w:b/>
          <w:bCs/>
        </w:rPr>
        <w:t xml:space="preserve"> to ensure the future solvency of Medicare?</w:t>
      </w:r>
    </w:p>
    <w:p w14:paraId="3EE4D910" w14:textId="4D3E57A9" w:rsidR="00005D75" w:rsidRDefault="00005D75" w:rsidP="00E80072">
      <w:pPr>
        <w:spacing w:after="0" w:line="480" w:lineRule="auto"/>
        <w:contextualSpacing/>
      </w:pPr>
      <w:r>
        <w:t>The ideal scenario represents a combination of payment reform through value-based payment methods with progressive revenue increases. Research in this area has shown that major legislative reforms that change how and what we pay providers show increase solvency by changing trajectory's cost of growth and not through non-recurrent savings. For example, Accountable Care Organizations can decrease spending growth by 1.6% per year and bundle payments reduce costs by 3.1% per episode, all without diminishing quality</w:t>
      </w:r>
      <w:r w:rsidRPr="00005D75">
        <w:t xml:space="preserve"> </w:t>
      </w:r>
      <w:r>
        <w:lastRenderedPageBreak/>
        <w:t>(</w:t>
      </w:r>
      <w:r w:rsidRPr="00005D75">
        <w:t>Henderson, 2022)</w:t>
      </w:r>
      <w:r>
        <w:t>. Reforms in how we deliver care should occur simultaneously with the elimination of the wage cap from Medicare, which will generate $117 billion in savings over ten years, plus you will create a more equitable financing structure in which higher earners will contribute similar proportions (to income) as lower earners.</w:t>
      </w:r>
    </w:p>
    <w:p w14:paraId="6C6816E6" w14:textId="77777777" w:rsidR="00005D75" w:rsidRPr="009B71CC" w:rsidRDefault="00005D75" w:rsidP="00E80072">
      <w:pPr>
        <w:spacing w:after="0" w:line="480" w:lineRule="auto"/>
        <w:contextualSpacing/>
        <w:rPr>
          <w:b/>
          <w:bCs/>
        </w:rPr>
      </w:pPr>
      <w:r w:rsidRPr="009B71CC">
        <w:rPr>
          <w:b/>
          <w:bCs/>
        </w:rPr>
        <w:t>What lessons can we learn from government-sponsored programs such as Medicare, Medicaid, and the VA System about the problems facing fixed-budget health care systems?</w:t>
      </w:r>
    </w:p>
    <w:p w14:paraId="70435875" w14:textId="2EBEC5BD" w:rsidR="00005D75" w:rsidRDefault="00005D75" w:rsidP="00E80072">
      <w:pPr>
        <w:spacing w:after="0" w:line="480" w:lineRule="auto"/>
        <w:contextualSpacing/>
      </w:pPr>
      <w:r w:rsidRPr="009B71CC">
        <w:t>Lessons from government programs are pertinent to examining fixed budget systems. Low rates paid by Medicaid (72% of Medicare) lead to 35% of physicians refusing new patients, which again illustrates that rate reductions lead to coverage without access. Federal matching of Medicaid allows for unpredictable spikes in spending, while the VA's fixed amounts appropriated routinely produce waiting lists and rationing by waiting time</w:t>
      </w:r>
      <w:r w:rsidR="00E80072" w:rsidRPr="00E80072">
        <w:t xml:space="preserve"> </w:t>
      </w:r>
      <w:r w:rsidR="00E80072">
        <w:t>(</w:t>
      </w:r>
      <w:r w:rsidR="00E80072" w:rsidRPr="00E80072">
        <w:t>Maeda,</w:t>
      </w:r>
      <w:r w:rsidR="00E80072">
        <w:t xml:space="preserve"> </w:t>
      </w:r>
      <w:r w:rsidR="00E80072" w:rsidRPr="00E80072">
        <w:t>2022).</w:t>
      </w:r>
      <w:r w:rsidRPr="009B71CC">
        <w:t xml:space="preserve"> Japan manages these tensions of coverage, access, and cost control through mandatory fee schedules updated once every two years, AI utilization review, and income-adjusted copayments with monthly caps—achieving cost containment and universal access through elegant administration, not crude rate reductions.</w:t>
      </w:r>
    </w:p>
    <w:p w14:paraId="76BB6301" w14:textId="77777777" w:rsidR="00F55924" w:rsidRDefault="00F55924" w:rsidP="00E80072">
      <w:pPr>
        <w:spacing w:after="0" w:line="480" w:lineRule="auto"/>
        <w:contextualSpacing/>
      </w:pPr>
    </w:p>
    <w:p w14:paraId="7F56039F" w14:textId="77777777" w:rsidR="00005D75" w:rsidRDefault="00005D75" w:rsidP="00E80072">
      <w:pPr>
        <w:spacing w:after="0" w:line="480" w:lineRule="auto"/>
        <w:contextualSpacing/>
        <w:jc w:val="center"/>
        <w:rPr>
          <w:b/>
          <w:bCs/>
        </w:rPr>
      </w:pPr>
    </w:p>
    <w:p w14:paraId="191F0879" w14:textId="77777777" w:rsidR="00E80072" w:rsidRDefault="00E80072" w:rsidP="00E80072">
      <w:pPr>
        <w:spacing w:after="0" w:line="480" w:lineRule="auto"/>
        <w:contextualSpacing/>
        <w:rPr>
          <w:b/>
          <w:bCs/>
        </w:rPr>
      </w:pPr>
      <w:r>
        <w:rPr>
          <w:b/>
          <w:bCs/>
        </w:rPr>
        <w:br w:type="page"/>
      </w:r>
    </w:p>
    <w:p w14:paraId="51B96A5B" w14:textId="67B4AB5D" w:rsidR="00F55924" w:rsidRPr="00F55924" w:rsidRDefault="00F55924" w:rsidP="00E80072">
      <w:pPr>
        <w:spacing w:after="0" w:line="480" w:lineRule="auto"/>
        <w:contextualSpacing/>
        <w:jc w:val="center"/>
        <w:rPr>
          <w:b/>
          <w:bCs/>
        </w:rPr>
      </w:pPr>
      <w:r w:rsidRPr="00F55924">
        <w:rPr>
          <w:b/>
          <w:bCs/>
        </w:rPr>
        <w:lastRenderedPageBreak/>
        <w:t>References</w:t>
      </w:r>
    </w:p>
    <w:p w14:paraId="1CE170D0" w14:textId="77777777" w:rsidR="00F55924" w:rsidRPr="00F55924" w:rsidRDefault="00F55924" w:rsidP="00E80072">
      <w:pPr>
        <w:spacing w:after="0" w:line="480" w:lineRule="auto"/>
        <w:ind w:left="720" w:hanging="720"/>
        <w:contextualSpacing/>
      </w:pPr>
      <w:bookmarkStart w:id="0" w:name="_Hlk213882842"/>
      <w:r w:rsidRPr="00F55924">
        <w:t>Henderson, J. W. (2022). </w:t>
      </w:r>
      <w:bookmarkEnd w:id="0"/>
      <w:r w:rsidRPr="00F55924">
        <w:rPr>
          <w:i/>
          <w:iCs/>
        </w:rPr>
        <w:t>Health Economics and Policy</w:t>
      </w:r>
      <w:r w:rsidRPr="00F55924">
        <w:t> (8th ed). Cengage.</w:t>
      </w:r>
    </w:p>
    <w:p w14:paraId="0FB1AFA3" w14:textId="77777777" w:rsidR="00F55924" w:rsidRDefault="00F55924" w:rsidP="00E80072">
      <w:pPr>
        <w:spacing w:after="0" w:line="480" w:lineRule="auto"/>
        <w:ind w:left="720" w:hanging="720"/>
        <w:contextualSpacing/>
      </w:pPr>
      <w:r w:rsidRPr="007827A9">
        <w:t xml:space="preserve">Lou, K. K., &amp; Buntin, M. J. (2025). Solvency extensions to the Medicare Hospital Insurance Trust Fund: what is driving </w:t>
      </w:r>
      <w:proofErr w:type="gramStart"/>
      <w:r w:rsidRPr="007827A9">
        <w:t>them?.</w:t>
      </w:r>
      <w:proofErr w:type="gramEnd"/>
      <w:r w:rsidRPr="007827A9">
        <w:t> </w:t>
      </w:r>
      <w:r w:rsidRPr="007827A9">
        <w:rPr>
          <w:i/>
          <w:iCs/>
        </w:rPr>
        <w:t>Health Affairs Scholar</w:t>
      </w:r>
      <w:r w:rsidRPr="007827A9">
        <w:t>, </w:t>
      </w:r>
      <w:r w:rsidRPr="007827A9">
        <w:rPr>
          <w:i/>
          <w:iCs/>
        </w:rPr>
        <w:t>3</w:t>
      </w:r>
      <w:r w:rsidRPr="007827A9">
        <w:t>(4), qxaf079.</w:t>
      </w:r>
      <w:r w:rsidRPr="007827A9">
        <w:t xml:space="preserve"> </w:t>
      </w:r>
      <w:r w:rsidRPr="007827A9">
        <w:t>https://doi.org/10.1093/haschl/qxaf079</w:t>
      </w:r>
    </w:p>
    <w:p w14:paraId="2EABAC0D" w14:textId="77777777" w:rsidR="00F55924" w:rsidRDefault="00F55924" w:rsidP="00E80072">
      <w:pPr>
        <w:spacing w:after="0" w:line="480" w:lineRule="auto"/>
        <w:ind w:left="720" w:hanging="720"/>
        <w:contextualSpacing/>
        <w:rPr>
          <w:i/>
          <w:iCs/>
        </w:rPr>
      </w:pPr>
      <w:bookmarkStart w:id="1" w:name="_Hlk213882915"/>
      <w:r w:rsidRPr="007827A9">
        <w:t xml:space="preserve">Maeda, J. L. K. (2022). </w:t>
      </w:r>
      <w:bookmarkEnd w:id="1"/>
      <w:r w:rsidRPr="007827A9">
        <w:t xml:space="preserve">Options to Extend Medicare’s Trust Fund: Lessons </w:t>
      </w:r>
      <w:proofErr w:type="gramStart"/>
      <w:r w:rsidRPr="007827A9">
        <w:t>From</w:t>
      </w:r>
      <w:proofErr w:type="gramEnd"/>
      <w:r w:rsidRPr="007827A9">
        <w:t xml:space="preserve"> Japan’s Statutory Health Insurance. </w:t>
      </w:r>
      <w:r w:rsidRPr="007827A9">
        <w:rPr>
          <w:i/>
          <w:iCs/>
        </w:rPr>
        <w:t>INQUIRY: The Journal of Health Care Organization, Provision, and Financing</w:t>
      </w:r>
      <w:r w:rsidRPr="007827A9">
        <w:t>, </w:t>
      </w:r>
      <w:r w:rsidRPr="007827A9">
        <w:rPr>
          <w:i/>
          <w:iCs/>
        </w:rPr>
        <w:t>59</w:t>
      </w:r>
      <w:r w:rsidRPr="007827A9">
        <w:t>, 00469580221143631.</w:t>
      </w:r>
      <w:r w:rsidRPr="007827A9">
        <w:t xml:space="preserve"> </w:t>
      </w:r>
      <w:r w:rsidRPr="007827A9">
        <w:t>https://doi.org/10.1177/00469580221143631</w:t>
      </w:r>
    </w:p>
    <w:sectPr w:rsidR="00F5592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4E3E6" w14:textId="77777777" w:rsidR="0074029E" w:rsidRDefault="0074029E" w:rsidP="00D05484">
      <w:pPr>
        <w:spacing w:after="0" w:line="240" w:lineRule="auto"/>
      </w:pPr>
      <w:r>
        <w:separator/>
      </w:r>
    </w:p>
  </w:endnote>
  <w:endnote w:type="continuationSeparator" w:id="0">
    <w:p w14:paraId="7A05F996" w14:textId="77777777" w:rsidR="0074029E" w:rsidRDefault="0074029E" w:rsidP="00D05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FF2C" w14:textId="77777777" w:rsidR="0074029E" w:rsidRDefault="0074029E" w:rsidP="00D05484">
      <w:pPr>
        <w:spacing w:after="0" w:line="240" w:lineRule="auto"/>
      </w:pPr>
      <w:r>
        <w:separator/>
      </w:r>
    </w:p>
  </w:footnote>
  <w:footnote w:type="continuationSeparator" w:id="0">
    <w:p w14:paraId="53E26E0B" w14:textId="77777777" w:rsidR="0074029E" w:rsidRDefault="0074029E" w:rsidP="00D05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534880"/>
      <w:docPartObj>
        <w:docPartGallery w:val="Page Numbers (Top of Page)"/>
        <w:docPartUnique/>
      </w:docPartObj>
    </w:sdtPr>
    <w:sdtEndPr>
      <w:rPr>
        <w:noProof/>
      </w:rPr>
    </w:sdtEndPr>
    <w:sdtContent>
      <w:p w14:paraId="0D95E282" w14:textId="2FA1D721" w:rsidR="00D05484" w:rsidRDefault="00D054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D41CD6" w14:textId="77777777" w:rsidR="00D05484" w:rsidRDefault="00D054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A9"/>
    <w:rsid w:val="00005D75"/>
    <w:rsid w:val="00142BFF"/>
    <w:rsid w:val="002178BB"/>
    <w:rsid w:val="00284D79"/>
    <w:rsid w:val="00452FAD"/>
    <w:rsid w:val="00675AC5"/>
    <w:rsid w:val="0074029E"/>
    <w:rsid w:val="007827A9"/>
    <w:rsid w:val="00D0212D"/>
    <w:rsid w:val="00D05484"/>
    <w:rsid w:val="00E80072"/>
    <w:rsid w:val="00F55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FFDDC"/>
  <w15:chartTrackingRefBased/>
  <w15:docId w15:val="{E8CCDAD7-C0A0-4A38-8589-CB3B3A47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A9"/>
    <w:rPr>
      <w:rFonts w:eastAsiaTheme="majorEastAsia" w:cstheme="majorBidi"/>
      <w:color w:val="272727" w:themeColor="text1" w:themeTint="D8"/>
    </w:rPr>
  </w:style>
  <w:style w:type="paragraph" w:styleId="Title">
    <w:name w:val="Title"/>
    <w:basedOn w:val="Normal"/>
    <w:next w:val="Normal"/>
    <w:link w:val="TitleChar"/>
    <w:uiPriority w:val="10"/>
    <w:qFormat/>
    <w:rsid w:val="0078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A9"/>
    <w:pPr>
      <w:spacing w:before="160"/>
      <w:jc w:val="center"/>
    </w:pPr>
    <w:rPr>
      <w:i/>
      <w:iCs/>
      <w:color w:val="404040" w:themeColor="text1" w:themeTint="BF"/>
    </w:rPr>
  </w:style>
  <w:style w:type="character" w:customStyle="1" w:styleId="QuoteChar">
    <w:name w:val="Quote Char"/>
    <w:basedOn w:val="DefaultParagraphFont"/>
    <w:link w:val="Quote"/>
    <w:uiPriority w:val="29"/>
    <w:rsid w:val="007827A9"/>
    <w:rPr>
      <w:i/>
      <w:iCs/>
      <w:color w:val="404040" w:themeColor="text1" w:themeTint="BF"/>
    </w:rPr>
  </w:style>
  <w:style w:type="paragraph" w:styleId="ListParagraph">
    <w:name w:val="List Paragraph"/>
    <w:basedOn w:val="Normal"/>
    <w:uiPriority w:val="34"/>
    <w:qFormat/>
    <w:rsid w:val="007827A9"/>
    <w:pPr>
      <w:ind w:left="720"/>
      <w:contextualSpacing/>
    </w:pPr>
  </w:style>
  <w:style w:type="character" w:styleId="IntenseEmphasis">
    <w:name w:val="Intense Emphasis"/>
    <w:basedOn w:val="DefaultParagraphFont"/>
    <w:uiPriority w:val="21"/>
    <w:qFormat/>
    <w:rsid w:val="007827A9"/>
    <w:rPr>
      <w:i/>
      <w:iCs/>
      <w:color w:val="0F4761" w:themeColor="accent1" w:themeShade="BF"/>
    </w:rPr>
  </w:style>
  <w:style w:type="paragraph" w:styleId="IntenseQuote">
    <w:name w:val="Intense Quote"/>
    <w:basedOn w:val="Normal"/>
    <w:next w:val="Normal"/>
    <w:link w:val="IntenseQuoteChar"/>
    <w:uiPriority w:val="30"/>
    <w:qFormat/>
    <w:rsid w:val="0078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7A9"/>
    <w:rPr>
      <w:i/>
      <w:iCs/>
      <w:color w:val="0F4761" w:themeColor="accent1" w:themeShade="BF"/>
    </w:rPr>
  </w:style>
  <w:style w:type="character" w:styleId="IntenseReference">
    <w:name w:val="Intense Reference"/>
    <w:basedOn w:val="DefaultParagraphFont"/>
    <w:uiPriority w:val="32"/>
    <w:qFormat/>
    <w:rsid w:val="007827A9"/>
    <w:rPr>
      <w:b/>
      <w:bCs/>
      <w:smallCaps/>
      <w:color w:val="0F4761" w:themeColor="accent1" w:themeShade="BF"/>
      <w:spacing w:val="5"/>
    </w:rPr>
  </w:style>
  <w:style w:type="paragraph" w:styleId="Header">
    <w:name w:val="header"/>
    <w:basedOn w:val="Normal"/>
    <w:link w:val="HeaderChar"/>
    <w:uiPriority w:val="99"/>
    <w:unhideWhenUsed/>
    <w:rsid w:val="00D05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484"/>
  </w:style>
  <w:style w:type="paragraph" w:styleId="Footer">
    <w:name w:val="footer"/>
    <w:basedOn w:val="Normal"/>
    <w:link w:val="FooterChar"/>
    <w:uiPriority w:val="99"/>
    <w:unhideWhenUsed/>
    <w:rsid w:val="00D05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Access Granted</dc:creator>
  <cp:keywords/>
  <dc:description/>
  <cp:lastModifiedBy>Access Granted</cp:lastModifiedBy>
  <cp:revision>3</cp:revision>
  <dcterms:created xsi:type="dcterms:W3CDTF">2025-11-12T20:36:00Z</dcterms:created>
  <dcterms:modified xsi:type="dcterms:W3CDTF">2025-11-12T20:36:00Z</dcterms:modified>
</cp:coreProperties>
</file>