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7A6B"/>
          <w:sz w:val="52"/>
          <w:szCs w:val="52"/>
        </w:rPr>
        <w:t xml:space="preserve">CHANUKA</w:t>
      </w:r>
    </w:p>
    <w:p>
      <w:pPr>
        <w:spacing w:before="0" w:after="40"/>
      </w:pPr>
      <w:r>
        <w:rPr>
          <w:rFonts w:ascii="Arial" w:cs="Arial" w:eastAsia="Arial" w:hAnsi="Arial"/>
          <w:color w:val="0D1117"/>
          <w:sz w:val="32"/>
          <w:szCs w:val="32"/>
        </w:rPr>
        <w:t xml:space="preserve">Strategic Synthesis</w:t>
      </w:r>
    </w:p>
    <w:p>
      <w:pPr>
        <w:spacing w:before="0" w:after="40"/>
      </w:pPr>
      <w:r>
        <w:rPr>
          <w:rFonts w:ascii="Georgia" w:cs="Georgia" w:eastAsia="Georgia" w:hAnsi="Georgia"/>
          <w:i/>
          <w:iCs/>
          <w:color w:val="6A6E80"/>
          <w:sz w:val="22"/>
          <w:szCs w:val="22"/>
        </w:rPr>
        <w:t xml:space="preserve">From Structural Analysis to Actionable Platform Strategy</w:t>
      </w:r>
    </w:p>
    <w:p>
      <w:pPr>
        <w:spacing w:before="80" w:after="0"/>
      </w:pPr>
    </w:p>
    <w:p>
      <w:pPr>
        <w:spacing w:before="0" w:after="40"/>
      </w:pPr>
      <w:r>
        <w:rPr>
          <w:rFonts w:ascii="Arial" w:cs="Arial" w:eastAsia="Arial" w:hAnsi="Arial"/>
          <w:color w:val="6A6E80"/>
          <w:sz w:val="20"/>
          <w:szCs w:val="20"/>
        </w:rPr>
        <w:t xml:space="preserve">March 2026  ·  Nairobi, Kenya</w:t>
      </w:r>
    </w:p>
    <w:p>
      <w:pPr>
        <w:pBdr>
          <w:bottom w:val="single" w:color="D0CEC8" w:sz="4" w:space="1"/>
        </w:pBdr>
        <w:spacing w:before="60" w:after="240"/>
      </w:pPr>
    </w:p>
    <w:p>
      <w:pPr>
        <w:spacing w:before="80" w:after="0"/>
      </w:pPr>
    </w:p>
    <w:p>
      <w:pPr>
        <w:spacing w:before="0" w:after="80"/>
      </w:pPr>
      <w:r>
        <w:rPr>
          <w:rFonts w:ascii="Arial" w:cs="Arial" w:eastAsia="Arial" w:hAnsi="Arial"/>
          <w:b/>
          <w:bCs/>
          <w:color w:val="1A7A6B"/>
          <w:spacing w:val="30"/>
          <w:sz w:val="17"/>
          <w:szCs w:val="17"/>
        </w:rPr>
        <w:t xml:space="preserve">HOW TO READ THIS DOCUMENT</w:t>
      </w:r>
    </w:p>
    <w:p>
      <w:pPr>
        <w:spacing w:before="0" w:after="180"/>
      </w:pPr>
      <w:r>
        <w:rPr>
          <w:rFonts w:ascii="Georgia" w:cs="Georgia" w:eastAsia="Georgia" w:hAnsi="Georgia"/>
          <w:i w:val="false"/>
          <w:iCs w:val="false"/>
          <w:color w:val="1C1C1C"/>
          <w:sz w:val="22"/>
          <w:szCs w:val="22"/>
        </w:rPr>
        <w:t xml:space="preserve">Three analytical frameworks — a strategic model of how structural change actually happens, a structural audit of Kenya's accumulated political advantage, and a corrected theory of coalition building — were developed independently. They converge on a single actionable strategy for Chanuka. This document extracts that convergence and translates it into operational decisions: who Chanuka targets first, what it names and what it leaves unnamed, how it builds coalition without being absorbed by it, and what structural audit it must produce to make the invisible visible.</w:t>
      </w:r>
    </w:p>
    <w:p>
      <w:pPr>
        <w:spacing w:before="0" w:after="180"/>
      </w:pPr>
      <w:r>
        <w:rPr>
          <w:rFonts w:ascii="Georgia" w:cs="Georgia" w:eastAsia="Georgia" w:hAnsi="Georgia"/>
          <w:i w:val="false"/>
          <w:iCs w:val="false"/>
          <w:color w:val="1C1C1C"/>
          <w:sz w:val="22"/>
          <w:szCs w:val="22"/>
        </w:rPr>
        <w:t xml:space="preserve">Each section opens with the raw insight from the source analysis, derives the strategic implication, and closes with the specific Chanuka action it requires.</w:t>
      </w:r>
    </w:p>
    <w:p>
      <w:r>
        <w:br w:type="page"/>
      </w:r>
    </w:p>
    <w:p>
      <w:pPr>
        <w:spacing w:before="480" w:after="0"/>
      </w:pPr>
      <w:r>
        <w:rPr>
          <w:rFonts w:ascii="Arial" w:cs="Arial" w:eastAsia="Arial" w:hAnsi="Arial"/>
          <w:b/>
          <w:bCs/>
          <w:color w:val="1A7A6B"/>
          <w:sz w:val="28"/>
          <w:szCs w:val="28"/>
        </w:rPr>
        <w:t xml:space="preserve">I.  </w:t>
      </w:r>
      <w:r>
        <w:rPr>
          <w:rFonts w:ascii="Arial" w:cs="Arial" w:eastAsia="Arial" w:hAnsi="Arial"/>
          <w:b/>
          <w:bCs/>
          <w:color w:val="0D1117"/>
          <w:sz w:val="28"/>
          <w:szCs w:val="28"/>
        </w:rPr>
        <w:t xml:space="preserve">The Target Sequencing Problem: Who Chanuka Talks To First</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Jesus did not build his movement by making the structurally comfortable confront their comfort. His operational strategy was: organise the excluded first — build a visible alternative community whose existence was itself the argument — and make himself available to the privileged individuals already troubled enough to seek him out.</w:t>
      </w:r>
    </w:p>
    <w:p>
      <w:pPr>
        <w:spacing w:before="80" w:after="0"/>
      </w:pPr>
    </w:p>
    <w:p>
      <w:pPr>
        <w:pStyle w:val="Heading2"/>
      </w:pPr>
      <w:r>
        <w:t xml:space="preserve">The Structural Insight</w:t>
      </w:r>
    </w:p>
    <w:p>
      <w:pPr>
        <w:spacing w:before="0" w:after="180"/>
      </w:pPr>
      <w:r>
        <w:rPr>
          <w:rFonts w:ascii="Georgia" w:cs="Georgia" w:eastAsia="Georgia" w:hAnsi="Georgia"/>
          <w:i w:val="false"/>
          <w:iCs w:val="false"/>
          <w:color w:val="1C1C1C"/>
          <w:sz w:val="22"/>
          <w:szCs w:val="22"/>
        </w:rPr>
        <w:t xml:space="preserve">The most misapplied strategic instinct in accountability work is targeting the structurally advantaged in order to persuade them to relinquish advantage. This is not only ineffective — it is architecturally backwards. Groups do not voluntarily surrender structural privilege, even when their individual members can be moved in private. The group's collective interest in protection from accountability is stronger than any individual member's private discomfort with the arrangement. This is not cynicism. It is the observed pattern across every accountability movement that has tried to lead with elite persuasion.</w:t>
      </w:r>
    </w:p>
    <w:p>
      <w:pPr>
        <w:spacing w:before="0" w:after="180"/>
      </w:pPr>
      <w:r>
        <w:rPr>
          <w:rFonts w:ascii="Georgia" w:cs="Georgia" w:eastAsia="Georgia" w:hAnsi="Georgia"/>
          <w:i w:val="false"/>
          <w:iCs w:val="false"/>
          <w:color w:val="1C1C1C"/>
          <w:sz w:val="22"/>
          <w:szCs w:val="22"/>
        </w:rPr>
        <w:t xml:space="preserve">Kenya's specific structural configuration makes this even more acute. The Kikuyu-Kalenjin political axis functions as a structural position of accumulated advantage — built through Kenyatta-era land and civil service allocation, compounded through Moi's 24 years of state-directed accumulation for Kalenjin networks, and consolidated in the Jubilee alliance into a unified protective political architecture. The broad-based alliance language — 'national unity,' 'building bridges,' 'all Kenyans' — is the mechanism by which that consolidation is defended from accountability demands without ever having to name itself.</w:t>
      </w:r>
    </w:p>
    <w:p>
      <w:pPr>
        <w:spacing w:before="0" w:after="180"/>
      </w:pPr>
      <w:r>
        <w:rPr>
          <w:rFonts w:ascii="Georgia" w:cs="Georgia" w:eastAsia="Georgia" w:hAnsi="Georgia"/>
          <w:i w:val="false"/>
          <w:iCs w:val="false"/>
          <w:color w:val="1C1C1C"/>
          <w:sz w:val="22"/>
          <w:szCs w:val="22"/>
        </w:rPr>
        <w:t xml:space="preserve">Any approach to Chanuka that leads with making this privileged axis confront its structural position will: trigger defensive coalition closing, confirm the narrative that accountability is ethnic grievance dressed as civic virtue, and fail to produce the political coalition actually required to make accountability infrastructure consequential in 2027.</w:t>
      </w:r>
    </w:p>
    <w:p>
      <w:pPr>
        <w:spacing w:before="80" w:after="180"/>
      </w:pPr>
      <w:r>
        <w:rPr>
          <w:rFonts w:ascii="Georgia" w:cs="Georgia" w:eastAsia="Georgia" w:hAnsi="Georgia"/>
          <w:i/>
          <w:iCs/>
          <w:color w:val="6A6E80"/>
          <w:sz w:val="18"/>
          <w:szCs w:val="18"/>
        </w:rPr>
        <w:t xml:space="preserve">Source: 'The Kikuyu-Kalenjin Alliance as Kenya's Structural Whiteness'; 'What Would Jesus Do — And Who Do You Talk To?'</w:t>
      </w:r>
    </w:p>
    <w:p>
      <w:pPr>
        <w:spacing w:before="120" w:after="0"/>
      </w:pPr>
    </w:p>
    <w:p>
      <w:pPr>
        <w:pStyle w:val="Heading2"/>
      </w:pPr>
      <w:r>
        <w:t xml:space="preserve">The Strategic Implication: Sequence the Excluded First</w:t>
      </w:r>
    </w:p>
    <w:p>
      <w:pPr>
        <w:spacing w:before="0" w:after="180"/>
      </w:pPr>
      <w:r>
        <w:rPr>
          <w:rFonts w:ascii="Georgia" w:cs="Georgia" w:eastAsia="Georgia" w:hAnsi="Georgia"/>
          <w:i w:val="false"/>
          <w:iCs w:val="false"/>
          <w:color w:val="1C1C1C"/>
          <w:sz w:val="22"/>
          <w:szCs w:val="22"/>
        </w:rPr>
        <w:t xml:space="preserve">The communities with the most acute, most specific, most documented accountability deficits are not Central Kenya or Rift Valley. They are coastal communities, northeastern Kenya, Luo, Luhya, and minority communities across the country — the communities that the broad-based alliance system has systematically included individually (Cabinet positions, parastatal appointments) while excluding structurally (land redistribution never addressed, infrastructure investment persistently below per-capita equity, civil service composition unreformed).</w:t>
      </w:r>
    </w:p>
    <w:p>
      <w:pPr>
        <w:spacing w:before="0" w:after="180"/>
      </w:pPr>
      <w:r>
        <w:rPr>
          <w:rFonts w:ascii="Georgia" w:cs="Georgia" w:eastAsia="Georgia" w:hAnsi="Georgia"/>
          <w:i w:val="false"/>
          <w:iCs w:val="false"/>
          <w:color w:val="1C1C1C"/>
          <w:sz w:val="22"/>
          <w:szCs w:val="22"/>
        </w:rPr>
        <w:t xml:space="preserve">These communities share more convergent, specific grievances than they have ever successfully organised around — because ethnic identity politics keeps them competing with each other, and broad-based alliance politics constantly offers their leaders individual inclusion in exchange for collective silence. They have no institution that holds their specific, documented, costed account of what structural exclusion has meant across three generations.</w:t>
      </w:r>
    </w:p>
    <w:p>
      <w:pPr>
        <w:spacing w:before="0" w:after="180"/>
      </w:pPr>
      <w:r>
        <w:rPr>
          <w:rFonts w:ascii="Georgia" w:cs="Georgia" w:eastAsia="Georgia" w:hAnsi="Georgia"/>
          <w:i w:val="false"/>
          <w:iCs w:val="false"/>
          <w:color w:val="1C1C1C"/>
          <w:sz w:val="22"/>
          <w:szCs w:val="22"/>
        </w:rPr>
        <w:t xml:space="preserve">Chanuka's constituency scoring methodology, applied at the constituency level, is the most powerful tool available for naming this exclusion in verifiable, specific, non-accusatory terms. The MP accountability scorecard for a coastal constituency that shows consistent voting against constituency interest, consistent absence on budget debates affecting the region, consistent support for legislation that extracts from rather than builds the constituency — this is not a grievance. It is an arithmetic statement that cannot be dismissed as ethnic resentment.</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constituency scorecard for a marginalised community is not just an accountability tool. It is the first rigorous, public, verifiable document of what their specific exclusion has cost — in votes, in bills, in policies, in shillings. That document has never existed in usable form. Creating it is an act of structural recognition before it is a political act.</w:t>
      </w:r>
    </w:p>
    <w:p>
      <w:pPr>
        <w:spacing w:before="120" w:after="0"/>
      </w:pPr>
    </w:p>
    <w:p>
      <w:pPr>
        <w:pStyle w:val="Heading2"/>
      </w:pPr>
      <w:r>
        <w:t xml:space="preserve">The Zacchaeus Class: The Second Target, Not the First</w:t>
      </w:r>
    </w:p>
    <w:p>
      <w:pPr>
        <w:spacing w:before="0" w:after="180"/>
      </w:pPr>
      <w:r>
        <w:rPr>
          <w:rFonts w:ascii="Georgia" w:cs="Georgia" w:eastAsia="Georgia" w:hAnsi="Georgia"/>
          <w:i w:val="false"/>
          <w:iCs w:val="false"/>
          <w:color w:val="1C1C1C"/>
          <w:sz w:val="22"/>
          <w:szCs w:val="22"/>
        </w:rPr>
        <w:t xml:space="preserve">Within structurally privileged communities, a specific class of individuals exists: those with enough security that they do not need the structure's protection as desperately, with relationships across community lines that have humanised the abstract, with intellectual honesty that makes them uncomfortable with narratives they can see are incomplete, and with enough social capital to absorb the cost of dissenting from their community's consensus.</w:t>
      </w:r>
    </w:p>
    <w:p>
      <w:pPr>
        <w:spacing w:before="0" w:after="180"/>
      </w:pPr>
      <w:r>
        <w:rPr>
          <w:rFonts w:ascii="Georgia" w:cs="Georgia" w:eastAsia="Georgia" w:hAnsi="Georgia"/>
          <w:i w:val="false"/>
          <w:iCs w:val="false"/>
          <w:color w:val="1C1C1C"/>
          <w:sz w:val="22"/>
          <w:szCs w:val="22"/>
        </w:rPr>
        <w:t xml:space="preserve">These people exist in Kikuyu and Kalenjin communities. They are not the majority. They do not need to be. What they need is a coherent, honest framework for understanding what they are already sensing, a specific policy ask rather than a guilt demand, and the community of others making the same crossing. This is the Nicodemus strategy — you do not go to the Sanhedrin; you make yourself available to the members of the Sanhedrin already troubled at night.</w:t>
      </w:r>
    </w:p>
    <w:p>
      <w:pPr>
        <w:spacing w:before="120" w:after="0"/>
      </w:pPr>
    </w:p>
    <w:p>
      <w:pPr>
        <w:pStyle w:val="Heading2"/>
      </w:pPr>
      <w:r>
        <w:t xml:space="preserve">The Chanuka Actions</w:t>
      </w:r>
    </w:p>
    <w:p>
      <w:pPr>
        <w:pStyle w:val="ListParagraph"/>
        <w:numPr>
          <w:ilvl w:val="0"/>
          <w:numId w:val="2"/>
        </w:numPr>
        <w:spacing w:before="40" w:after="80"/>
      </w:pPr>
      <w:r>
        <w:rPr>
          <w:rFonts w:ascii="Georgia" w:cs="Georgia" w:eastAsia="Georgia" w:hAnsi="Georgia"/>
          <w:color w:val="1C1C1C"/>
          <w:sz w:val="22"/>
          <w:szCs w:val="22"/>
        </w:rPr>
        <w:t xml:space="preserve">Nairobi pilot design: ensure constituency selection within the 17-constituency pilot includes constituencies representing the full range of structural inclusion and exclusion — not only middle-class constituencies where digital access is highest, but precisely the constituencies where the accountability gap is widest and the documentation of that gap most absent</w:t>
      </w:r>
    </w:p>
    <w:p>
      <w:pPr>
        <w:pStyle w:val="ListParagraph"/>
        <w:numPr>
          <w:ilvl w:val="0"/>
          <w:numId w:val="2"/>
        </w:numPr>
        <w:spacing w:before="40" w:after="80"/>
      </w:pPr>
      <w:r>
        <w:rPr>
          <w:rFonts w:ascii="Georgia" w:cs="Georgia" w:eastAsia="Georgia" w:hAnsi="Georgia"/>
          <w:color w:val="1C1C1C"/>
          <w:sz w:val="22"/>
          <w:szCs w:val="22"/>
        </w:rPr>
        <w:t xml:space="preserve">Distribution strategy: prioritise civil society partners whose networks reach structurally excluded communities — coastal civil society, northeastern Kenya CSOs, Luo and Luhya civic organisations — as first-wave distribution partners, not second-wave</w:t>
      </w:r>
    </w:p>
    <w:p>
      <w:pPr>
        <w:pStyle w:val="ListParagraph"/>
        <w:numPr>
          <w:ilvl w:val="0"/>
          <w:numId w:val="2"/>
        </w:numPr>
        <w:spacing w:before="40" w:after="80"/>
      </w:pPr>
      <w:r>
        <w:rPr>
          <w:rFonts w:ascii="Georgia" w:cs="Georgia" w:eastAsia="Georgia" w:hAnsi="Georgia"/>
          <w:color w:val="1C1C1C"/>
          <w:sz w:val="22"/>
          <w:szCs w:val="22"/>
        </w:rPr>
        <w:t xml:space="preserve">Framing decision: the platform's public language never frames the accountability gap in ethnic terms. It frames it in constituency terms: 'Your MP's record. Your constituency's interest. The gap between them.' That framing is universally applicable and cannot be dismissed as ethnic grievance</w:t>
      </w:r>
    </w:p>
    <w:p>
      <w:pPr>
        <w:pStyle w:val="ListParagraph"/>
        <w:numPr>
          <w:ilvl w:val="0"/>
          <w:numId w:val="2"/>
        </w:numPr>
        <w:spacing w:before="40" w:after="80"/>
      </w:pPr>
      <w:r>
        <w:rPr>
          <w:rFonts w:ascii="Georgia" w:cs="Georgia" w:eastAsia="Georgia" w:hAnsi="Georgia"/>
          <w:color w:val="1C1C1C"/>
          <w:sz w:val="22"/>
          <w:szCs w:val="22"/>
        </w:rPr>
        <w:t xml:space="preserve">The Zacchaeus channel: make the methodology and data publicly available in a form that structurally privileged individuals acting in good faith can use for self-directed civic education — without requiring Chanuka to make any accusation against their communities</w:t>
      </w:r>
    </w:p>
    <w:p>
      <w:r>
        <w:br w:type="page"/>
      </w:r>
    </w:p>
    <w:p>
      <w:pPr>
        <w:spacing w:before="480" w:after="0"/>
      </w:pPr>
      <w:r>
        <w:rPr>
          <w:rFonts w:ascii="Arial" w:cs="Arial" w:eastAsia="Arial" w:hAnsi="Arial"/>
          <w:b/>
          <w:bCs/>
          <w:color w:val="1A7A6B"/>
          <w:sz w:val="28"/>
          <w:szCs w:val="28"/>
        </w:rPr>
        <w:t xml:space="preserve">II.  </w:t>
      </w:r>
      <w:r>
        <w:rPr>
          <w:rFonts w:ascii="Arial" w:cs="Arial" w:eastAsia="Arial" w:hAnsi="Arial"/>
          <w:b/>
          <w:bCs/>
          <w:color w:val="0D1117"/>
          <w:sz w:val="28"/>
          <w:szCs w:val="28"/>
        </w:rPr>
        <w:t xml:space="preserve">The Naming Problem: What Chanuka Makes Visible Without Making Accusatory</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You cannot argue with a map that shows where roads were built and weren't built for 60 years. Grievance is easy to dismiss. Data is harder. The structural audit that Kenya does not have — and desperately needs — is the most structurally disruptive act available. Its absence is not accidental. It is itself a product of the structure it would expose.</w:t>
      </w:r>
    </w:p>
    <w:p>
      <w:pPr>
        <w:spacing w:before="80" w:after="0"/>
      </w:pPr>
    </w:p>
    <w:p>
      <w:pPr>
        <w:pStyle w:val="Heading2"/>
      </w:pPr>
      <w:r>
        <w:t xml:space="preserve">The Structural Insight</w:t>
      </w:r>
    </w:p>
    <w:p>
      <w:pPr>
        <w:spacing w:before="0" w:after="180"/>
      </w:pPr>
      <w:r>
        <w:rPr>
          <w:rFonts w:ascii="Georgia" w:cs="Georgia" w:eastAsia="Georgia" w:hAnsi="Georgia"/>
          <w:i w:val="false"/>
          <w:iCs w:val="false"/>
          <w:color w:val="1C1C1C"/>
          <w:sz w:val="22"/>
          <w:szCs w:val="22"/>
        </w:rPr>
        <w:t xml:space="preserve">Kenya's structural whiteness — the accumulated advantage of the Kikuyu-Kalenjin axis — is protected primarily by its invisibility. It does not require conscious coordination or active malice to perpetuate. It operates through the absence of documentation: no accessible, politically usable account of where infrastructure investment went per capita across 60 years; no public breakdown of civil service and parastatal senior leadership composition over time; no map of land ownership distribution by community across counties; no analysis of government procurement beneficiary breakdown; no audit of university admission and scholarship allocation patterns.</w:t>
      </w:r>
    </w:p>
    <w:p>
      <w:pPr>
        <w:spacing w:before="0" w:after="180"/>
      </w:pPr>
      <w:r>
        <w:rPr>
          <w:rFonts w:ascii="Georgia" w:cs="Georgia" w:eastAsia="Georgia" w:hAnsi="Georgia"/>
          <w:i w:val="false"/>
          <w:iCs w:val="false"/>
          <w:color w:val="1C1C1C"/>
          <w:sz w:val="22"/>
          <w:szCs w:val="22"/>
        </w:rPr>
        <w:t xml:space="preserve">This absence is not bureaucratic oversight. It is structural self-defence. The data, if assembled and made publicly accessible, would produce a document that is impossible to dismiss as ethnic grievance because it would be — like all of Chanuka's methodology — arithmetic. The map does not accuse. It shows. And what it shows cannot be unseen.</w:t>
      </w:r>
    </w:p>
    <w:p>
      <w:pPr>
        <w:spacing w:before="0" w:after="180"/>
      </w:pPr>
      <w:r>
        <w:rPr>
          <w:rFonts w:ascii="Georgia" w:cs="Georgia" w:eastAsia="Georgia" w:hAnsi="Georgia"/>
          <w:i w:val="false"/>
          <w:iCs w:val="false"/>
          <w:color w:val="1C1C1C"/>
          <w:sz w:val="22"/>
          <w:szCs w:val="22"/>
        </w:rPr>
        <w:t xml:space="preserve">The broad-based alliance language specifically operates to prevent this showing. 'National unity' converts the question 'who accumulated what through state power and was that legitimate?' into 'how do we govern together harmoniously?' The second question has no redistribution in it. It assumes the current distribution is the starting point everyone governs from. Every year the structural question is not addressed, the advantage compounds. A Kikuyu family with Kenyatta-era land has had 60 years of property appreciation, rental income, collateral for business loans, and political leverage. The longer the conversation is deferred, the more politically impossible the remedy — which suits those with the accumulation precisely.</w:t>
      </w:r>
    </w:p>
    <w:p>
      <w:pPr>
        <w:spacing w:before="80" w:after="180"/>
      </w:pPr>
      <w:r>
        <w:rPr>
          <w:rFonts w:ascii="Georgia" w:cs="Georgia" w:eastAsia="Georgia" w:hAnsi="Georgia"/>
          <w:i/>
          <w:iCs/>
          <w:color w:val="6A6E80"/>
          <w:sz w:val="18"/>
          <w:szCs w:val="18"/>
        </w:rPr>
        <w:t xml:space="preserve">Source: 'The Kikuyu-Kalenjin Alliance as Kenya's Structural Whiteness'</w:t>
      </w:r>
    </w:p>
    <w:p>
      <w:pPr>
        <w:spacing w:before="120" w:after="0"/>
      </w:pPr>
    </w:p>
    <w:p>
      <w:pPr>
        <w:pStyle w:val="Heading2"/>
      </w:pPr>
      <w:r>
        <w:t xml:space="preserve">The Strategic Implication: The Structural Audit as Chanuka's Most Powerful Deliverable</w:t>
      </w:r>
    </w:p>
    <w:p>
      <w:pPr>
        <w:spacing w:before="0" w:after="180"/>
      </w:pPr>
      <w:r>
        <w:rPr>
          <w:rFonts w:ascii="Georgia" w:cs="Georgia" w:eastAsia="Georgia" w:hAnsi="Georgia"/>
          <w:i w:val="false"/>
          <w:iCs w:val="false"/>
          <w:color w:val="1C1C1C"/>
          <w:sz w:val="22"/>
          <w:szCs w:val="22"/>
        </w:rPr>
        <w:t xml:space="preserve">Chanuka's current methodology addresses the legislative accountability gap — it tracks how MPs vote and scores the gap between their voting record and constituency interest. This is essential. It is also incomplete as a structural intervention, because the most consequential forms of structural advantage are not captured in any single parliamentary vote. They are captured in the accumulated pattern of resource allocation, infrastructure investment, and institutional access across six decades of governance.</w:t>
      </w:r>
    </w:p>
    <w:p>
      <w:pPr>
        <w:spacing w:before="0" w:after="180"/>
      </w:pPr>
      <w:r>
        <w:rPr>
          <w:rFonts w:ascii="Georgia" w:cs="Georgia" w:eastAsia="Georgia" w:hAnsi="Georgia"/>
          <w:i w:val="false"/>
          <w:iCs w:val="false"/>
          <w:color w:val="1C1C1C"/>
          <w:sz w:val="22"/>
          <w:szCs w:val="22"/>
        </w:rPr>
        <w:t xml:space="preserve">The structural audit that Chanuka is positioned to produce — or to anchor as a collaborative project with investigative journalism, civil society, and academic partners — would include:</w:t>
      </w:r>
    </w:p>
    <w:p>
      <w:pPr>
        <w:pStyle w:val="ListParagraph"/>
        <w:numPr>
          <w:ilvl w:val="0"/>
          <w:numId w:val="2"/>
        </w:numPr>
        <w:spacing w:before="40" w:after="80"/>
      </w:pPr>
      <w:r>
        <w:rPr>
          <w:rFonts w:ascii="Georgia" w:cs="Georgia" w:eastAsia="Georgia" w:hAnsi="Georgia"/>
          <w:color w:val="1C1C1C"/>
          <w:sz w:val="22"/>
          <w:szCs w:val="22"/>
        </w:rPr>
        <w:t xml:space="preserve">Infrastructure investment distribution per capita by constituency and region across the 1963–2026 period, sourced from public budget records and Treasury documents</w:t>
      </w:r>
    </w:p>
    <w:p>
      <w:pPr>
        <w:pStyle w:val="ListParagraph"/>
        <w:numPr>
          <w:ilvl w:val="0"/>
          <w:numId w:val="2"/>
        </w:numPr>
        <w:spacing w:before="40" w:after="80"/>
      </w:pPr>
      <w:r>
        <w:rPr>
          <w:rFonts w:ascii="Georgia" w:cs="Georgia" w:eastAsia="Georgia" w:hAnsi="Georgia"/>
          <w:color w:val="1C1C1C"/>
          <w:sz w:val="22"/>
          <w:szCs w:val="22"/>
        </w:rPr>
        <w:t xml:space="preserve">Civil service Grade B and above composition by community over time, sourced from Public Service Commission records</w:t>
      </w:r>
    </w:p>
    <w:p>
      <w:pPr>
        <w:pStyle w:val="ListParagraph"/>
        <w:numPr>
          <w:ilvl w:val="0"/>
          <w:numId w:val="2"/>
        </w:numPr>
        <w:spacing w:before="40" w:after="80"/>
      </w:pPr>
      <w:r>
        <w:rPr>
          <w:rFonts w:ascii="Georgia" w:cs="Georgia" w:eastAsia="Georgia" w:hAnsi="Georgia"/>
          <w:color w:val="1C1C1C"/>
          <w:sz w:val="22"/>
          <w:szCs w:val="22"/>
        </w:rPr>
        <w:t xml:space="preserve">Government procurement beneficiary breakdown by constituency and company ownership, sourced from PPOA public records</w:t>
      </w:r>
    </w:p>
    <w:p>
      <w:pPr>
        <w:pStyle w:val="ListParagraph"/>
        <w:numPr>
          <w:ilvl w:val="0"/>
          <w:numId w:val="2"/>
        </w:numPr>
        <w:spacing w:before="40" w:after="80"/>
      </w:pPr>
      <w:r>
        <w:rPr>
          <w:rFonts w:ascii="Georgia" w:cs="Georgia" w:eastAsia="Georgia" w:hAnsi="Georgia"/>
          <w:color w:val="1C1C1C"/>
          <w:sz w:val="22"/>
          <w:szCs w:val="22"/>
        </w:rPr>
        <w:t xml:space="preserve">National Land Commission records of land allocation and redistribution outcomes since 2010</w:t>
      </w:r>
    </w:p>
    <w:p>
      <w:pPr>
        <w:pStyle w:val="ListParagraph"/>
        <w:numPr>
          <w:ilvl w:val="0"/>
          <w:numId w:val="2"/>
        </w:numPr>
        <w:spacing w:before="40" w:after="80"/>
      </w:pPr>
      <w:r>
        <w:rPr>
          <w:rFonts w:ascii="Georgia" w:cs="Georgia" w:eastAsia="Georgia" w:hAnsi="Georgia"/>
          <w:color w:val="1C1C1C"/>
          <w:sz w:val="22"/>
          <w:szCs w:val="22"/>
        </w:rPr>
        <w:t xml:space="preserve">Consistency analysis: does the MP's voting record on budget allocation bills track with their constituency's structural position, or does it track with the broader alliance's protection of accumulated advantage?</w:t>
      </w:r>
    </w:p>
    <w:p>
      <w:pPr>
        <w:spacing w:before="80" w:after="0"/>
      </w:pPr>
    </w:p>
    <w:p>
      <w:pPr>
        <w:spacing w:before="0" w:after="180"/>
      </w:pPr>
      <w:r>
        <w:rPr>
          <w:rFonts w:ascii="Georgia" w:cs="Georgia" w:eastAsia="Georgia" w:hAnsi="Georgia"/>
          <w:i w:val="false"/>
          <w:iCs w:val="false"/>
          <w:color w:val="1C1C1C"/>
          <w:sz w:val="22"/>
          <w:szCs w:val="22"/>
        </w:rPr>
        <w:t xml:space="preserve">This last item is the bridge between the legislative accountability methodology and the structural audit. An MP from a structurally excluded constituency who consistently votes for budget allocations that maintain the infrastructure investment gap is doing something specific and documentable. Chanuka can name it without making an ethnic accusation — because the name is in the voting record, and the structural context is in the audit.</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name of the structural problem is not the Kikuyu-Kalenjin alliance. The name is the specific bill, the specific budget line, the specific allocation formula, voted for by the specific MP, on the specific date. The alliance is the context. The vote is the evidence. Chanuka holds the evidence.</w:t>
      </w:r>
    </w:p>
    <w:p>
      <w:pPr>
        <w:spacing w:before="120" w:after="0"/>
      </w:pPr>
    </w:p>
    <w:p>
      <w:pPr>
        <w:pStyle w:val="Heading2"/>
      </w:pPr>
      <w:r>
        <w:t xml:space="preserve">The Naming Discipline</w:t>
      </w:r>
    </w:p>
    <w:p>
      <w:pPr>
        <w:spacing w:before="0" w:after="180"/>
      </w:pPr>
      <w:r>
        <w:rPr>
          <w:rFonts w:ascii="Georgia" w:cs="Georgia" w:eastAsia="Georgia" w:hAnsi="Georgia"/>
          <w:i w:val="false"/>
          <w:iCs w:val="false"/>
          <w:color w:val="1C1C1C"/>
          <w:sz w:val="22"/>
          <w:szCs w:val="22"/>
        </w:rPr>
        <w:t xml:space="preserve">The distinction between naming the structure and accusing the people is the most operationally critical discipline in Chanuka's public communication. It requires a specific framing practice at every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Instead of saying...</w:t>
            </w:r>
          </w:p>
        </w:tc>
        <w:tc>
          <w:tcPr>
            <w:tcW w:type="dxa" w:w="31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Say...</w:t>
            </w:r>
          </w:p>
        </w:tc>
        <w:tc>
          <w:tcPr>
            <w:tcW w:type="dxa" w:w="31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Why the difference matters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'Kikuyu and Kalenjin MPs voted against your interests'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'MP [Name] voted for the revenue sharing formula that allocates KSh 800 per capita to your constituency versus KSh 2,400 to [comparison constituency]'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First is ethnic accusation. Second is a verifiable arithmetic statement that survives any scrutiny.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government favours certain communities'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2022-2023 roads budget allocated 34% of funding to constituencies covering 12% of the population — here is the breakdown by constituency'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First is a narrative. Second is a document.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'Historical injustice must be addressed'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constituency development fund per-capita gap between highest and lowest allocations is 4.7x. Here is the 10-year trend. Here are the MPs who voted on the formula each year.'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First invites a debate about history. Second demands a response to arithmetic.</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'Some communities have been left behind'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'Constituency X has received 0.3km of tarmac road per 10,000 residents over 20 years. The national average is 1.8km. Here are the budget votes.'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First is a feeling. Second is a map.</w:t>
            </w:r>
          </w:p>
        </w:tc>
      </w:tr>
    </w:tbl>
    <w:p>
      <w:pPr>
        <w:spacing w:before="200" w:after="0"/>
      </w:pPr>
    </w:p>
    <w:p>
      <w:pPr>
        <w:spacing w:before="80" w:after="180"/>
      </w:pPr>
      <w:r>
        <w:rPr>
          <w:rFonts w:ascii="Georgia" w:cs="Georgia" w:eastAsia="Georgia" w:hAnsi="Georgia"/>
          <w:i/>
          <w:iCs/>
          <w:color w:val="6A6E80"/>
          <w:sz w:val="18"/>
          <w:szCs w:val="18"/>
        </w:rPr>
        <w:t xml:space="preserve">Source: 'The Kikuyu-Kalenjin Alliance as Kenya's Structural Whiteness'; 'What Would Jesus Do — And Who Do You Talk To?'</w:t>
      </w:r>
    </w:p>
    <w:p>
      <w:r>
        <w:br w:type="page"/>
      </w:r>
    </w:p>
    <w:p>
      <w:pPr>
        <w:spacing w:before="480" w:after="0"/>
      </w:pPr>
      <w:r>
        <w:rPr>
          <w:rFonts w:ascii="Arial" w:cs="Arial" w:eastAsia="Arial" w:hAnsi="Arial"/>
          <w:b/>
          <w:bCs/>
          <w:color w:val="1A7A6B"/>
          <w:sz w:val="28"/>
          <w:szCs w:val="28"/>
        </w:rPr>
        <w:t xml:space="preserve">III.  </w:t>
      </w:r>
      <w:r>
        <w:rPr>
          <w:rFonts w:ascii="Arial" w:cs="Arial" w:eastAsia="Arial" w:hAnsi="Arial"/>
          <w:b/>
          <w:bCs/>
          <w:color w:val="0D1117"/>
          <w:sz w:val="28"/>
          <w:szCs w:val="28"/>
        </w:rPr>
        <w:t xml:space="preserve">The Coalition Problem: How Chanuka Builds Broad Without Becoming Vague</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Obama's common ground model is correct — and it is being applied to the wrong problem. The distortion happens when 'find common ground' gets converted into 'blur your agenda so more people can project onto it.' That is not coalition. That is manufactured ambiguity. And it is the Kenyan coalition problem exactly.</w:t>
      </w:r>
    </w:p>
    <w:p>
      <w:pPr>
        <w:spacing w:before="80" w:after="0"/>
      </w:pPr>
    </w:p>
    <w:p>
      <w:pPr>
        <w:pStyle w:val="Heading2"/>
      </w:pPr>
      <w:r>
        <w:t xml:space="preserve">The Structural Insight</w:t>
      </w:r>
    </w:p>
    <w:p>
      <w:pPr>
        <w:spacing w:before="0" w:after="180"/>
      </w:pPr>
      <w:r>
        <w:rPr>
          <w:rFonts w:ascii="Georgia" w:cs="Georgia" w:eastAsia="Georgia" w:hAnsi="Georgia"/>
          <w:i w:val="false"/>
          <w:iCs w:val="false"/>
          <w:color w:val="1C1C1C"/>
          <w:sz w:val="22"/>
          <w:szCs w:val="22"/>
        </w:rPr>
        <w:t xml:space="preserve">Obama's coalition theory and King's movement strategy are not in opposition — they are in sequence. Obama's model operates at the level of electoral mathematics: you cannot pass legislation without 51 votes; you cannot win a national election appealing only to your base; you must find people who agree with you on this specific thing even if they disagree on everything else. This is correct. It is also what the civil rights movement actually did — King built coalitions with white clergy, Jewish organisations, and labour unions. They did not agree on everything. They agreed on specific, named, legally targeted things. The coalition was broad but the agenda was narrow.</w:t>
      </w:r>
    </w:p>
    <w:p>
      <w:pPr>
        <w:spacing w:before="0" w:after="180"/>
      </w:pPr>
      <w:r>
        <w:rPr>
          <w:rFonts w:ascii="Georgia" w:cs="Georgia" w:eastAsia="Georgia" w:hAnsi="Georgia"/>
          <w:i w:val="false"/>
          <w:iCs w:val="false"/>
          <w:color w:val="1C1C1C"/>
          <w:sz w:val="22"/>
          <w:szCs w:val="22"/>
        </w:rPr>
        <w:t xml:space="preserve">The distortion that produces Kenya's accountability failure is when 'find common ground' becomes 'blur your agenda so more people can project onto it.' Obama's own presidency is the evidence of where that distortion leads: the broadest possible coalition around the least threatening version of the agenda. He won twice. Legislatively on Black specific issues — very little moved. The coalition succeeded at getting him elected. It was far less successful at converting political loyalty into policy outcomes.</w:t>
      </w:r>
    </w:p>
    <w:p>
      <w:pPr>
        <w:spacing w:before="0" w:after="180"/>
      </w:pPr>
      <w:r>
        <w:rPr>
          <w:rFonts w:ascii="Georgia" w:cs="Georgia" w:eastAsia="Georgia" w:hAnsi="Georgia"/>
          <w:i w:val="false"/>
          <w:iCs w:val="false"/>
          <w:color w:val="1C1C1C"/>
          <w:sz w:val="22"/>
          <w:szCs w:val="22"/>
        </w:rPr>
        <w:t xml:space="preserve">The lesson is precise and operational: specificity of agenda must precede breadth of coalition. You decide exactly what you want first — in measurable, legally grounded, falsifiable terms. Then you build the broadest possible coalition around those specific things. What you cannot do is build the coalition first and hope specific outcomes emerge from the vagueness. Kenya's broad-based alliances build coalition first. The agenda disappears into the vagueness required to hold the coalition together. There is nothing left to deliver.</w:t>
      </w:r>
    </w:p>
    <w:p>
      <w:pPr>
        <w:spacing w:before="80" w:after="180"/>
      </w:pPr>
      <w:r>
        <w:rPr>
          <w:rFonts w:ascii="Georgia" w:cs="Georgia" w:eastAsia="Georgia" w:hAnsi="Georgia"/>
          <w:i/>
          <w:iCs/>
          <w:color w:val="6A6E80"/>
          <w:sz w:val="18"/>
          <w:szCs w:val="18"/>
        </w:rPr>
        <w:t xml:space="preserve">Source: 'Obama's Argument Is Right — And It's Being Applied to the Wrong Problem'</w:t>
      </w:r>
    </w:p>
    <w:p>
      <w:pPr>
        <w:spacing w:before="120" w:after="0"/>
      </w:pPr>
    </w:p>
    <w:p>
      <w:pPr>
        <w:pStyle w:val="Heading2"/>
      </w:pPr>
      <w:r>
        <w:t xml:space="preserve">The Strategic Implication: The Specificity Anchor</w:t>
      </w:r>
    </w:p>
    <w:p>
      <w:pPr>
        <w:spacing w:before="0" w:after="180"/>
      </w:pPr>
      <w:r>
        <w:rPr>
          <w:rFonts w:ascii="Georgia" w:cs="Georgia" w:eastAsia="Georgia" w:hAnsi="Georgia"/>
          <w:i w:val="false"/>
          <w:iCs w:val="false"/>
          <w:color w:val="1C1C1C"/>
          <w:sz w:val="22"/>
          <w:szCs w:val="22"/>
        </w:rPr>
        <w:t xml:space="preserve">Chanuka's coalition risk is real and specific: as the platform gains credibility and reach, it will attract political actors from across the spectrum who want to use accountability data for their own electoral purposes. This is good — it means the data is consequential. It is also dangerous — it is precisely the mechanism by which civic accountability tools get absorbed into partisan coalitions and lose the non-partisan credibility that made them valuable.</w:t>
      </w:r>
    </w:p>
    <w:p>
      <w:pPr>
        <w:spacing w:before="0" w:after="180"/>
      </w:pPr>
      <w:r>
        <w:rPr>
          <w:rFonts w:ascii="Georgia" w:cs="Georgia" w:eastAsia="Georgia" w:hAnsi="Georgia"/>
          <w:i w:val="false"/>
          <w:iCs w:val="false"/>
          <w:color w:val="1C1C1C"/>
          <w:sz w:val="22"/>
          <w:szCs w:val="22"/>
        </w:rPr>
        <w:t xml:space="preserve">The protection is not refusing partnerships. It is the specificity anchor: Chanuka maintains, publicly and non-negotiably, a specific, narrow, measurable agenda that no coalition partner can blur. The agenda is:</w:t>
      </w:r>
    </w:p>
    <w:p>
      <w:pPr>
        <w:pStyle w:val="ListParagraph"/>
        <w:numPr>
          <w:ilvl w:val="0"/>
          <w:numId w:val="2"/>
        </w:numPr>
        <w:spacing w:before="40" w:after="80"/>
      </w:pPr>
      <w:r>
        <w:rPr>
          <w:rFonts w:ascii="Georgia" w:cs="Georgia" w:eastAsia="Georgia" w:hAnsi="Georgia"/>
          <w:color w:val="1C1C1C"/>
          <w:sz w:val="22"/>
          <w:szCs w:val="22"/>
        </w:rPr>
        <w:t xml:space="preserve">Every National Assembly MP's voting record, verified from the parliamentary record, available by constituency, in plain language</w:t>
      </w:r>
    </w:p>
    <w:p>
      <w:pPr>
        <w:pStyle w:val="ListParagraph"/>
        <w:numPr>
          <w:ilvl w:val="0"/>
          <w:numId w:val="2"/>
        </w:numPr>
        <w:spacing w:before="40" w:after="80"/>
      </w:pPr>
      <w:r>
        <w:rPr>
          <w:rFonts w:ascii="Georgia" w:cs="Georgia" w:eastAsia="Georgia" w:hAnsi="Georgia"/>
          <w:color w:val="1C1C1C"/>
          <w:sz w:val="22"/>
          <w:szCs w:val="22"/>
        </w:rPr>
        <w:t xml:space="preserve">A constituency accountability score that measures the gap between voting record and constituency interest — by specific bills, specific votes, specific economic impact</w:t>
      </w:r>
    </w:p>
    <w:p>
      <w:pPr>
        <w:pStyle w:val="ListParagraph"/>
        <w:numPr>
          <w:ilvl w:val="0"/>
          <w:numId w:val="2"/>
        </w:numPr>
        <w:spacing w:before="40" w:after="80"/>
      </w:pPr>
      <w:r>
        <w:rPr>
          <w:rFonts w:ascii="Georgia" w:cs="Georgia" w:eastAsia="Georgia" w:hAnsi="Georgia"/>
          <w:color w:val="1C1C1C"/>
          <w:sz w:val="22"/>
          <w:szCs w:val="22"/>
        </w:rPr>
        <w:t xml:space="preserve">Constitutional violation detection for every bill before it is voted on — in plain language, with the specific constitutional provision referenced</w:t>
      </w:r>
    </w:p>
    <w:p>
      <w:pPr>
        <w:pStyle w:val="ListParagraph"/>
        <w:numPr>
          <w:ilvl w:val="0"/>
          <w:numId w:val="2"/>
        </w:numPr>
        <w:spacing w:before="40" w:after="80"/>
      </w:pPr>
      <w:r>
        <w:rPr>
          <w:rFonts w:ascii="Georgia" w:cs="Georgia" w:eastAsia="Georgia" w:hAnsi="Georgia"/>
          <w:color w:val="1C1C1C"/>
          <w:sz w:val="22"/>
          <w:szCs w:val="22"/>
        </w:rPr>
        <w:t xml:space="preserve">Pre-election voter education materials — one page per MP, shareable, readable in two minutes — distributed before the 2027 campaign opens</w:t>
      </w:r>
    </w:p>
    <w:p>
      <w:pPr>
        <w:spacing w:before="80" w:after="0"/>
      </w:pPr>
    </w:p>
    <w:p>
      <w:pPr>
        <w:spacing w:before="0" w:after="180"/>
      </w:pPr>
      <w:r>
        <w:rPr>
          <w:rFonts w:ascii="Georgia" w:cs="Georgia" w:eastAsia="Georgia" w:hAnsi="Georgia"/>
          <w:i w:val="false"/>
          <w:iCs w:val="false"/>
          <w:color w:val="1C1C1C"/>
          <w:sz w:val="22"/>
          <w:szCs w:val="22"/>
        </w:rPr>
        <w:t xml:space="preserve">These four deliverables are Chanuka's specificity anchor. Any coalition partner — civil society organisation, media house, international funder, political actor — is welcome to use the data, cite the scores, integrate the methodology. What no partner can do is ask Chanuka to modify a score, withhold a voting record, delay a bill analysis, or frame a deliverable in partisan terms. The moment that happens, the platform has been absorbed. The specificity anchor is what prevents it.</w:t>
      </w:r>
    </w:p>
    <w:p>
      <w:pPr>
        <w:spacing w:before="120" w:after="0"/>
      </w:pPr>
    </w:p>
    <w:p>
      <w:pPr>
        <w:pStyle w:val="Heading2"/>
      </w:pPr>
      <w:r>
        <w:t xml:space="preserve">The Coalition Sequencing Model</w:t>
      </w:r>
    </w:p>
    <w:p>
      <w:pPr>
        <w:spacing w:before="0" w:after="180"/>
      </w:pPr>
      <w:r>
        <w:rPr>
          <w:rFonts w:ascii="Georgia" w:cs="Georgia" w:eastAsia="Georgia" w:hAnsi="Georgia"/>
          <w:i w:val="false"/>
          <w:iCs w:val="false"/>
          <w:color w:val="1C1C1C"/>
          <w:sz w:val="22"/>
          <w:szCs w:val="22"/>
        </w:rPr>
        <w:t xml:space="preserve">The correct coalition-building sequence for Chanuka — derived from the Obama corrective and the Jesus model together — operates in three phases: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c>
          <w:tcPr>
            <w:tcW w:type="dxa" w:w="144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Phase</w:t>
            </w:r>
          </w:p>
        </w:tc>
        <w:tc>
          <w:tcPr>
            <w:tcW w:type="dxa" w:w="33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Who</w:t>
            </w:r>
          </w:p>
        </w:tc>
        <w:tc>
          <w:tcPr>
            <w:tcW w:type="dxa" w:w="45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What — specifically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1
Now</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Structurally excluded constituencies first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Constituency scorecards for the communities where the accountability gap is widest. Coastal civil society, Luo civic organisations, Luhya networks, northeastern Kenya CSOs. Their specific grievances documented in verifiable form for the first time. This builds the base of the coalition — the people with the most urgent stake in the platform's existence.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2
Q3 2026</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Civic infrastructure partners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Mzalendo Trust, Katiba Institute, Africa Check, PesaCheck, Westminster Foundation for Democracy. Non-partisan, methodology-driven partnerships. These partners extend the platform's reach and credibility without owning its agenda. They come to a prepared table — the specificity anchor is already set before they arrive.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3
Pre-2027</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Zacchaeus class — cross-community individuals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Structurally privileged individuals already troubled by what they sense but cannot articulate. The constituency scorecard gives them a specific, defensible, non-accusatory framework. They do not need to confess ethnic privilege. They need to answer: 'Does my MP's voting record serve my constituency?' That question is identical across every community.</w:t>
            </w:r>
          </w:p>
        </w:tc>
      </w:tr>
    </w:tbl>
    <w:p>
      <w:pPr>
        <w:spacing w:before="200" w:after="0"/>
      </w:pP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coalition that makes Chanuka's 2027 intervention powerful is not the one built from the top down — from political actors who want to use the data — but from the bottom up: from the constituencies where the accountability gap is most acute, organised around specific, verifiable, falsifiable scorecards that no one can dismiss as grievance, and no one can blur into vagueness.</w:t>
      </w:r>
    </w:p>
    <w:p>
      <w:pPr>
        <w:spacing w:before="80" w:after="180"/>
      </w:pPr>
      <w:r>
        <w:rPr>
          <w:rFonts w:ascii="Georgia" w:cs="Georgia" w:eastAsia="Georgia" w:hAnsi="Georgia"/>
          <w:i/>
          <w:iCs/>
          <w:color w:val="6A6E80"/>
          <w:sz w:val="18"/>
          <w:szCs w:val="18"/>
        </w:rPr>
        <w:t xml:space="preserve">Source: 'Obama's Argument Is Right — And It's Being Applied to the Wrong Problem'; 'What Would Jesus Do — And Who Do You Talk To?'</w:t>
      </w:r>
    </w:p>
    <w:p>
      <w:r>
        <w:br w:type="page"/>
      </w:r>
    </w:p>
    <w:p>
      <w:pPr>
        <w:spacing w:before="480" w:after="0"/>
      </w:pPr>
      <w:r>
        <w:rPr>
          <w:rFonts w:ascii="Arial" w:cs="Arial" w:eastAsia="Arial" w:hAnsi="Arial"/>
          <w:b/>
          <w:bCs/>
          <w:color w:val="1A7A6B"/>
          <w:sz w:val="28"/>
          <w:szCs w:val="28"/>
        </w:rPr>
        <w:t xml:space="preserve">IV.  </w:t>
      </w:r>
      <w:r>
        <w:rPr>
          <w:rFonts w:ascii="Arial" w:cs="Arial" w:eastAsia="Arial" w:hAnsi="Arial"/>
          <w:b/>
          <w:bCs/>
          <w:color w:val="0D1117"/>
          <w:sz w:val="28"/>
          <w:szCs w:val="28"/>
        </w:rPr>
        <w:t xml:space="preserve">The Alternative Community Argument: What Chanuka's Existence Proves</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Jesus built a visible alternative community whose existence was itself the argument. Not a persuasion campaign directed at the Pharisees. A demonstration that a different arrangement was possible — and that people were already living in it.</w:t>
      </w:r>
    </w:p>
    <w:p>
      <w:pPr>
        <w:spacing w:before="80" w:after="0"/>
      </w:pPr>
    </w:p>
    <w:p>
      <w:pPr>
        <w:pStyle w:val="Heading2"/>
      </w:pPr>
      <w:r>
        <w:t xml:space="preserve">The Structural Insight</w:t>
      </w:r>
    </w:p>
    <w:p>
      <w:pPr>
        <w:spacing w:before="0" w:after="180"/>
      </w:pPr>
      <w:r>
        <w:rPr>
          <w:rFonts w:ascii="Georgia" w:cs="Georgia" w:eastAsia="Georgia" w:hAnsi="Georgia"/>
          <w:i w:val="false"/>
          <w:iCs w:val="false"/>
          <w:color w:val="1C1C1C"/>
          <w:sz w:val="22"/>
          <w:szCs w:val="22"/>
        </w:rPr>
        <w:t xml:space="preserve">The Jesus model, the King model, and the correct reading of Obama's model all converge on the same architectural principle: the most powerful argument for an alternative is the alternative's existence. Persuasion campaigns directed at structurally advantaged groups almost never produce the structural change they seek. What produces structural change is the construction of a visible, credible, functioning alternative that makes the status quo arrangement appear as a choice rather than a natural condition.</w:t>
      </w:r>
    </w:p>
    <w:p>
      <w:pPr>
        <w:spacing w:before="0" w:after="180"/>
      </w:pPr>
      <w:r>
        <w:rPr>
          <w:rFonts w:ascii="Georgia" w:cs="Georgia" w:eastAsia="Georgia" w:hAnsi="Georgia"/>
          <w:i w:val="false"/>
          <w:iCs w:val="false"/>
          <w:color w:val="1C1C1C"/>
          <w:sz w:val="22"/>
          <w:szCs w:val="22"/>
        </w:rPr>
        <w:t xml:space="preserve">The civil rights movement's power was not the march. The march demonstrated the existence of a community already organised around a different set of values and demands — disciplined, specific, morally serious, numerically significant. The march was evidence that the alternative community existed and was not going away. The Pharisees at whom the march was aimed mostly did not convert. What changed was the political cost of maintaining the status quo in the face of visible, organised, morally coherent opposition.</w:t>
      </w:r>
    </w:p>
    <w:p>
      <w:pPr>
        <w:spacing w:before="0" w:after="180"/>
      </w:pPr>
      <w:r>
        <w:rPr>
          <w:rFonts w:ascii="Georgia" w:cs="Georgia" w:eastAsia="Georgia" w:hAnsi="Georgia"/>
          <w:i w:val="false"/>
          <w:iCs w:val="false"/>
          <w:color w:val="1C1C1C"/>
          <w:sz w:val="22"/>
          <w:szCs w:val="22"/>
        </w:rPr>
        <w:t xml:space="preserve">Chanuka's existence is an argument. Not a persuasion campaign directed at MPs or the structurally advantaged. An argument that an accountability architecture is possible — that constituency-level MP voting records can be translated into plain language, that the gap between a representative's record and constituency interest can be quantified, that constitutional violations can be flagged before legislation passes. That argument is made not through advocacy but through the platform's operation.</w:t>
      </w:r>
    </w:p>
    <w:p>
      <w:pPr>
        <w:spacing w:before="80" w:after="180"/>
      </w:pPr>
      <w:r>
        <w:rPr>
          <w:rFonts w:ascii="Georgia" w:cs="Georgia" w:eastAsia="Georgia" w:hAnsi="Georgia"/>
          <w:i/>
          <w:iCs/>
          <w:color w:val="6A6E80"/>
          <w:sz w:val="18"/>
          <w:szCs w:val="18"/>
        </w:rPr>
        <w:t xml:space="preserve">Source: 'What Would Jesus Do — And Who Do You Talk To?'</w:t>
      </w:r>
    </w:p>
    <w:p>
      <w:pPr>
        <w:spacing w:before="120" w:after="0"/>
      </w:pPr>
    </w:p>
    <w:p>
      <w:pPr>
        <w:pStyle w:val="Heading2"/>
      </w:pPr>
      <w:r>
        <w:t xml:space="preserve">What the Alternative Community Argument Requires of Chanuka</w:t>
      </w:r>
    </w:p>
    <w:p>
      <w:pPr>
        <w:spacing w:before="0" w:after="180"/>
      </w:pPr>
      <w:r>
        <w:rPr>
          <w:rFonts w:ascii="Georgia" w:cs="Georgia" w:eastAsia="Georgia" w:hAnsi="Georgia"/>
          <w:i w:val="false"/>
          <w:iCs w:val="false"/>
          <w:color w:val="1C1C1C"/>
          <w:sz w:val="22"/>
          <w:szCs w:val="22"/>
        </w:rPr>
        <w:t xml:space="preserve">For Chanuka's existence to function as an argument, the platform must demonstrate three things that Kenya's current civic technology landscape has not demonstrated:</w:t>
      </w:r>
    </w:p>
    <w:p>
      <w:pPr>
        <w:pStyle w:val="Heading3"/>
      </w:pPr>
      <w:r>
        <w:t xml:space="preserve">1. That specific accountability is possible — and different from what exists</w:t>
      </w:r>
    </w:p>
    <w:p>
      <w:pPr>
        <w:spacing w:before="0" w:after="180"/>
      </w:pPr>
      <w:r>
        <w:rPr>
          <w:rFonts w:ascii="Georgia" w:cs="Georgia" w:eastAsia="Georgia" w:hAnsi="Georgia"/>
          <w:i w:val="false"/>
          <w:iCs w:val="false"/>
          <w:color w:val="1C1C1C"/>
          <w:sz w:val="22"/>
          <w:szCs w:val="22"/>
        </w:rPr>
        <w:t xml:space="preserve">Mzalendo Trust provides information. PesaCheck provides fact-checking. Neither provides the constituency-level, election-cycle-integrated, gap-scored accountability that Chanuka provides. The platform's existence makes visible a specific thing that was previously claimed to be impossible: that ordinary citizens can know, in plain language, on a feature phone, exactly how their MP voted on the bill that raised their transport costs, exactly how that vote compares to their MP's campaign promises, and exactly what the accountability gap score is before they vote in 2027.</w:t>
      </w:r>
    </w:p>
    <w:p>
      <w:pPr>
        <w:spacing w:before="0" w:after="180"/>
      </w:pPr>
      <w:r>
        <w:rPr>
          <w:rFonts w:ascii="Georgia" w:cs="Georgia" w:eastAsia="Georgia" w:hAnsi="Georgia"/>
          <w:i w:val="false"/>
          <w:iCs w:val="false"/>
          <w:color w:val="1C1C1C"/>
          <w:sz w:val="22"/>
          <w:szCs w:val="22"/>
        </w:rPr>
        <w:t xml:space="preserve">The impossibility claim — that ordinary Kenyans cannot access this information, that the parliamentary record is too technical, that constituency-level disaggregation is too complex — is the claim Chanuka's operation disproves. Every working scorecard is evidence against the claim.</w:t>
      </w:r>
    </w:p>
    <w:p>
      <w:pPr>
        <w:pStyle w:val="Heading3"/>
      </w:pPr>
      <w:r>
        <w:t xml:space="preserve">2. That non-partisan accountability infrastructure can survive partisan pressure</w:t>
      </w:r>
    </w:p>
    <w:p>
      <w:pPr>
        <w:spacing w:before="0" w:after="180"/>
      </w:pPr>
      <w:r>
        <w:rPr>
          <w:rFonts w:ascii="Georgia" w:cs="Georgia" w:eastAsia="Georgia" w:hAnsi="Georgia"/>
          <w:i w:val="false"/>
          <w:iCs w:val="false"/>
          <w:color w:val="1C1C1C"/>
          <w:sz w:val="22"/>
          <w:szCs w:val="22"/>
        </w:rPr>
        <w:t xml:space="preserve">Every previous accountability effort in Kenya has been absorbed, discredited on partisan grounds, or abandoned when the political cost of maintaining it became too high. Chanuka's open-source architecture, distributed methodology, and non-partisan framing are designed to demonstrate a different durability. The platform that survives a Finance Bill cycle, a by-election cycle, and a budget cycle without being discredited as partisan — that platform has proved something new.</w:t>
      </w:r>
    </w:p>
    <w:p>
      <w:pPr>
        <w:spacing w:before="0" w:after="180"/>
      </w:pPr>
      <w:r>
        <w:rPr>
          <w:rFonts w:ascii="Georgia" w:cs="Georgia" w:eastAsia="Georgia" w:hAnsi="Georgia"/>
          <w:i w:val="false"/>
          <w:iCs w:val="false"/>
          <w:color w:val="1C1C1C"/>
          <w:sz w:val="22"/>
          <w:szCs w:val="22"/>
        </w:rPr>
        <w:t xml:space="preserve">The durability demonstration is not just operationally necessary. It is the argument that alternative accountability architecture is possible at all in Kenya's political environment. Until it is demonstrated, the claim is theoretical. Once it is demonstrated, it is evidence.</w:t>
      </w:r>
    </w:p>
    <w:p>
      <w:pPr>
        <w:pStyle w:val="Heading3"/>
      </w:pPr>
      <w:r>
        <w:t xml:space="preserve">3. That civic energy converts into electoral consequence</w:t>
      </w:r>
    </w:p>
    <w:p>
      <w:pPr>
        <w:spacing w:before="0" w:after="180"/>
      </w:pPr>
      <w:r>
        <w:rPr>
          <w:rFonts w:ascii="Georgia" w:cs="Georgia" w:eastAsia="Georgia" w:hAnsi="Georgia"/>
          <w:i w:val="false"/>
          <w:iCs w:val="false"/>
          <w:color w:val="1C1C1C"/>
          <w:sz w:val="22"/>
          <w:szCs w:val="22"/>
        </w:rPr>
        <w:t xml:space="preserve">The Finance Bill protests demonstrated civic energy at extraordinary scale. The question Kenya's political establishment answered with confidence in 2024 is that civic energy, without institutional memory and electoral integration, disperses without structural consequence. Chanuka's 2027 test is the counter-demonstration: that a constituency scorecard, distributed before the campaign period, reaching 500,000 voters through trusted civil society networks, changes the electoral calculus for at least one MP whose accountability gap score was highest and whose constituency adoption was deepest.</w:t>
      </w:r>
    </w:p>
    <w:p>
      <w:pPr>
        <w:spacing w:before="0" w:after="180"/>
      </w:pPr>
      <w:r>
        <w:rPr>
          <w:rFonts w:ascii="Georgia" w:cs="Georgia" w:eastAsia="Georgia" w:hAnsi="Georgia"/>
          <w:i w:val="false"/>
          <w:iCs w:val="false"/>
          <w:color w:val="1C1C1C"/>
          <w:sz w:val="22"/>
          <w:szCs w:val="22"/>
        </w:rPr>
        <w:t xml:space="preserve">One documented electoral consequence — one constituency where accountability data measurably moved the vote — is more powerful than any number of platform demonstrations or fellowship presentations. It proves the alternative works. That proof is the argument.</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alternative community argument means Chanuka does not need to convince the structurally advantaged of anything. It needs to demonstrate, in one constituency at a time, that accountability infrastructure produces electoral consequence. When the demonstration is complete, the structural argument makes itself.</w:t>
      </w:r>
    </w:p>
    <w:p>
      <w:r>
        <w:br w:type="page"/>
      </w:r>
    </w:p>
    <w:p>
      <w:pPr>
        <w:spacing w:before="480" w:after="0"/>
      </w:pPr>
      <w:r>
        <w:rPr>
          <w:rFonts w:ascii="Arial" w:cs="Arial" w:eastAsia="Arial" w:hAnsi="Arial"/>
          <w:b/>
          <w:bCs/>
          <w:color w:val="1A7A6B"/>
          <w:sz w:val="28"/>
          <w:szCs w:val="28"/>
        </w:rPr>
        <w:t xml:space="preserve">V.  </w:t>
      </w:r>
      <w:r>
        <w:rPr>
          <w:rFonts w:ascii="Arial" w:cs="Arial" w:eastAsia="Arial" w:hAnsi="Arial"/>
          <w:b/>
          <w:bCs/>
          <w:color w:val="0D1117"/>
          <w:sz w:val="28"/>
          <w:szCs w:val="28"/>
        </w:rPr>
        <w:t xml:space="preserve">Operational Synthesis: The Complete Strategy</w:t>
      </w:r>
    </w:p>
    <w:p>
      <w:pPr>
        <w:pBdr>
          <w:bottom w:val="single" w:color="D0CEC8" w:sz="4" w:space="1"/>
        </w:pBdr>
        <w:spacing w:before="60" w:after="240"/>
      </w:pPr>
    </w:p>
    <w:p>
      <w:pPr>
        <w:spacing w:before="40" w:after="0"/>
      </w:pPr>
    </w:p>
    <w:p>
      <w:pPr>
        <w:spacing w:before="0" w:after="180"/>
      </w:pPr>
      <w:r>
        <w:rPr>
          <w:rFonts w:ascii="Georgia" w:cs="Georgia" w:eastAsia="Georgia" w:hAnsi="Georgia"/>
          <w:i w:val="false"/>
          <w:iCs w:val="false"/>
          <w:color w:val="1C1C1C"/>
          <w:sz w:val="22"/>
          <w:szCs w:val="22"/>
        </w:rPr>
        <w:t xml:space="preserve">The four sections above each derive from a different analytical angle and converge on the same architecture. The table below consolidates every actionable decision: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c>
          <w:tcPr>
            <w:tcW w:type="dxa" w:w="25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Strategic Principle</w:t>
            </w:r>
          </w:p>
        </w:tc>
        <w:tc>
          <w:tcPr>
            <w:tcW w:type="dxa" w:w="25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Chanuka Decision</w:t>
            </w:r>
          </w:p>
        </w:tc>
        <w:tc>
          <w:tcPr>
            <w:tcW w:type="dxa" w:w="21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What to Do</w:t>
            </w:r>
          </w:p>
        </w:tc>
        <w:tc>
          <w:tcPr>
            <w:tcW w:type="dxa" w:w="21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What Not to Do</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Organise the excluded first</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Constituency selection and distribution priority</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Select constituencies where the accountability gap is widest, not where digital access is easiest. Distribute through excluded community civil society networks first.</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Do not lead with Central Kenya or Rift Valley constituencies to avoid looking like you are targeting the structurally advantaged</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Name the structure, not the people</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Framing discipline at every level</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All accountability claims are constituency-level, bill-specific, vote-dated, and arithmetically expressed. Never ethnic framing.</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Never frame a score as evidence of ethnic bias. Frame it as a gap between a representative's record and their constituency's documented interest.</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Specificity of agenda precedes breadth of coalition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specificity anchor</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Four non-negotiable deliverables published on the platform's terms, not any partner's terms. Partners use the data; they do not direct it.</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Do not modify scores, delay analyses, or frame deliverables in partisan terms for any partner, regardless of their funding or influence.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Build the Zacchaeus channel</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Access design for cross-community individuals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Make methodology and data accessible to individuals acting in good faith across community lines. No accusation required to use the platform.</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Do not design outreach that requires users to identify with a political grievance to access the platform's value.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alternative community demonstration</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2027 proof point</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Identify the single constituency where accountability gap is widest, adoption is deepest, and electoral consequence is most measurable. Document it as the demonstration.</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Do not diffuse the demonstration across 17 constituencies equally. The first proof point must be undeniable.</w:t>
            </w:r>
          </w:p>
        </w:tc>
      </w:tr>
      <w:tr>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Institutional level, not persuasion level</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Post-2027 policy agenda</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structural audit — infrastructure, land, civil service, procurement — published as a collaborative document with investigative journalism and academic partners.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Do not wait for political permission to publish the structural audit. Its unauthorised existence is the point.</w:t>
            </w:r>
          </w:p>
        </w:tc>
      </w:tr>
    </w:tbl>
    <w:p>
      <w:pPr>
        <w:spacing w:before="28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The accountability gap is not a communication problem. It is not a technology problem. It is an institutional problem — the absence of a structure that converts civic energy into electoral consequence and legislative record into political cost. Chanuka is that structure. Its existence is the argument. Its operation is the proof. Its 2027 test is the demonstration. Everything before that is preparation.</w:t>
      </w:r>
    </w:p>
    <w:p>
      <w:pPr>
        <w:spacing w:before="240" w:after="0"/>
      </w:pPr>
    </w:p>
    <w:p>
      <w:pPr>
        <w:pBdr>
          <w:bottom w:val="single" w:color="D0CEC8" w:sz="4" w:space="1"/>
        </w:pBdr>
        <w:spacing w:before="60" w:after="240"/>
      </w:pPr>
    </w:p>
    <w:p>
      <w:pPr>
        <w:spacing w:before="120" w:after="0"/>
      </w:pPr>
      <w:r>
        <w:rPr>
          <w:rFonts w:ascii="Arial" w:cs="Arial" w:eastAsia="Arial" w:hAnsi="Arial"/>
          <w:color w:val="6A6E80"/>
          <w:sz w:val="18"/>
          <w:szCs w:val="18"/>
        </w:rPr>
        <w:t xml:space="preserve">Chanuka  ·  Nairobi, Kenya  ·  March 2026</w:t>
      </w:r>
    </w:p>
    <w:p>
      <w:pPr>
        <w:spacing w:before="40" w:after="0"/>
      </w:pPr>
      <w:r>
        <w:rPr>
          <w:rFonts w:ascii="Georgia" w:cs="Georgia" w:eastAsia="Georgia" w:hAnsi="Georgia"/>
          <w:i/>
          <w:iCs/>
          <w:color w:val="6A6E80"/>
          <w:sz w:val="18"/>
          <w:szCs w:val="18"/>
        </w:rPr>
        <w:t xml:space="preserve">Sources: 'What Would Jesus Do'; 'The Kikuyu-Kalenjin Alliance as Kenya's Structural Whiteness'; 'Obama's Argument Is Right — And It's Being Applied to the Wrong Problem'</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D1117"/>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3A4055"/>
      <w:sz w:val="24"/>
      <w:szCs w:val="24"/>
    </w:rPr>
  </w:style>
  <w:style w:type="paragraph" w:styleId="Heading3">
    <w:name w:val="Heading 3"/>
    <w:basedOn w:val="Normal"/>
    <w:next w:val="Normal"/>
    <w:qFormat/>
    <w:pPr>
      <w:spacing w:before="220" w:after="8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2026-03-22T12:37:48.575Z</dcterms:created>
  <dcterms:modified xsi:type="dcterms:W3CDTF">2026-03-22T12:37:48.575Z</dcterms:modified>
</cp:coreProperties>
</file>

<file path=docProps/custom.xml><?xml version="1.0" encoding="utf-8"?>
<Properties xmlns="http://schemas.openxmlformats.org/officeDocument/2006/custom-properties" xmlns:vt="http://schemas.openxmlformats.org/officeDocument/2006/docPropsVTypes"/>
</file>