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pPr>
      <w:r>
        <w:rPr>
          <w:rFonts w:ascii="Arial" w:cs="Arial" w:eastAsia="Arial" w:hAnsi="Arial"/>
          <w:b/>
          <w:bCs/>
          <w:color w:val="1A7A6B"/>
          <w:sz w:val="18"/>
          <w:szCs w:val="18"/>
        </w:rPr>
        <w:t xml:space="preserve">NATIONAL ENDOWMENT FOR DEMOCRACY — GRANT APPLICATION</w:t>
      </w:r>
    </w:p>
    <w:p>
      <w:pPr>
        <w:spacing w:before="280" w:after="60"/>
      </w:pPr>
      <w:r>
        <w:rPr>
          <w:rFonts w:ascii="Arial" w:cs="Arial" w:eastAsia="Arial" w:hAnsi="Arial"/>
          <w:b/>
          <w:bCs/>
          <w:color w:val="B8860B"/>
          <w:sz w:val="18"/>
          <w:szCs w:val="18"/>
        </w:rPr>
        <w:t xml:space="preserve">REVISED MARCH 2026 — INCORPORATING VERIFIED PROGRAMME INTELLIGENCE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Organisation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Chanuka [or: Chanuka / [Partner NGO Name] — confirm CSO registration status]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Project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Closing the Accountability Loop: Constituency-Level MP Scorecards for Kenya's 2027 Election Cycle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Grant Period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12 months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Amount Requested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USD 50,000 (aligned to NED Kenya Civil Society Programme average)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Programme Track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Democratic Governance — East Africa / Kenya Civil Society</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Target Deadline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June 2, 2026 (primary) · Fallback: September 26, 2026</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Eligibility Note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NED funds NGOs/CSOs only — not individuals. Confirm registered CSO status before submission.</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[Your Name] · [Email] · [Phone]</w:t>
            </w:r>
          </w:p>
        </w:tc>
      </w:tr>
    </w:tbl>
    <w:p>
      <w:pPr>
        <w:spacing w:before="160" w:after="0"/>
      </w:pPr>
    </w:p>
    <w:p>
      <w:pPr>
        <w:pBdr>
          <w:top w:val="single" w:color="C0392B" w:sz="4" w:space="6"/>
          <w:bottom w:val="single" w:color="C0392B" w:sz="4" w:space="6"/>
          <w:left w:val="single" w:color="C0392B" w:sz="12" w:space="8"/>
          <w:right w:val="none" w:color="auto" w:sz="0" w:space="0"/>
        </w:pBdr>
        <w:shd w:fill="FDECEA" w:val="clear"/>
        <w:spacing w:before="200" w:after="200"/>
        <w:ind w:left="240" w:right="240"/>
      </w:pPr>
      <w:r>
        <w:rPr>
          <w:rFonts w:ascii="Georgia" w:cs="Georgia" w:eastAsia="Georgia" w:hAnsi="Georgia"/>
          <w:i/>
          <w:iCs/>
          <w:color w:val="C0392B"/>
          <w:sz w:val="21"/>
          <w:szCs w:val="21"/>
        </w:rPr>
        <w:t xml:space="preserve">NED POLITICAL RISK NOTE (verified March 2026): NED funding was blocked by DOGE in February 2025. A court injunction in August 2025 restored approximately $95M. NED is operationally stable as of the submission date of this application but remains politically exposed under the current US administration. This application acknowledges that risk and positions Chanuka's funding strategy as deliberately diversified — NED is one of four active funding streams, not the primary or sole source.</w:t>
      </w:r>
    </w:p>
    <w:p>
      <w:pPr>
        <w:pBdr>
          <w:bottom w:val="single" w:color="1A7A6B" w:sz="6" w:space="1"/>
        </w:pBdr>
        <w:spacing w:before="40" w:after="200"/>
      </w:pPr>
    </w:p>
    <w:p>
      <w:pPr>
        <w:pStyle w:val="Heading1"/>
      </w:pPr>
      <w:r>
        <w:t xml:space="preserve">Executive Summary</w:t>
      </w:r>
    </w:p>
    <w:p>
      <w:pPr>
        <w:spacing w:before="0" w:after="160"/>
      </w:pPr>
      <w:r>
        <w:rPr>
          <w:rFonts w:ascii="Georgia" w:cs="Georgia" w:eastAsia="Georgia" w:hAnsi="Georgia"/>
          <w:i w:val="false"/>
          <w:iCs w:val="false"/>
          <w:color w:val="1A1A1A"/>
          <w:sz w:val="22"/>
          <w:szCs w:val="22"/>
        </w:rPr>
        <w:t xml:space="preserve">The National Endowment for Democracy was founded on the conviction that targeted investment in democratic infrastructure at precisely the right moment can determine whether fragile democracies stabilise or slide. Kenya in March 2026 is that moment. The conviction is being tested against its most severe external pressure — as US democratic credibility weakens and USAID's dismantlement removes the scaffolding of international accountability support from forty countries simultaneously.</w:t>
      </w:r>
    </w:p>
    <w:p>
      <w:pPr>
        <w:spacing w:before="0" w:after="160"/>
      </w:pPr>
      <w:r>
        <w:rPr>
          <w:rFonts w:ascii="Georgia" w:cs="Georgia" w:eastAsia="Georgia" w:hAnsi="Georgia"/>
          <w:i w:val="false"/>
          <w:iCs w:val="false"/>
          <w:color w:val="1A1A1A"/>
          <w:sz w:val="22"/>
          <w:szCs w:val="22"/>
        </w:rPr>
        <w:t xml:space="preserve">Kenya's National Assembly operates with formal transparency that produces no functional accountability. Voting records are technically public. MP profiles are listed on the parliamentary website. No platform converts this data into constituency-level, plain-language, shareable accountability information — the specific form that citizens need to exercise informed electoral judgment in August 2027.</w:t>
      </w:r>
    </w:p>
    <w:p>
      <w:pPr>
        <w:spacing w:before="0" w:after="160"/>
      </w:pPr>
      <w:r>
        <w:rPr>
          <w:rFonts w:ascii="Georgia" w:cs="Georgia" w:eastAsia="Georgia" w:hAnsi="Georgia"/>
          <w:i w:val="false"/>
          <w:iCs w:val="false"/>
          <w:color w:val="1A1A1A"/>
          <w:sz w:val="22"/>
          <w:szCs w:val="22"/>
        </w:rPr>
        <w:t xml:space="preserve">Chanuka closes that gap. The platform is operational: a parliamentary scraping pipeline, a plain-language bill translation engine, and a constituency-level MP accountability scoring methodology in final development. This grant funds the 12-month programme that delivers verified accountability scorecards for all 17 Nairobi MPs to a minimum of 500,000 constituents before the 2027 election cycle opens.</w:t>
      </w:r>
    </w:p>
    <w:p>
      <w:pPr>
        <w:pBdr>
          <w:top w:val="single" w:color="C0392B" w:sz="4" w:space="6"/>
          <w:bottom w:val="single" w:color="C0392B" w:sz="4" w:space="6"/>
          <w:left w:val="single" w:color="C0392B" w:sz="12" w:space="8"/>
          <w:right w:val="none" w:color="auto" w:sz="0" w:space="0"/>
        </w:pBdr>
        <w:shd w:fill="FDECEA" w:val="clear"/>
        <w:spacing w:before="200" w:after="200"/>
        <w:ind w:left="240" w:right="240"/>
      </w:pPr>
      <w:r>
        <w:rPr>
          <w:rFonts w:ascii="Georgia" w:cs="Georgia" w:eastAsia="Georgia" w:hAnsi="Georgia"/>
          <w:i/>
          <w:iCs/>
          <w:color w:val="C0392B"/>
          <w:sz w:val="21"/>
          <w:szCs w:val="21"/>
        </w:rPr>
        <w:t xml:space="preserve">BUDGET CALIBRATION NOTE: NED Kenya Civil Society Programme grants average approximately $50,000 for 12-month projects. This application is calibrated to that range. All budget lines correspond directly to proposed activities. A larger grant would be sought through the EU CFP (April 2026, Lot 1, EUR 2M) and DRK Foundation ($300K/3 years) tracks running in parallel.</w:t>
      </w:r>
    </w:p>
    <w:p>
      <w:pPr>
        <w:pBdr>
          <w:bottom w:val="single" w:color="1A7A6B" w:sz="6" w:space="1"/>
        </w:pBdr>
        <w:spacing w:before="40" w:after="200"/>
      </w:pPr>
    </w:p>
    <w:p>
      <w:pPr>
        <w:pStyle w:val="Heading1"/>
      </w:pPr>
      <w:r>
        <w:t xml:space="preserve">The Moment — Why This Application Cannot Wait</w:t>
      </w:r>
    </w:p>
    <w:p>
      <w:pPr>
        <w:pBdr>
          <w:top w:val="single" w:color="1A7A6B" w:sz="4" w:space="6"/>
          <w:bottom w:val="single" w:color="1A7A6B" w:sz="4" w:space="6"/>
          <w:left w:val="none" w:color="auto" w:sz="0" w:space="0"/>
          <w:right w:val="none" w:color="auto" w:sz="0" w:space="0"/>
        </w:pBdr>
        <w:spacing w:before="200" w:after="200"/>
        <w:ind w:left="360" w:right="360"/>
      </w:pPr>
      <w:r>
        <w:rPr>
          <w:rFonts w:ascii="Georgia" w:cs="Georgia" w:eastAsia="Georgia" w:hAnsi="Georgia"/>
          <w:i/>
          <w:iCs/>
          <w:color w:val="3A4055"/>
          <w:sz w:val="24"/>
          <w:szCs w:val="24"/>
        </w:rPr>
        <w:t xml:space="preserve">The democratic crisis of 2026 is, at its root, an infrastructure crisis. The accountability loop was never completed. This grant completes one critical link of that loop — in the specific country, at the specific moment, when the outcome is still determinable.</w:t>
      </w:r>
    </w:p>
    <w:p>
      <w:pPr>
        <w:spacing w:before="0" w:after="160"/>
      </w:pPr>
      <w:r>
        <w:rPr>
          <w:rFonts w:ascii="Georgia" w:cs="Georgia" w:eastAsia="Georgia" w:hAnsi="Georgia"/>
          <w:i w:val="false"/>
          <w:iCs w:val="false"/>
          <w:color w:val="1A1A1A"/>
          <w:sz w:val="22"/>
          <w:szCs w:val="22"/>
        </w:rPr>
        <w:t xml:space="preserve">Two conditions define this moment's urgency. The first is the withdrawal of US democratic support infrastructure globally. USAID's Kenya operations ceased July 2025. The civil society organisations that built Kenya's accountability ecosystem over twenty years are recalibrating without the funding, technical support, and international pressure that USAID provided. European bilateral funders — EU, UK FCDO, GIZ — are the primary remaining international source of democratic governance support in Kenya. NED, operationally restored by court injunction, is one of the few US-linked institutions still capable of playing its historically irreplaceable role.</w:t>
      </w:r>
    </w:p>
    <w:p>
      <w:pPr>
        <w:spacing w:before="0" w:after="160"/>
      </w:pPr>
      <w:r>
        <w:rPr>
          <w:rFonts w:ascii="Georgia" w:cs="Georgia" w:eastAsia="Georgia" w:hAnsi="Georgia"/>
          <w:i w:val="false"/>
          <w:iCs w:val="false"/>
          <w:color w:val="1A1A1A"/>
          <w:sz w:val="22"/>
          <w:szCs w:val="22"/>
        </w:rPr>
        <w:t xml:space="preserve">The second condition is Kenya's specific democratic vulnerability. Kenya has not had a functioning parliamentary opposition for over a decade. The systematic absorption of formal opposition through broad-based government arrangements has removed the institutional accountability mechanism that parliamentary systems depend on. In its absence, accountability has transferred informally to citizens — demonstrated with extraordinary precision in the 2023 Finance Bill protests. But without institutional infrastructure, citizen accountability energy falls into the blanket opposition trap: everything becomes equally urgent, energy disperses, and unaccountable power simply waits.</w:t>
      </w:r>
    </w:p>
    <w:p>
      <w:pPr>
        <w:spacing w:before="0" w:after="160"/>
      </w:pPr>
      <w:r>
        <w:rPr>
          <w:rFonts w:ascii="Georgia" w:cs="Georgia" w:eastAsia="Georgia" w:hAnsi="Georgia"/>
          <w:i w:val="false"/>
          <w:iCs w:val="false"/>
          <w:color w:val="1A1A1A"/>
          <w:sz w:val="22"/>
          <w:szCs w:val="22"/>
        </w:rPr>
        <w:t xml:space="preserve">Chanuka is the infrastructure that prevents the dispersal. It performs, for citizens, the four functions a functioning parliamentary opposition would perform: tracking the verified legislative record, prioritising accountability battles by constituency-level gap score, preserving institutional memory across parliamentary sessions, and integrating accountability findings into electoral consequence. It does this without a party, without a leader who can be co-opted, and without requiring continuous civic mobilisation at personal economic cost.</w:t>
      </w:r>
    </w:p>
    <w:p>
      <w:pPr>
        <w:pBdr>
          <w:bottom w:val="single" w:color="1A7A6B" w:sz="6" w:space="1"/>
        </w:pBdr>
        <w:spacing w:before="40" w:after="200"/>
      </w:pPr>
    </w:p>
    <w:p>
      <w:pPr>
        <w:pStyle w:val="Heading1"/>
      </w:pPr>
      <w:r>
        <w:t xml:space="preserve">Problem Statement</w:t>
      </w:r>
    </w:p>
    <w:p>
      <w:pPr>
        <w:pStyle w:val="Heading2"/>
      </w:pPr>
      <w:r>
        <w:t xml:space="preserve">The Accountability Gap</w:t>
      </w:r>
    </w:p>
    <w:p>
      <w:pPr>
        <w:spacing w:before="0" w:after="160"/>
      </w:pPr>
      <w:r>
        <w:rPr>
          <w:rFonts w:ascii="Georgia" w:cs="Georgia" w:eastAsia="Georgia" w:hAnsi="Georgia"/>
          <w:i w:val="false"/>
          <w:iCs w:val="false"/>
          <w:color w:val="1A1A1A"/>
          <w:sz w:val="22"/>
          <w:szCs w:val="22"/>
        </w:rPr>
        <w:t xml:space="preserve">Kenya's accountability gap has a specific technical definition: it is the absence of infrastructure that converts formal parliamentary transparency into citizen-accessible, constituency-level, electorally integrated accountability information. The gap is not informational — the raw data exists. It is architectural. The conversion layer — from voting record to plain-language scorecard to shareable constituency profile to electoral decision-support tool — has never been built.</w:t>
      </w:r>
    </w:p>
    <w:p>
      <w:pPr>
        <w:pStyle w:val="Heading2"/>
      </w:pPr>
      <w:r>
        <w:t xml:space="preserve">The Opposition Void Compound</w:t>
      </w:r>
    </w:p>
    <w:p>
      <w:pPr>
        <w:spacing w:before="0" w:after="160"/>
      </w:pPr>
      <w:r>
        <w:rPr>
          <w:rFonts w:ascii="Georgia" w:cs="Georgia" w:eastAsia="Georgia" w:hAnsi="Georgia"/>
          <w:i w:val="false"/>
          <w:iCs w:val="false"/>
          <w:color w:val="1A1A1A"/>
          <w:sz w:val="22"/>
          <w:szCs w:val="22"/>
        </w:rPr>
        <w:t xml:space="preserve">Kenya's accountability gap is structurally compounded by over a decade without a functioning parliamentary opposition. The four institutional functions that a functioning opposition performs — maintaining a verified legislative record, prioritising accountability battles, preserving institutional memory, integrating findings into electoral consequence — have had no institutional home. Citizens have performed these functions informally. Without infrastructure, they cannot perform them at scale, with specificity, or with electoral integration.</w:t>
      </w:r>
    </w:p>
    <w:p>
      <w:pPr>
        <w:pStyle w:val="Heading2"/>
      </w:pPr>
      <w:r>
        <w:t xml:space="preserve">The Finance Bill Demonstration</w:t>
      </w:r>
    </w:p>
    <w:p>
      <w:pPr>
        <w:spacing w:before="0" w:after="160"/>
      </w:pPr>
      <w:r>
        <w:rPr>
          <w:rFonts w:ascii="Georgia" w:cs="Georgia" w:eastAsia="Georgia" w:hAnsi="Georgia"/>
          <w:i w:val="false"/>
          <w:iCs w:val="false"/>
          <w:color w:val="1A1A1A"/>
          <w:sz w:val="22"/>
          <w:szCs w:val="22"/>
        </w:rPr>
        <w:t xml:space="preserve">The 2023 Finance Bill protests demonstrated both the civic energy that exists and the structural failure that wastes it. Millions mobilised against specific legislative provisions with extraordinary civic precision. But without verified MP voting records, constituency-level accountability scores, and electoral integration, the protests produced no lasting accountability consequence. The MPs who voted for the provisions that triggered the protests are running for re-election in 2027 on the same platform. The accountability loop was not closed. This grant closes it.</w:t>
      </w:r>
    </w:p>
    <w:p>
      <w:pPr>
        <w:pBdr>
          <w:bottom w:val="single" w:color="1A7A6B" w:sz="6" w:space="1"/>
        </w:pBdr>
        <w:spacing w:before="40" w:after="200"/>
      </w:pPr>
    </w:p>
    <w:p>
      <w:pPr>
        <w:pStyle w:val="Heading1"/>
      </w:pPr>
      <w:r>
        <w:t xml:space="preserve">Project Description</w:t>
      </w:r>
    </w:p>
    <w:p>
      <w:pPr>
        <w:pStyle w:val="Heading2"/>
      </w:pPr>
      <w:r>
        <w:t xml:space="preserve">Objective 1: Accountability Scoring Engine — Completion and Deployment</w:t>
      </w:r>
    </w:p>
    <w:p>
      <w:pPr>
        <w:spacing w:before="0" w:after="160"/>
      </w:pPr>
      <w:r>
        <w:rPr>
          <w:rFonts w:ascii="Georgia" w:cs="Georgia" w:eastAsia="Georgia" w:hAnsi="Georgia"/>
          <w:i w:val="false"/>
          <w:iCs w:val="false"/>
          <w:color w:val="1A1A1A"/>
          <w:sz w:val="22"/>
          <w:szCs w:val="22"/>
        </w:rPr>
        <w:t xml:space="preserve">The MP accountability scorecard measures the gap between how an MP votes and what their constituency needs. The scoring methodology compares verified voting records against constituency-level sentinel indicators across economic, social, and governance domains. Every data point carries a confidence level; the platform displays only what is verifiable and sourceable to the parliamentary record.</w:t>
      </w:r>
    </w:p>
    <w:p>
      <w:pPr>
        <w:spacing w:before="100" w:after="80"/>
      </w:pPr>
      <w:r>
        <w:rPr>
          <w:rFonts w:ascii="Arial" w:cs="Arial" w:eastAsia="Arial" w:hAnsi="Arial"/>
          <w:b/>
          <w:bCs/>
          <w:color w:val="1A7A6B"/>
          <w:sz w:val="21"/>
          <w:szCs w:val="21"/>
        </w:rPr>
        <w:t xml:space="preserve">Deliverable: Operational accountability scorecards for all 17 Nairobi MPs, validated with civil society advisory group, publicly released Q4 2026.</w:t>
      </w:r>
    </w:p>
    <w:p>
      <w:pPr>
        <w:pStyle w:val="Heading2"/>
      </w:pPr>
      <w:r>
        <w:t xml:space="preserve">Objective 2: Constitutional Violation and Hidden Provision Detection</w:t>
      </w:r>
    </w:p>
    <w:p>
      <w:pPr>
        <w:spacing w:before="0" w:after="160"/>
      </w:pPr>
      <w:r>
        <w:rPr>
          <w:rFonts w:ascii="Georgia" w:cs="Georgia" w:eastAsia="Georgia" w:hAnsi="Georgia"/>
          <w:i w:val="false"/>
          <w:iCs w:val="false"/>
          <w:color w:val="1A1A1A"/>
          <w:sz w:val="22"/>
          <w:szCs w:val="22"/>
        </w:rPr>
        <w:t xml:space="preserve">An NLP layer trained on Kenya's constitution flags provisions conflicting with constitutional rights, representing significant policy changes buried in omnibus legislation, or identified by Katiba Institute legal review as requiring public attention — surfaced in plain language before legislation passes. The Finance Bill 2023 provisions that triggered mass protests were unknown to most citizens until civil society decoded them days into the crisis. This layer automates that decoding.</w:t>
      </w:r>
    </w:p>
    <w:p>
      <w:pPr>
        <w:spacing w:before="100" w:after="80"/>
      </w:pPr>
      <w:r>
        <w:rPr>
          <w:rFonts w:ascii="Arial" w:cs="Arial" w:eastAsia="Arial" w:hAnsi="Arial"/>
          <w:b/>
          <w:bCs/>
          <w:color w:val="1A7A6B"/>
          <w:sz w:val="21"/>
          <w:szCs w:val="21"/>
        </w:rPr>
        <w:t xml:space="preserve">Deliverable: Automated constitutional flagging for all National Assembly bills, with Katiba Institute legal review partnership and plain-language citizen alerts published before the vote.</w:t>
      </w:r>
    </w:p>
    <w:p>
      <w:pPr>
        <w:pStyle w:val="Heading2"/>
      </w:pPr>
      <w:r>
        <w:t xml:space="preserve">Objective 3: Civil Society Distribution and Pre-Election Voter Education</w:t>
      </w:r>
    </w:p>
    <w:p>
      <w:pPr>
        <w:spacing w:before="0" w:after="160"/>
      </w:pPr>
      <w:r>
        <w:rPr>
          <w:rFonts w:ascii="Georgia" w:cs="Georgia" w:eastAsia="Georgia" w:hAnsi="Georgia"/>
          <w:i w:val="false"/>
          <w:iCs w:val="false"/>
          <w:color w:val="1A1A1A"/>
          <w:sz w:val="22"/>
          <w:szCs w:val="22"/>
        </w:rPr>
        <w:t xml:space="preserve">Accountability scorecards distributed through civil society networks — church associations, market organisations, community WhatsApp channels, university civic societies, Africa Check and PesaCheck journalist networks — to reach citizens at the moment of maximum electoral decision relevance.</w:t>
      </w:r>
    </w:p>
    <w:p>
      <w:pPr>
        <w:spacing w:before="100" w:after="80"/>
      </w:pPr>
      <w:r>
        <w:rPr>
          <w:rFonts w:ascii="Arial" w:cs="Arial" w:eastAsia="Arial" w:hAnsi="Arial"/>
          <w:b/>
          <w:bCs/>
          <w:color w:val="1A7A6B"/>
          <w:sz w:val="21"/>
          <w:szCs w:val="21"/>
        </w:rPr>
        <w:t xml:space="preserve">Deliverable: Minimum 500,000 Nairobi constituents reached with verified MP accountability profiles before the 2027 campaign period opens.</w:t>
      </w:r>
    </w:p>
    <w:p>
      <w:pPr>
        <w:pBdr>
          <w:bottom w:val="single" w:color="1A7A6B" w:sz="6" w:space="1"/>
        </w:pBdr>
        <w:spacing w:before="40" w:after="200"/>
      </w:pPr>
    </w:p>
    <w:p>
      <w:pPr>
        <w:pStyle w:val="Heading1"/>
      </w:pPr>
      <w:r>
        <w:t xml:space="preserve">Monitoring and Evaluation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Metric</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Baseline</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6-Month</w:t>
            </w:r>
          </w:p>
        </w:tc>
        <w:tc>
          <w:tcPr>
            <w:tcW w:type="dxa" w:w="23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18-Month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MPs with complete voting profiles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0 of 290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17 (Nairobi)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17 (deployed to 290 in Year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Citizens with scorecard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100,000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500,000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Return visit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35%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Civil society orgs using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Media accountability citations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15</w:t>
            </w:r>
          </w:p>
        </w:tc>
      </w:tr>
    </w:tbl>
    <w:p>
      <w:pPr>
        <w:spacing w:before="160" w:after="0"/>
      </w:pPr>
    </w:p>
    <w:p>
      <w:pPr>
        <w:spacing w:before="0" w:after="160"/>
      </w:pPr>
      <w:r>
        <w:rPr>
          <w:rFonts w:ascii="Georgia" w:cs="Georgia" w:eastAsia="Georgia" w:hAnsi="Georgia"/>
          <w:i w:val="false"/>
          <w:iCs w:val="false"/>
          <w:color w:val="1A1A1A"/>
          <w:sz w:val="22"/>
          <w:szCs w:val="22"/>
        </w:rPr>
        <w:t xml:space="preserve">Primary impact question: Do citizens who have used Chanuka's constituency scorecards approach their 2027 electoral decisions with documented MP behaviour data rather than campaign promises alone? Assessed through constituent survey in pilot constituencies pre- and post-deployment.</w:t>
      </w:r>
    </w:p>
    <w:p>
      <w:pPr>
        <w:pBdr>
          <w:bottom w:val="single" w:color="1A7A6B" w:sz="6" w:space="1"/>
        </w:pBdr>
        <w:spacing w:before="40" w:after="200"/>
      </w:pPr>
    </w:p>
    <w:p>
      <w:pPr>
        <w:pStyle w:val="Heading1"/>
      </w:pPr>
      <w:r>
        <w:t xml:space="preserve">Budget — 12 Months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920"/>
        <w:gridCol w:w="1680"/>
      </w:tblGrid>
      <w:tr>
        <w:tc>
          <w:tcPr>
            <w:tcW w:type="dxa" w:w="57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Budget Line</w:t>
            </w:r>
          </w:p>
        </w:tc>
        <w:tc>
          <w:tcPr>
            <w:tcW w:type="dxa" w:w="19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Amount (USD)</w:t>
            </w:r>
          </w:p>
        </w:tc>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 of Total</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Technical Development (scoring engine, constitutional detection layer)</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$21,500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43%</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Personnel (programme coordination, partnerships, communications)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32%</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Civil Society Distribution Campaign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$7,500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Evaluation and Documentation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Indirect Costs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w:t>
            </w:r>
          </w:p>
        </w:tc>
      </w:tr>
      <w:tr>
        <w:tc>
          <w:tcPr>
            <w:tcW w:type="dxa" w:w="57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0D1117"/>
                <w:sz w:val="20"/>
                <w:szCs w:val="20"/>
              </w:rPr>
              <w:t xml:space="preserve">Total</w:t>
            </w:r>
          </w:p>
        </w:tc>
        <w:tc>
          <w:tcPr>
            <w:tcW w:type="dxa" w:w="19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0D1117"/>
                <w:sz w:val="20"/>
                <w:szCs w:val="20"/>
              </w:rPr>
              <w:t xml:space="preserve">$50,000</w:t>
            </w:r>
          </w:p>
        </w:tc>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0D1117"/>
                <w:sz w:val="20"/>
                <w:szCs w:val="20"/>
              </w:rPr>
              <w:t xml:space="preserve">100%</w:t>
            </w:r>
          </w:p>
        </w:tc>
      </w:tr>
    </w:tbl>
    <w:p>
      <w:pPr>
        <w:spacing w:before="200" w:after="0"/>
      </w:pPr>
    </w:p>
    <w:p>
      <w:pPr>
        <w:pStyle w:val="Heading2"/>
      </w:pPr>
      <w:r>
        <w:t xml:space="preserve">Funding Strategy — Diversification Rationale</w:t>
      </w:r>
    </w:p>
    <w:p>
      <w:pPr>
        <w:spacing w:before="0" w:after="160"/>
      </w:pPr>
      <w:r>
        <w:rPr>
          <w:rFonts w:ascii="Georgia" w:cs="Georgia" w:eastAsia="Georgia" w:hAnsi="Georgia"/>
          <w:i w:val="false"/>
          <w:iCs w:val="false"/>
          <w:color w:val="1A1A1A"/>
          <w:sz w:val="22"/>
          <w:szCs w:val="22"/>
        </w:rPr>
        <w:t xml:space="preserve">In light of NED's confirmed political vulnerability under the current US administration, Chanuka's 12-month funding strategy is deliberately structured across four independent streams: this NED application ($50K, 12 months); the EU CFP Lot 1 concept note ($2M, 18 months); a DRK Foundation application ($300K, 3 years); and a Code for Africa AI Sandbox Seed Grant ($3,000, 6 months). No single stream represents more than 30% of the 24-month financial plan. This diversification is not a hedge against NED specifically — it is a design principle: an accountability platform dependent on a single funder replicates the vulnerability it is designed to address.</w:t>
      </w:r>
    </w:p>
    <w:p>
      <w:pPr>
        <w:pBdr>
          <w:bottom w:val="single" w:color="1A7A6B" w:sz="6" w:space="1"/>
        </w:pBdr>
        <w:spacing w:before="40" w:after="200"/>
      </w:pPr>
    </w:p>
    <w:p>
      <w:pPr>
        <w:pStyle w:val="Heading1"/>
      </w:pPr>
      <w:r>
        <w:t xml:space="preserve">Closing Statement</w:t>
      </w:r>
    </w:p>
    <w:p>
      <w:pPr>
        <w:pBdr>
          <w:top w:val="single" w:color="1A7A6B" w:sz="4" w:space="6"/>
          <w:bottom w:val="single" w:color="1A7A6B" w:sz="4" w:space="6"/>
          <w:left w:val="none" w:color="auto" w:sz="0" w:space="0"/>
          <w:right w:val="none" w:color="auto" w:sz="0" w:space="0"/>
        </w:pBdr>
        <w:spacing w:before="200" w:after="200"/>
        <w:ind w:left="360" w:right="360"/>
      </w:pPr>
      <w:r>
        <w:rPr>
          <w:rFonts w:ascii="Georgia" w:cs="Georgia" w:eastAsia="Georgia" w:hAnsi="Georgia"/>
          <w:i/>
          <w:iCs/>
          <w:color w:val="3A4055"/>
          <w:sz w:val="24"/>
          <w:szCs w:val="24"/>
        </w:rPr>
        <w:t xml:space="preserve">NED was built for moments when democracy's trajectory is in genuine question and specific investment can determine which way it bends. This is one of those moments. The withdrawal of US democratic scaffolding globally makes NED's continued operation more essential, not less. This grant is that operation, in the specific country and the specific election cycle where the outcome is still determinable.</w:t>
      </w:r>
    </w:p>
    <w:p>
      <w:pPr>
        <w:spacing w:before="0" w:after="160"/>
      </w:pPr>
      <w:r>
        <w:rPr>
          <w:rFonts w:ascii="Georgia" w:cs="Georgia" w:eastAsia="Georgia" w:hAnsi="Georgia"/>
          <w:i w:val="false"/>
          <w:iCs w:val="false"/>
          <w:color w:val="1A1A1A"/>
          <w:sz w:val="22"/>
          <w:szCs w:val="22"/>
        </w:rPr>
        <w:t xml:space="preserve">The accountability loop has a specific gap. This proposal fills it. The 2027 ballot is the test. There is no other window.</w:t>
      </w:r>
    </w:p>
    <w:p>
      <w:pPr>
        <w:spacing w:before="200" w:after="0"/>
      </w:pPr>
    </w:p>
    <w:p>
      <w:pPr>
        <w:spacing w:before="320"/>
      </w:pPr>
      <w:r>
        <w:rPr>
          <w:rFonts w:ascii="Arial" w:cs="Arial" w:eastAsia="Arial" w:hAnsi="Arial"/>
          <w:color w:val="888888"/>
          <w:sz w:val="18"/>
          <w:szCs w:val="18"/>
        </w:rPr>
        <w:t xml:space="preserve">Chanuka · [Your Name] · March 2026 · Nairobi · NED Kenya Civil Society Grant Application · Target Deadline June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117"/>
      <w:sz w:val="30"/>
      <w:szCs w:val="30"/>
    </w:rPr>
  </w:style>
  <w:style w:type="paragraph" w:styleId="Heading2">
    <w:name w:val="Heading 2"/>
    <w:basedOn w:val="Normal"/>
    <w:next w:val="Normal"/>
    <w:qFormat/>
    <w:pPr>
      <w:spacing w:before="280" w:after="80"/>
      <w:outlineLvl w:val="1"/>
    </w:pPr>
    <w:rPr>
      <w:rFonts w:ascii="Arial" w:cs="Arial" w:eastAsia="Arial" w:hAnsi="Arial"/>
      <w:b/>
      <w:bCs/>
      <w:color w:val="3A4055"/>
      <w:sz w:val="24"/>
      <w:szCs w:val="24"/>
    </w:rPr>
  </w:style>
  <w:style w:type="paragraph" w:styleId="Heading3">
    <w:name w:val="Heading 3"/>
    <w:basedOn w:val="Normal"/>
    <w:next w:val="Normal"/>
    <w:qFormat/>
    <w:pPr>
      <w:spacing w:before="200" w:after="60"/>
      <w:outlineLvl w:val="2"/>
    </w:pPr>
    <w:rPr>
      <w:rFonts w:ascii="Arial" w:cs="Arial" w:eastAsia="Arial" w:hAnsi="Arial"/>
      <w:b/>
      <w:bCs/>
      <w:color w:val="6A6E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2026-03-12T14:17:57.502Z</dcterms:created>
  <dcterms:modified xsi:type="dcterms:W3CDTF">2026-03-12T14:17:57.502Z</dcterms:modified>
</cp:coreProperties>
</file>

<file path=docProps/custom.xml><?xml version="1.0" encoding="utf-8"?>
<Properties xmlns="http://schemas.openxmlformats.org/officeDocument/2006/custom-properties" xmlns:vt="http://schemas.openxmlformats.org/officeDocument/2006/docPropsVTypes"/>
</file>