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7A6B"/>
          <w:sz w:val="52"/>
          <w:szCs w:val="52"/>
        </w:rPr>
        <w:t xml:space="preserve">CHANUKA</w:t>
      </w:r>
    </w:p>
    <w:p>
      <w:pPr>
        <w:spacing w:before="0" w:after="40"/>
      </w:pPr>
      <w:r>
        <w:rPr>
          <w:rFonts w:ascii="Arial" w:cs="Arial" w:eastAsia="Arial" w:hAnsi="Arial"/>
          <w:color w:val="0D1117"/>
          <w:sz w:val="32"/>
          <w:szCs w:val="32"/>
        </w:rPr>
        <w:t xml:space="preserve">Intellectual Annex</w:t>
      </w:r>
    </w:p>
    <w:p>
      <w:pPr>
        <w:spacing w:before="0" w:after="40"/>
      </w:pPr>
      <w:r>
        <w:rPr>
          <w:rFonts w:ascii="Georgia" w:cs="Georgia" w:eastAsia="Georgia" w:hAnsi="Georgia"/>
          <w:i/>
          <w:iCs/>
          <w:color w:val="6A6E80"/>
          <w:sz w:val="22"/>
          <w:szCs w:val="22"/>
        </w:rPr>
        <w:t xml:space="preserve">Theoretical Foundations for Platform Design, Theory of Change, and Architectural Choices</w:t>
      </w:r>
    </w:p>
    <w:p>
      <w:pPr>
        <w:spacing w:before="80" w:after="0"/>
      </w:pPr>
    </w:p>
    <w:p>
      <w:pPr>
        <w:spacing w:before="0" w:after="40"/>
      </w:pPr>
      <w:r>
        <w:rPr>
          <w:rFonts w:ascii="Arial" w:cs="Arial" w:eastAsia="Arial" w:hAnsi="Arial"/>
          <w:color w:val="6A6E80"/>
          <w:sz w:val="20"/>
          <w:szCs w:val="20"/>
        </w:rPr>
        <w:t xml:space="preserve">March 2026  ·  Nairobi, Kenya</w:t>
      </w:r>
    </w:p>
    <w:p>
      <w:pPr>
        <w:pBdr>
          <w:bottom w:val="single" w:color="D0CEC8" w:sz="4" w:space="1"/>
        </w:pBdr>
        <w:spacing w:before="60" w:after="240"/>
      </w:pPr>
    </w:p>
    <w:p>
      <w:pPr>
        <w:spacing w:before="80" w:after="0"/>
      </w:pPr>
    </w:p>
    <w:p>
      <w:pPr>
        <w:spacing w:before="0" w:after="80"/>
      </w:pPr>
      <w:r>
        <w:rPr>
          <w:rFonts w:ascii="Arial" w:cs="Arial" w:eastAsia="Arial" w:hAnsi="Arial"/>
          <w:b/>
          <w:bCs/>
          <w:color w:val="1A7A6B"/>
          <w:spacing w:val="30"/>
          <w:sz w:val="17"/>
          <w:szCs w:val="17"/>
        </w:rPr>
        <w:t xml:space="preserve">PREFATORY NOTE</w:t>
      </w:r>
    </w:p>
    <w:p>
      <w:pPr>
        <w:spacing w:before="0" w:after="180"/>
      </w:pPr>
      <w:r>
        <w:rPr>
          <w:rFonts w:ascii="Georgia" w:cs="Georgia" w:eastAsia="Georgia" w:hAnsi="Georgia"/>
          <w:i w:val="false"/>
          <w:iCs w:val="false"/>
          <w:color w:val="1C1C1C"/>
          <w:sz w:val="22"/>
          <w:szCs w:val="22"/>
        </w:rPr>
        <w:t xml:space="preserve">Chanuka's platform design, theory of change, and architectural choices are not self-evident from the technology alone. They are grounded in a specific reading of political history, an analysis of Kenya's particular democratic failure mode, and a theory of how vagueness functions as a political instrument. This annex presents that intellectual foundation explicitly.</w:t>
      </w:r>
    </w:p>
    <w:p>
      <w:pPr>
        <w:spacing w:before="0" w:after="180"/>
      </w:pPr>
      <w:r>
        <w:rPr>
          <w:rFonts w:ascii="Georgia" w:cs="Georgia" w:eastAsia="Georgia" w:hAnsi="Georgia"/>
          <w:i w:val="false"/>
          <w:iCs w:val="false"/>
          <w:color w:val="1C1C1C"/>
          <w:sz w:val="22"/>
          <w:szCs w:val="22"/>
        </w:rPr>
        <w:t xml:space="preserve">The four analytical frameworks below were developed independently and converge on a single conclusion from different angles: the specific form of Kenya's accountability gap, why it is manufactured rather than natural, why previous approaches have not closed it, and why the design choices embedded in Chanuka — constituency-level disaggregation, voting-record focus, open-source architecture, non-partisan positioning — are the correct response to a problem that has been correctly diagnosed but incorrectly addressed.</w:t>
      </w:r>
    </w:p>
    <w:p>
      <w:r>
        <w:br w:type="page"/>
      </w:r>
    </w:p>
    <w:p>
      <w:pPr>
        <w:spacing w:before="480" w:after="0"/>
      </w:pPr>
      <w:r>
        <w:rPr>
          <w:rFonts w:ascii="Arial" w:cs="Arial" w:eastAsia="Arial" w:hAnsi="Arial"/>
          <w:b/>
          <w:bCs/>
          <w:color w:val="1A7A6B"/>
          <w:sz w:val="28"/>
          <w:szCs w:val="28"/>
        </w:rPr>
        <w:t xml:space="preserve">I.  </w:t>
      </w:r>
      <w:r>
        <w:rPr>
          <w:rFonts w:ascii="Arial" w:cs="Arial" w:eastAsia="Arial" w:hAnsi="Arial"/>
          <w:b/>
          <w:bCs/>
          <w:color w:val="0D1117"/>
          <w:sz w:val="28"/>
          <w:szCs w:val="28"/>
        </w:rPr>
        <w:t xml:space="preserve">Manufactured Vagueness: The Political Architecture of Kenyan Electoral Accountability</w:t>
      </w:r>
    </w:p>
    <w:p>
      <w:pPr>
        <w:pBdr>
          <w:bottom w:val="single" w:color="D0CEC8" w:sz="4" w:space="1"/>
        </w:pBdr>
        <w:spacing w:before="60" w:after="240"/>
      </w:pPr>
    </w:p>
    <w:p>
      <w:pPr>
        <w:spacing w:before="40" w:after="0"/>
      </w:pPr>
    </w:p>
    <w:p>
      <w:pPr>
        <w:pBdr>
          <w:top w:val="single" w:color="1A7A6B" w:sz="4" w:space="6"/>
          <w:bottom w:val="single" w:color="1A7A6B" w:sz="4" w:space="6"/>
          <w:left w:val="none" w:color="auto" w:sz="0" w:space="0"/>
          <w:right w:val="none" w:color="auto" w:sz="0" w:space="0"/>
        </w:pBdr>
        <w:spacing w:before="240" w:after="240"/>
        <w:ind w:left="480" w:right="480"/>
      </w:pPr>
      <w:r>
        <w:rPr>
          <w:rFonts w:ascii="Georgia" w:cs="Georgia" w:eastAsia="Georgia" w:hAnsi="Georgia"/>
          <w:i/>
          <w:iCs/>
          <w:color w:val="3A4055"/>
          <w:sz w:val="23"/>
          <w:szCs w:val="23"/>
        </w:rPr>
        <w:t xml:space="preserve">Vagueness is rarely accidental. It is usually either protective — the speaker does not want to be held accountable — or manipulative — ambiguity serves their interest at the voter's expense. Kenya's coalition system has institutionalised both simultaneously.</w:t>
      </w:r>
    </w:p>
    <w:p>
      <w:pPr>
        <w:spacing w:before="80" w:after="0"/>
      </w:pPr>
    </w:p>
    <w:p>
      <w:pPr>
        <w:pStyle w:val="Heading2"/>
      </w:pPr>
      <w:r>
        <w:t xml:space="preserve">The Structural Function of Coalition Vagueness</w:t>
      </w:r>
    </w:p>
    <w:p>
      <w:pPr>
        <w:spacing w:before="0" w:after="180"/>
      </w:pPr>
      <w:r>
        <w:rPr>
          <w:rFonts w:ascii="Georgia" w:cs="Georgia" w:eastAsia="Georgia" w:hAnsi="Georgia"/>
          <w:i w:val="false"/>
          <w:iCs w:val="false"/>
          <w:color w:val="1C1C1C"/>
          <w:sz w:val="22"/>
          <w:szCs w:val="22"/>
        </w:rPr>
        <w:t xml:space="preserve">Kenya's broad-based alliance system is conventionally justified on ethnic arithmetic grounds: the 50%+1 constitutional threshold requires coalition building across ethnic blocs, and specific policy positions would fracture coalitions whose constituent groups hold opposing interests on the questions that matter most — land reform, devolution funding, taxation, housing levies.</w:t>
      </w:r>
    </w:p>
    <w:p>
      <w:pPr>
        <w:spacing w:before="0" w:after="180"/>
      </w:pPr>
      <w:r>
        <w:rPr>
          <w:rFonts w:ascii="Georgia" w:cs="Georgia" w:eastAsia="Georgia" w:hAnsi="Georgia"/>
          <w:i w:val="false"/>
          <w:iCs w:val="false"/>
          <w:color w:val="1C1C1C"/>
          <w:sz w:val="22"/>
          <w:szCs w:val="22"/>
        </w:rPr>
        <w:t xml:space="preserve">This explanation is real but incomplete. It explains why coalitions are necessary to win. It does not explain why those coalitions must be policy-free. Vagueness is a choice made within the coalition structure, not a requirement of it. And it is a choice that serves a specific set of interests.</w:t>
      </w:r>
    </w:p>
    <w:p>
      <w:pPr>
        <w:spacing w:before="0" w:after="180"/>
      </w:pPr>
      <w:r>
        <w:rPr>
          <w:rFonts w:ascii="Georgia" w:cs="Georgia" w:eastAsia="Georgia" w:hAnsi="Georgia"/>
          <w:i w:val="false"/>
          <w:iCs w:val="false"/>
          <w:color w:val="1C1C1C"/>
          <w:sz w:val="22"/>
          <w:szCs w:val="22"/>
        </w:rPr>
        <w:t xml:space="preserve">Kenya's coalition architecture does four specific things that advantage incumbents and disadvantage voters:</w:t>
      </w:r>
    </w:p>
    <w:p>
      <w:pPr>
        <w:pStyle w:val="ListParagraph"/>
        <w:numPr>
          <w:ilvl w:val="0"/>
          <w:numId w:val="2"/>
        </w:numPr>
        <w:spacing w:before="40" w:after="80"/>
      </w:pPr>
      <w:r>
        <w:rPr>
          <w:rFonts w:ascii="Georgia" w:cs="Georgia" w:eastAsia="Georgia" w:hAnsi="Georgia"/>
          <w:color w:val="1C1C1C"/>
          <w:sz w:val="22"/>
          <w:szCs w:val="22"/>
        </w:rPr>
        <w:t xml:space="preserve">Transfers voter loyalty from policy to personality and ethnic patronage — you vote for the alliance, which means you vote for the kingpin, which means you vote for your ethnic bloc's patron</w:t>
      </w:r>
    </w:p>
    <w:p>
      <w:pPr>
        <w:pStyle w:val="ListParagraph"/>
        <w:numPr>
          <w:ilvl w:val="0"/>
          <w:numId w:val="2"/>
        </w:numPr>
        <w:spacing w:before="40" w:after="80"/>
      </w:pPr>
      <w:r>
        <w:rPr>
          <w:rFonts w:ascii="Georgia" w:cs="Georgia" w:eastAsia="Georgia" w:hAnsi="Georgia"/>
          <w:color w:val="1C1C1C"/>
          <w:sz w:val="22"/>
          <w:szCs w:val="22"/>
        </w:rPr>
        <w:t xml:space="preserve">Creates deliberate policy ambiguity because a specific position on any contested economic question would fracture the coalition's constituent groups</w:t>
      </w:r>
    </w:p>
    <w:p>
      <w:pPr>
        <w:pStyle w:val="ListParagraph"/>
        <w:numPr>
          <w:ilvl w:val="0"/>
          <w:numId w:val="2"/>
        </w:numPr>
        <w:spacing w:before="40" w:after="80"/>
      </w:pPr>
      <w:r>
        <w:rPr>
          <w:rFonts w:ascii="Georgia" w:cs="Georgia" w:eastAsia="Georgia" w:hAnsi="Georgia"/>
          <w:color w:val="1C1C1C"/>
          <w:sz w:val="22"/>
          <w:szCs w:val="22"/>
        </w:rPr>
        <w:t xml:space="preserve">Converts the manifesto from a contract with voters into a marketing document for donors and international observers</w:t>
      </w:r>
    </w:p>
    <w:p>
      <w:pPr>
        <w:pStyle w:val="ListParagraph"/>
        <w:numPr>
          <w:ilvl w:val="0"/>
          <w:numId w:val="2"/>
        </w:numPr>
        <w:spacing w:before="40" w:after="80"/>
      </w:pPr>
      <w:r>
        <w:rPr>
          <w:rFonts w:ascii="Georgia" w:cs="Georgia" w:eastAsia="Georgia" w:hAnsi="Georgia"/>
          <w:color w:val="1C1C1C"/>
          <w:sz w:val="22"/>
          <w:szCs w:val="22"/>
        </w:rPr>
        <w:t xml:space="preserve">Means legislators can say 'I support the agenda of our alliance' without specifying what that agenda costs, who pays, and who benefits</w:t>
      </w:r>
    </w:p>
    <w:p>
      <w:pPr>
        <w:spacing w:before="80" w:after="0"/>
      </w:pPr>
    </w:p>
    <w:p>
      <w:pPr>
        <w:spacing w:before="0" w:after="180"/>
      </w:pPr>
      <w:r>
        <w:rPr>
          <w:rFonts w:ascii="Georgia" w:cs="Georgia" w:eastAsia="Georgia" w:hAnsi="Georgia"/>
          <w:i w:val="false"/>
          <w:iCs w:val="false"/>
          <w:color w:val="1C1C1C"/>
          <w:sz w:val="22"/>
          <w:szCs w:val="22"/>
        </w:rPr>
        <w:t xml:space="preserve">The result: accountability has no surface to grip. You cannot hold someone to a vague commitment. The vagueness is not a failure of the system. It is the system working as its beneficiaries designed it.</w:t>
      </w:r>
    </w:p>
    <w:p>
      <w:pPr>
        <w:spacing w:before="120" w:after="0"/>
      </w:pPr>
    </w:p>
    <w:p>
      <w:pPr>
        <w:pStyle w:val="Heading2"/>
      </w:pPr>
      <w:r>
        <w:t xml:space="preserve">Why 'Voters Don't Want Detail' Is a Self-Fulfilling Elite Projection</w:t>
      </w:r>
    </w:p>
    <w:p>
      <w:pPr>
        <w:spacing w:before="0" w:after="180"/>
      </w:pPr>
      <w:r>
        <w:rPr>
          <w:rFonts w:ascii="Georgia" w:cs="Georgia" w:eastAsia="Georgia" w:hAnsi="Georgia"/>
          <w:i w:val="false"/>
          <w:iCs w:val="false"/>
          <w:color w:val="1C1C1C"/>
          <w:sz w:val="22"/>
          <w:szCs w:val="22"/>
        </w:rPr>
        <w:t xml:space="preserve">The conventional defence of coalition vagueness claims that Kenyan voters prefer broad belonging to specific policy. This argument inverts the actual causation. Voters in Mathare, Kibera, Eldoret, and Kisumu have extraordinarily specific material grievances — water infrastructure, school fees, land tenure insecurity, boda boda licensing, hospital drug shortages. They know exactly what they want.</w:t>
      </w:r>
    </w:p>
    <w:p>
      <w:pPr>
        <w:spacing w:before="0" w:after="180"/>
      </w:pPr>
      <w:r>
        <w:rPr>
          <w:rFonts w:ascii="Georgia" w:cs="Georgia" w:eastAsia="Georgia" w:hAnsi="Georgia"/>
          <w:i w:val="false"/>
          <w:iCs w:val="false"/>
          <w:color w:val="1C1C1C"/>
          <w:sz w:val="22"/>
          <w:szCs w:val="22"/>
        </w:rPr>
        <w:t xml:space="preserve">What the system has trained them to believe is that specificity from politicians is a lie anyway. They have learned — from experience, not preference — to fall back on ethnic trust as the only reliable signal, because no accountability mechanism has ever made a politician's specific promise consequential. The demand for vagueness comes from politicians, not voters. The voters are the victims of a supply-side failure, not the architects of it.</w:t>
      </w:r>
    </w:p>
    <w:p>
      <w:pPr>
        <w:spacing w:before="80" w:after="180"/>
      </w:pPr>
      <w:r>
        <w:rPr>
          <w:rFonts w:ascii="Georgia" w:cs="Georgia" w:eastAsia="Georgia" w:hAnsi="Georgia"/>
          <w:i/>
          <w:iCs/>
          <w:color w:val="6A6E80"/>
          <w:sz w:val="18"/>
          <w:szCs w:val="18"/>
        </w:rPr>
        <w:t xml:space="preserve">Source: Analysis of Kenyan coalition political architecture — 'Selling Specificism in a Coalition-Masking Political Culture: The Kenyan Problem'</w:t>
      </w:r>
    </w:p>
    <w:p>
      <w:pPr>
        <w:spacing w:before="120" w:after="0"/>
      </w:pPr>
    </w:p>
    <w:p>
      <w:pPr>
        <w:pStyle w:val="Heading2"/>
      </w:pPr>
      <w:r>
        <w:t xml:space="preserve">Chanuka's Design Response: The Constituency Level as the Accountability Surface</w:t>
      </w:r>
    </w:p>
    <w:p>
      <w:pPr>
        <w:spacing w:before="0" w:after="180"/>
      </w:pPr>
      <w:r>
        <w:rPr>
          <w:rFonts w:ascii="Georgia" w:cs="Georgia" w:eastAsia="Georgia" w:hAnsi="Georgia"/>
          <w:i w:val="false"/>
          <w:iCs w:val="false"/>
          <w:color w:val="1C1C1C"/>
          <w:sz w:val="22"/>
          <w:szCs w:val="22"/>
        </w:rPr>
        <w:t xml:space="preserve">If vagueness operates principally at the presidential and gubernatorial level — where coalition management requires policy ambiguity — the correct intervention is below that level, where political relationships are already personal and specific. At the MCA and MP level, voters have direct, local relationships with candidates and hyper-specific grievances. This is why Chanuka is built at the constituency level rather than the national level.</w:t>
      </w:r>
    </w:p>
    <w:p>
      <w:pPr>
        <w:spacing w:before="0" w:after="180"/>
      </w:pPr>
      <w:r>
        <w:rPr>
          <w:rFonts w:ascii="Georgia" w:cs="Georgia" w:eastAsia="Georgia" w:hAnsi="Georgia"/>
          <w:i w:val="false"/>
          <w:iCs w:val="false"/>
          <w:color w:val="1C1C1C"/>
          <w:sz w:val="22"/>
          <w:szCs w:val="22"/>
        </w:rPr>
        <w:t xml:space="preserve">The constituency is not merely a unit of analysis. It is the level at which voters already think in specific terms and at which accountability claims can be made without triggering the ethnic coalition defensiveness that national-level accountability politics reliably produces.</w:t>
      </w:r>
    </w:p>
    <w:p>
      <w:pPr>
        <w:pBdr>
          <w:top w:val="single" w:color="1A7A6B" w:sz="4" w:space="6"/>
          <w:bottom w:val="single" w:color="1A7A6B" w:sz="4" w:space="6"/>
          <w:left w:val="single" w:color="1A7A6B" w:sz="14" w:space="10"/>
          <w:right w:val="none" w:color="auto" w:sz="0" w:space="0"/>
        </w:pBdr>
        <w:shd w:fill="EBF5F2" w:val="clear"/>
        <w:spacing w:before="220" w:after="220"/>
        <w:ind w:left="280" w:right="280"/>
      </w:pPr>
      <w:r>
        <w:rPr>
          <w:rFonts w:ascii="Georgia" w:cs="Georgia" w:eastAsia="Georgia" w:hAnsi="Georgia"/>
          <w:i/>
          <w:iCs/>
          <w:color w:val="0D1117"/>
          <w:sz w:val="22"/>
          <w:szCs w:val="22"/>
        </w:rPr>
        <w:t xml:space="preserve">The strategy is to drag national vagueness down to constituency specificity. When a parliamentary candidate says 'I support the alliance agenda' — the immediate response is: 'The agenda says what about the hospital in your constituency that has had no anaesthesiologist for eight months?' You use local specificity to make national vagueness embarrassing. The candidate either answers specifically — creating accountability — or refuses — creating a story about evasion.</w:t>
      </w:r>
    </w:p>
    <w:p>
      <w:pPr>
        <w:spacing w:before="120" w:after="0"/>
      </w:pPr>
    </w:p>
    <w:p>
      <w:pPr>
        <w:pStyle w:val="Heading2"/>
      </w:pPr>
      <w:r>
        <w:t xml:space="preserve">Vagueness as Power Transfer</w:t>
      </w:r>
    </w:p>
    <w:p>
      <w:pPr>
        <w:spacing w:before="0" w:after="180"/>
      </w:pPr>
      <w:r>
        <w:rPr>
          <w:rFonts w:ascii="Georgia" w:cs="Georgia" w:eastAsia="Georgia" w:hAnsi="Georgia"/>
          <w:i w:val="false"/>
          <w:iCs w:val="false"/>
          <w:color w:val="1C1C1C"/>
          <w:sz w:val="22"/>
          <w:szCs w:val="22"/>
        </w:rPr>
        <w:t xml:space="preserve">Every coalition's manufactured ambiguity operates on a single mechanism: vagueness transfers interpretive power to whoever controls the interpretation. When something is undefined, the person with more authority or more at stake will define it — in their favour, at the moment that suits them best. Demanding specificity is the recovery of interpretive power before someone else exercises it.</w:t>
      </w:r>
    </w:p>
    <w:p>
      <w:pPr>
        <w:spacing w:before="0" w:after="180"/>
      </w:pPr>
      <w:r>
        <w:rPr>
          <w:rFonts w:ascii="Georgia" w:cs="Georgia" w:eastAsia="Georgia" w:hAnsi="Georgia"/>
          <w:i w:val="false"/>
          <w:iCs w:val="false"/>
          <w:color w:val="1C1C1C"/>
          <w:sz w:val="22"/>
          <w:szCs w:val="22"/>
        </w:rPr>
        <w:t xml:space="preserve">Chanuka's accountability scorecard operationalises this principle at scale. It does not ask MPs to define their own record. It defines their record for them — from the parliamentary record, before the MP can choose how to frame it at election time.</w:t>
      </w:r>
    </w:p>
    <w:p>
      <w:pPr>
        <w:spacing w:before="80" w:after="180"/>
      </w:pPr>
      <w:r>
        <w:rPr>
          <w:rFonts w:ascii="Georgia" w:cs="Georgia" w:eastAsia="Georgia" w:hAnsi="Georgia"/>
          <w:i/>
          <w:iCs/>
          <w:color w:val="6A6E80"/>
          <w:sz w:val="18"/>
          <w:szCs w:val="18"/>
        </w:rPr>
        <w:t xml:space="preserve">Source: 'A Framework for Demanding Clarity: Cutting Through Vagueness in Everyday Life'</w:t>
      </w:r>
    </w:p>
    <w:p>
      <w:r>
        <w:br w:type="page"/>
      </w:r>
    </w:p>
    <w:p>
      <w:pPr>
        <w:spacing w:before="480" w:after="0"/>
      </w:pPr>
      <w:r>
        <w:rPr>
          <w:rFonts w:ascii="Arial" w:cs="Arial" w:eastAsia="Arial" w:hAnsi="Arial"/>
          <w:b/>
          <w:bCs/>
          <w:color w:val="1A7A6B"/>
          <w:sz w:val="28"/>
          <w:szCs w:val="28"/>
        </w:rPr>
        <w:t xml:space="preserve">II.  </w:t>
      </w:r>
      <w:r>
        <w:rPr>
          <w:rFonts w:ascii="Arial" w:cs="Arial" w:eastAsia="Arial" w:hAnsi="Arial"/>
          <w:b/>
          <w:bCs/>
          <w:color w:val="0D1117"/>
          <w:sz w:val="28"/>
          <w:szCs w:val="28"/>
        </w:rPr>
        <w:t xml:space="preserve">The Vagueness Architecture and the Scorecard: A Direct Correspondence</w:t>
      </w:r>
    </w:p>
    <w:p>
      <w:pPr>
        <w:pBdr>
          <w:bottom w:val="single" w:color="D0CEC8" w:sz="4" w:space="1"/>
        </w:pBdr>
        <w:spacing w:before="60" w:after="240"/>
      </w:pPr>
    </w:p>
    <w:p>
      <w:pPr>
        <w:spacing w:before="40" w:after="0"/>
      </w:pPr>
    </w:p>
    <w:p>
      <w:pPr>
        <w:pBdr>
          <w:top w:val="single" w:color="1A7A6B" w:sz="4" w:space="6"/>
          <w:bottom w:val="single" w:color="1A7A6B" w:sz="4" w:space="6"/>
          <w:left w:val="none" w:color="auto" w:sz="0" w:space="0"/>
          <w:right w:val="none" w:color="auto" w:sz="0" w:space="0"/>
        </w:pBdr>
        <w:spacing w:before="240" w:after="240"/>
        <w:ind w:left="480" w:right="480"/>
      </w:pPr>
      <w:r>
        <w:rPr>
          <w:rFonts w:ascii="Georgia" w:cs="Georgia" w:eastAsia="Georgia" w:hAnsi="Georgia"/>
          <w:i/>
          <w:iCs/>
          <w:color w:val="3A4055"/>
          <w:sz w:val="23"/>
          <w:szCs w:val="23"/>
        </w:rPr>
        <w:t xml:space="preserve">Almost every vague political statement dissolves one or more of four elements. The accountability scorecard is a system for restoring what the coalition architecture systematically dissolved.</w:t>
      </w:r>
    </w:p>
    <w:p>
      <w:pPr>
        <w:spacing w:before="80" w:after="0"/>
      </w:pPr>
    </w:p>
    <w:p>
      <w:pPr>
        <w:spacing w:before="0" w:after="180"/>
      </w:pPr>
      <w:r>
        <w:rPr>
          <w:rFonts w:ascii="Georgia" w:cs="Georgia" w:eastAsia="Georgia" w:hAnsi="Georgia"/>
          <w:i w:val="false"/>
          <w:iCs w:val="false"/>
          <w:color w:val="1C1C1C"/>
          <w:sz w:val="22"/>
          <w:szCs w:val="22"/>
        </w:rPr>
        <w:t xml:space="preserve">Vagueness hides in four specific locations. Each corresponds directly to a Chanuka design feature: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480"/>
        <w:gridCol w:w="3720"/>
      </w:tblGrid>
      <w:tr>
        <w:tc>
          <w:tcPr>
            <w:tcW w:type="dxa" w:w="216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Where Vagueness Hides</w:t>
            </w:r>
          </w:p>
        </w:tc>
        <w:tc>
          <w:tcPr>
            <w:tcW w:type="dxa" w:w="348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The Question It Dissolves</w:t>
            </w:r>
          </w:p>
        </w:tc>
        <w:tc>
          <w:tcPr>
            <w:tcW w:type="dxa" w:w="372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How Chanuka Restores It</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Agent missing</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Who exactly is responsible?</w:t>
            </w:r>
          </w:p>
        </w:tc>
        <w:tc>
          <w:tcPr>
            <w:tcW w:type="dxa" w:w="3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MP voting record tracks the named decision-maker, not the alliance</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Action undefined</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What exactly was done?</w:t>
            </w:r>
          </w:p>
        </w:tc>
        <w:tc>
          <w:tcPr>
            <w:tcW w:type="dxa" w:w="3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A vote is a documented act, not a stated intention</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Timeline absent</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When did it happen?</w:t>
            </w:r>
          </w:p>
        </w:tc>
        <w:tc>
          <w:tcPr>
            <w:tcW w:type="dxa" w:w="3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Every vote is date-stamped in Hansard</w:t>
            </w:r>
          </w:p>
        </w:tc>
      </w:tr>
      <w:tr>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Standard unclear</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How do we know it happened?</w:t>
            </w:r>
          </w:p>
        </w:tc>
        <w:tc>
          <w:tcPr>
            <w:tcW w:type="dxa" w:w="3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The gap score is a measurable, falsifiable, comparative output</w:t>
            </w:r>
          </w:p>
        </w:tc>
      </w:tr>
    </w:tbl>
    <w:p>
      <w:pPr>
        <w:spacing w:before="200" w:after="0"/>
      </w:pPr>
    </w:p>
    <w:p>
      <w:pPr>
        <w:spacing w:before="0" w:after="180"/>
      </w:pPr>
      <w:r>
        <w:rPr>
          <w:rFonts w:ascii="Georgia" w:cs="Georgia" w:eastAsia="Georgia" w:hAnsi="Georgia"/>
          <w:i w:val="false"/>
          <w:iCs w:val="false"/>
          <w:color w:val="1C1C1C"/>
          <w:sz w:val="22"/>
          <w:szCs w:val="22"/>
        </w:rPr>
        <w:t xml:space="preserve">These correspondences are not coincidental. The accountability scorecard was designed to address the four locations where Kenya's coalition system dissolves accountability. Each design choice answers a specific failure mode in the existing political architecture. The scorecard cannot be evaded through standard deflection strategies because it was built to anticipate them.</w:t>
      </w:r>
    </w:p>
    <w:p>
      <w:pPr>
        <w:spacing w:before="80" w:after="180"/>
      </w:pPr>
      <w:r>
        <w:rPr>
          <w:rFonts w:ascii="Georgia" w:cs="Georgia" w:eastAsia="Georgia" w:hAnsi="Georgia"/>
          <w:i/>
          <w:iCs/>
          <w:color w:val="6A6E80"/>
          <w:sz w:val="18"/>
          <w:szCs w:val="18"/>
        </w:rPr>
        <w:t xml:space="preserve">Source: 'A Framework for Demanding Clarity: Cutting Through Vagueness in Everyday Life'; 'Selling Specificism in a Coalition-Masking Political Culture: The Kenyan Problem'</w:t>
      </w:r>
    </w:p>
    <w:p>
      <w:r>
        <w:br w:type="page"/>
      </w:r>
    </w:p>
    <w:p>
      <w:pPr>
        <w:spacing w:before="480" w:after="0"/>
      </w:pPr>
      <w:r>
        <w:rPr>
          <w:rFonts w:ascii="Arial" w:cs="Arial" w:eastAsia="Arial" w:hAnsi="Arial"/>
          <w:b/>
          <w:bCs/>
          <w:color w:val="1A7A6B"/>
          <w:sz w:val="28"/>
          <w:szCs w:val="28"/>
        </w:rPr>
        <w:t xml:space="preserve">III.  </w:t>
      </w:r>
      <w:r>
        <w:rPr>
          <w:rFonts w:ascii="Arial" w:cs="Arial" w:eastAsia="Arial" w:hAnsi="Arial"/>
          <w:b/>
          <w:bCs/>
          <w:color w:val="0D1117"/>
          <w:sz w:val="28"/>
          <w:szCs w:val="28"/>
        </w:rPr>
        <w:t xml:space="preserve">The Overextension Trap: Why Chanuka Must Remain Narrowly Purposeful</w:t>
      </w:r>
    </w:p>
    <w:p>
      <w:pPr>
        <w:pBdr>
          <w:bottom w:val="single" w:color="D0CEC8" w:sz="4" w:space="1"/>
        </w:pBdr>
        <w:spacing w:before="60" w:after="240"/>
      </w:pPr>
    </w:p>
    <w:p>
      <w:pPr>
        <w:spacing w:before="40" w:after="0"/>
      </w:pPr>
    </w:p>
    <w:p>
      <w:pPr>
        <w:pBdr>
          <w:top w:val="single" w:color="1A7A6B" w:sz="4" w:space="6"/>
          <w:bottom w:val="single" w:color="1A7A6B" w:sz="4" w:space="6"/>
          <w:left w:val="none" w:color="auto" w:sz="0" w:space="0"/>
          <w:right w:val="none" w:color="auto" w:sz="0" w:space="0"/>
        </w:pBdr>
        <w:spacing w:before="240" w:after="240"/>
        <w:ind w:left="480" w:right="480"/>
      </w:pPr>
      <w:r>
        <w:rPr>
          <w:rFonts w:ascii="Georgia" w:cs="Georgia" w:eastAsia="Georgia" w:hAnsi="Georgia"/>
          <w:i/>
          <w:iCs/>
          <w:color w:val="3A4055"/>
          <w:sz w:val="23"/>
          <w:szCs w:val="23"/>
        </w:rPr>
        <w:t xml:space="preserve">The civil rights movement at its most effective — Birmingham, the Voting Rights Act, the Civil Rights Act — was laser focused. It had a list, specific legislative targets, a defined constituency with a clear injury and a clear remedy. The diffusion of that focus into a general progressive coalition produced more moral visibility and less legislative achievement. That is not a coincidence. It is the predictable result of strategic overextension.</w:t>
      </w:r>
    </w:p>
    <w:p>
      <w:pPr>
        <w:spacing w:before="80" w:after="0"/>
      </w:pPr>
    </w:p>
    <w:p>
      <w:pPr>
        <w:pStyle w:val="Heading2"/>
      </w:pPr>
      <w:r>
        <w:t xml:space="preserve">The Recurring Pattern</w:t>
      </w:r>
    </w:p>
    <w:p>
      <w:pPr>
        <w:spacing w:before="0" w:after="180"/>
      </w:pPr>
      <w:r>
        <w:rPr>
          <w:rFonts w:ascii="Georgia" w:cs="Georgia" w:eastAsia="Georgia" w:hAnsi="Georgia"/>
          <w:i w:val="false"/>
          <w:iCs w:val="false"/>
          <w:color w:val="1C1C1C"/>
          <w:sz w:val="22"/>
          <w:szCs w:val="22"/>
        </w:rPr>
        <w:t xml:space="preserve">A consistent structural pattern across a century of democratic accountability movements — and directly applicable to Kenya's current civic moment — is captured in the following table. The fourth row is Chanuka's own context: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60"/>
      </w:tblGrid>
      <w:tr>
        <w:tc>
          <w:tcPr>
            <w:tcW w:type="dxa" w:w="210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Moment</w:t>
            </w:r>
          </w:p>
        </w:tc>
        <w:tc>
          <w:tcPr>
            <w:tcW w:type="dxa" w:w="240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Core Movement</w:t>
            </w:r>
          </w:p>
        </w:tc>
        <w:tc>
          <w:tcPr>
            <w:tcW w:type="dxa" w:w="240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Attached Cause</w:t>
            </w:r>
          </w:p>
        </w:tc>
        <w:tc>
          <w:tcPr>
            <w:tcW w:type="dxa" w:w="246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Result</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1869</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Black male suffrage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Women's suffrage</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Strategic conflict, movement fracture</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1960s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Black civil rights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Anti-war, counterculture</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FBI exploitation, coalition strain</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Post-Obama</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Black civil rights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LGBT rights, immigration</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Alienated church base, diffused legislative focus</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2023 Kenya</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Finance Bill protest</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Blanket opposition</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Energy dispersed, no electoral consequence</w:t>
            </w:r>
          </w:p>
        </w:tc>
      </w:tr>
    </w:tbl>
    <w:p>
      <w:pPr>
        <w:spacing w:before="200" w:after="0"/>
      </w:pPr>
    </w:p>
    <w:p>
      <w:pPr>
        <w:spacing w:before="0" w:after="180"/>
      </w:pPr>
      <w:r>
        <w:rPr>
          <w:rFonts w:ascii="Georgia" w:cs="Georgia" w:eastAsia="Georgia" w:hAnsi="Georgia"/>
          <w:i w:val="false"/>
          <w:iCs w:val="false"/>
          <w:color w:val="1C1C1C"/>
          <w:sz w:val="22"/>
          <w:szCs w:val="22"/>
        </w:rPr>
        <w:t xml:space="preserve">The mechanism is identical in each case. A movement with specific, legally addressable grievances gets expanded into a broader justice coalition. This expansion dilutes the specific grievance, imports new enemies, strains the institutional infrastructure that made the original movement viable, and gives opponents a larger target surface.</w:t>
      </w:r>
    </w:p>
    <w:p>
      <w:pPr>
        <w:spacing w:before="120" w:after="0"/>
      </w:pPr>
    </w:p>
    <w:p>
      <w:pPr>
        <w:pStyle w:val="Heading2"/>
      </w:pPr>
      <w:r>
        <w:t xml:space="preserve">The Church as Infrastructure — The Foundational Lesson</w:t>
      </w:r>
    </w:p>
    <w:p>
      <w:pPr>
        <w:spacing w:before="0" w:after="180"/>
      </w:pPr>
      <w:r>
        <w:rPr>
          <w:rFonts w:ascii="Georgia" w:cs="Georgia" w:eastAsia="Georgia" w:hAnsi="Georgia"/>
          <w:i w:val="false"/>
          <w:iCs w:val="false"/>
          <w:color w:val="1C1C1C"/>
          <w:sz w:val="22"/>
          <w:szCs w:val="22"/>
        </w:rPr>
        <w:t xml:space="preserve">The most structurally significant illustration is the relationship between the American civil rights movement and the Black church. The church was not merely a supporter of the movement. It was the movement in organisational terms — meeting spaces outside white institutional control, the rhetorical and moral framework, leadership pipelines, financial infrastructure, and community trust networks mobilising millions with discipline and moral clarity.</w:t>
      </w:r>
    </w:p>
    <w:p>
      <w:pPr>
        <w:spacing w:before="0" w:after="180"/>
      </w:pPr>
      <w:r>
        <w:rPr>
          <w:rFonts w:ascii="Georgia" w:cs="Georgia" w:eastAsia="Georgia" w:hAnsi="Georgia"/>
          <w:i w:val="false"/>
          <w:iCs w:val="false"/>
          <w:color w:val="1C1C1C"/>
          <w:sz w:val="22"/>
          <w:szCs w:val="22"/>
        </w:rPr>
        <w:t xml:space="preserve">When the post-2000s civil rights framework incorporated LGBT rights as a parallel struggle, it placed Black clergy in a position where the theology that had powered their resistance to racial oppression drew a clear institutional distinction from the new cause. The consequence was structural: clergy who had been mobilisation infrastructure became conflicted or disengaged. The moral authority that had functioned as a political weapon became internally contested.</w:t>
      </w:r>
    </w:p>
    <w:p>
      <w:pPr>
        <w:spacing w:before="0" w:after="180"/>
      </w:pPr>
      <w:r>
        <w:rPr>
          <w:rFonts w:ascii="Georgia" w:cs="Georgia" w:eastAsia="Georgia" w:hAnsi="Georgia"/>
          <w:i w:val="false"/>
          <w:iCs w:val="false"/>
          <w:color w:val="1C1C1C"/>
          <w:sz w:val="22"/>
          <w:szCs w:val="22"/>
        </w:rPr>
        <w:t xml:space="preserve">The application to Chanuka is direct. The civil society organisations that currently perform accountability functions in Kenya — Mzalendo Trust, Katiba Institute, Africa Check, PesaCheck — are Chanuka's equivalent of the church. They are the distribution infrastructure, the trust network, the legitimacy validators. Chanuka's non-partisan positioning is not political caution. It is the preservation of the relationships on which the platform's effectiveness depends.</w:t>
      </w:r>
    </w:p>
    <w:p>
      <w:pPr>
        <w:spacing w:before="0" w:after="180"/>
      </w:pPr>
      <w:r>
        <w:rPr>
          <w:rFonts w:ascii="Georgia" w:cs="Georgia" w:eastAsia="Georgia" w:hAnsi="Georgia"/>
          <w:i w:val="false"/>
          <w:iCs w:val="false"/>
          <w:color w:val="1C1C1C"/>
          <w:sz w:val="22"/>
          <w:szCs w:val="22"/>
        </w:rPr>
        <w:t xml:space="preserve">A Chanuka that took positions, endorsed coalitions, or became identified with a particular political strand would lose precisely the civil society relationships that make constituency scorecards credible and distributable. The lesson from the civil rights coalition fracture is that the infrastructure comes first. Everything else follows from it.</w:t>
      </w:r>
    </w:p>
    <w:p>
      <w:pPr>
        <w:spacing w:before="80" w:after="180"/>
      </w:pPr>
      <w:r>
        <w:rPr>
          <w:rFonts w:ascii="Georgia" w:cs="Georgia" w:eastAsia="Georgia" w:hAnsi="Georgia"/>
          <w:i/>
          <w:iCs/>
          <w:color w:val="6A6E80"/>
          <w:sz w:val="18"/>
          <w:szCs w:val="18"/>
        </w:rPr>
        <w:t xml:space="preserve">Source: 'The Coalition Problem: When Injustice Anywhere Becomes a Strategic Liability'</w:t>
      </w:r>
    </w:p>
    <w:p>
      <w:pPr>
        <w:spacing w:before="120" w:after="0"/>
      </w:pPr>
    </w:p>
    <w:p>
      <w:pPr>
        <w:pStyle w:val="Heading2"/>
      </w:pPr>
      <w:r>
        <w:t xml:space="preserve">Moral Universalism vs. Strategic Particularism</w:t>
      </w:r>
    </w:p>
    <w:p>
      <w:pPr>
        <w:spacing w:before="0" w:after="180"/>
      </w:pPr>
      <w:r>
        <w:rPr>
          <w:rFonts w:ascii="Georgia" w:cs="Georgia" w:eastAsia="Georgia" w:hAnsi="Georgia"/>
          <w:i w:val="false"/>
          <w:iCs w:val="false"/>
          <w:color w:val="1C1C1C"/>
          <w:sz w:val="22"/>
          <w:szCs w:val="22"/>
        </w:rPr>
        <w:t xml:space="preserve">The pattern above reveals a tension that every accountability platform must navigate. Moral universalism holds that all forms of democratic failure share a common logic and that solidarity across causes builds collective power. Strategic particularism holds that specific grievances require specific remedies and specific institutional infrastructures that can be destroyed by overextension. Both are true. The mistake is applying moral universalism as an operational strategy rather than as a philosophical foundation.</w:t>
      </w:r>
    </w:p>
    <w:p>
      <w:pPr>
        <w:spacing w:before="0" w:after="180"/>
      </w:pPr>
      <w:r>
        <w:rPr>
          <w:rFonts w:ascii="Georgia" w:cs="Georgia" w:eastAsia="Georgia" w:hAnsi="Georgia"/>
          <w:i w:val="false"/>
          <w:iCs w:val="false"/>
          <w:color w:val="1C1C1C"/>
          <w:sz w:val="22"/>
          <w:szCs w:val="22"/>
        </w:rPr>
        <w:t xml:space="preserve">The Finance Bill protests demonstrated this distinction with precision. The movement was powerful because it was specific — three provisions, specific harms, named MPs. Chanuka's purpose is to institutionalise that specificity so it does not diffuse between crises into blanket opposition, which exhausts itself without producing electoral consequence.</w:t>
      </w:r>
    </w:p>
    <w:p>
      <w:pPr>
        <w:pBdr>
          <w:top w:val="single" w:color="1A7A6B" w:sz="4" w:space="6"/>
          <w:bottom w:val="single" w:color="1A7A6B" w:sz="4" w:space="6"/>
          <w:left w:val="single" w:color="1A7A6B" w:sz="14" w:space="10"/>
          <w:right w:val="none" w:color="auto" w:sz="0" w:space="0"/>
        </w:pBdr>
        <w:shd w:fill="EBF5F2" w:val="clear"/>
        <w:spacing w:before="220" w:after="220"/>
        <w:ind w:left="280" w:right="280"/>
      </w:pPr>
      <w:r>
        <w:rPr>
          <w:rFonts w:ascii="Georgia" w:cs="Georgia" w:eastAsia="Georgia" w:hAnsi="Georgia"/>
          <w:i/>
          <w:iCs/>
          <w:color w:val="0D1117"/>
          <w:sz w:val="22"/>
          <w:szCs w:val="22"/>
        </w:rPr>
        <w:t xml:space="preserve">The movement became better at articulating the breadth of injustice and worse at dismantling specific institutions of it. That is not a coincidence. It is the predictable result of strategic overextension — and the precise failure mode Chanuka is designed to prevent by maintaining institutional memory of specific decisions between protest moments.</w:t>
      </w:r>
    </w:p>
    <w:p>
      <w:pPr>
        <w:spacing w:before="80" w:after="180"/>
      </w:pPr>
      <w:r>
        <w:rPr>
          <w:rFonts w:ascii="Georgia" w:cs="Georgia" w:eastAsia="Georgia" w:hAnsi="Georgia"/>
          <w:i/>
          <w:iCs/>
          <w:color w:val="6A6E80"/>
          <w:sz w:val="18"/>
          <w:szCs w:val="18"/>
        </w:rPr>
        <w:t xml:space="preserve">Source: 'The Coalition Problem: When Injustice Anywhere Becomes a Strategic Liability'</w:t>
      </w:r>
    </w:p>
    <w:p>
      <w:r>
        <w:br w:type="page"/>
      </w:r>
    </w:p>
    <w:p>
      <w:pPr>
        <w:spacing w:before="480" w:after="0"/>
      </w:pPr>
      <w:r>
        <w:rPr>
          <w:rFonts w:ascii="Arial" w:cs="Arial" w:eastAsia="Arial" w:hAnsi="Arial"/>
          <w:b/>
          <w:bCs/>
          <w:color w:val="1A7A6B"/>
          <w:sz w:val="28"/>
          <w:szCs w:val="28"/>
        </w:rPr>
        <w:t xml:space="preserve">IV.  </w:t>
      </w:r>
      <w:r>
        <w:rPr>
          <w:rFonts w:ascii="Arial" w:cs="Arial" w:eastAsia="Arial" w:hAnsi="Arial"/>
          <w:b/>
          <w:bCs/>
          <w:color w:val="0D1117"/>
          <w:sz w:val="28"/>
          <w:szCs w:val="28"/>
        </w:rPr>
        <w:t xml:space="preserve">The Abandonment Risk: Why Open-Source Architecture Is a Political Necessity</w:t>
      </w:r>
    </w:p>
    <w:p>
      <w:pPr>
        <w:pBdr>
          <w:bottom w:val="single" w:color="D0CEC8" w:sz="4" w:space="1"/>
        </w:pBdr>
        <w:spacing w:before="60" w:after="240"/>
      </w:pPr>
    </w:p>
    <w:p>
      <w:pPr>
        <w:spacing w:before="40" w:after="0"/>
      </w:pPr>
    </w:p>
    <w:p>
      <w:pPr>
        <w:pBdr>
          <w:top w:val="single" w:color="1A7A6B" w:sz="4" w:space="6"/>
          <w:bottom w:val="single" w:color="1A7A6B" w:sz="4" w:space="6"/>
          <w:left w:val="none" w:color="auto" w:sz="0" w:space="0"/>
          <w:right w:val="none" w:color="auto" w:sz="0" w:space="0"/>
        </w:pBdr>
        <w:spacing w:before="240" w:after="240"/>
        <w:ind w:left="480" w:right="480"/>
      </w:pPr>
      <w:r>
        <w:rPr>
          <w:rFonts w:ascii="Georgia" w:cs="Georgia" w:eastAsia="Georgia" w:hAnsi="Georgia"/>
          <w:i/>
          <w:iCs/>
          <w:color w:val="3A4055"/>
          <w:sz w:val="23"/>
          <w:szCs w:val="23"/>
        </w:rPr>
        <w:t xml:space="preserve">Black women in 1869 understood that the white suffrage movement would not protect them — and they were right. The 19th Amendment proved it. The lesson is not that coalitions should not be built. It is that a platform whose survival depends on the loyalty of any single coalition partner has already accepted the terms of its own abandonment.</w:t>
      </w:r>
    </w:p>
    <w:p>
      <w:pPr>
        <w:spacing w:before="80" w:after="0"/>
      </w:pPr>
    </w:p>
    <w:p>
      <w:pPr>
        <w:pStyle w:val="Heading2"/>
      </w:pPr>
      <w:r>
        <w:t xml:space="preserve">The 15th Amendment as a Design Parable</w:t>
      </w:r>
    </w:p>
    <w:p>
      <w:pPr>
        <w:spacing w:before="0" w:after="180"/>
      </w:pPr>
      <w:r>
        <w:rPr>
          <w:rFonts w:ascii="Georgia" w:cs="Georgia" w:eastAsia="Georgia" w:hAnsi="Georgia"/>
          <w:i w:val="false"/>
          <w:iCs w:val="false"/>
          <w:color w:val="1C1C1C"/>
          <w:sz w:val="22"/>
          <w:szCs w:val="22"/>
        </w:rPr>
        <w:t xml:space="preserve">The conflict over the 15th Amendment — which extended the vote to Black men but not women, dividing the abolitionist coalition that had built both movements — contains the most precise historical argument for Chanuka's open-source, distributed, no-single-point-of-capture architecture.</w:t>
      </w:r>
    </w:p>
    <w:p>
      <w:pPr>
        <w:spacing w:before="0" w:after="180"/>
      </w:pPr>
      <w:r>
        <w:rPr>
          <w:rFonts w:ascii="Georgia" w:cs="Georgia" w:eastAsia="Georgia" w:hAnsi="Georgia"/>
          <w:i w:val="false"/>
          <w:iCs w:val="false"/>
          <w:color w:val="1C1C1C"/>
          <w:sz w:val="22"/>
          <w:szCs w:val="22"/>
        </w:rPr>
        <w:t xml:space="preserve">Black women at the 1869 suffrage schism faced an impossible strategic position. They had the most layered stake in both causes — as Black people facing racial terror and economic exclusion, and as women facing civic erasure. The movements that should have been their natural allies each required them to subordinate one dimension of their identity to the other's strategic calculus. Their analytical response contains three principles directly applicable to Chanuka's architecture:</w:t>
      </w:r>
    </w:p>
    <w:p>
      <w:pPr>
        <w:pStyle w:val="Heading3"/>
      </w:pPr>
      <w:r>
        <w:t xml:space="preserve">Principle 1: Conflating movements hands opponents a weapon</w:t>
      </w:r>
    </w:p>
    <w:p>
      <w:pPr>
        <w:spacing w:before="0" w:after="180"/>
      </w:pPr>
      <w:r>
        <w:rPr>
          <w:rFonts w:ascii="Georgia" w:cs="Georgia" w:eastAsia="Georgia" w:hAnsi="Georgia"/>
          <w:i w:val="false"/>
          <w:iCs w:val="false"/>
          <w:color w:val="1C1C1C"/>
          <w:sz w:val="22"/>
          <w:szCs w:val="22"/>
        </w:rPr>
        <w:t xml:space="preserve">If women's suffrage had been attached to the 15th Amendment, it would have given opponents additional coalition partners among white women who were themselves racist. Black women understood that their liberation could not be secured by attaching it to a movement whose members did not want them. The coalition that looked like solidarity was, examined closely, a liability. For Chanuka: a platform publicly identified with any political movement inherits that movement's enemies and internal contradictions — which become most acute during election cycles, when every actor has the highest incentive to discredit inconvenient sources.</w:t>
      </w:r>
    </w:p>
    <w:p>
      <w:pPr>
        <w:pStyle w:val="Heading3"/>
      </w:pPr>
      <w:r>
        <w:t xml:space="preserve">Principle 2: The platform that depends on an ally's loyalty can be abandoned by it</w:t>
      </w:r>
    </w:p>
    <w:p>
      <w:pPr>
        <w:spacing w:before="0" w:after="180"/>
      </w:pPr>
      <w:r>
        <w:rPr>
          <w:rFonts w:ascii="Georgia" w:cs="Georgia" w:eastAsia="Georgia" w:hAnsi="Georgia"/>
          <w:i w:val="false"/>
          <w:iCs w:val="false"/>
          <w:color w:val="1C1C1C"/>
          <w:sz w:val="22"/>
          <w:szCs w:val="22"/>
        </w:rPr>
        <w:t xml:space="preserve">When the 19th Amendment passed in 1920, Black women in the South were immediately barred from voting through the same infrastructure of terror, literacy tests, and poll taxes that barred Black men. The suffrage movement had achieved its goal and had no further strategic incentive to protect the members it had used. The abandonment was the predictable operation of self-interest once the shared goal was achieved. For Chanuka: any funder, partner organisation, or civil society ally operates with its own strategic interests. Those interests overlap with Chanuka's today and may diverge tomorrow. A platform whose infrastructure exists only within a single institutional relationship is one strategic pivot away from irrelevance.</w:t>
      </w:r>
    </w:p>
    <w:p>
      <w:pPr>
        <w:pStyle w:val="Heading3"/>
      </w:pPr>
      <w:r>
        <w:t xml:space="preserve">Principle 3: Distributed architecture makes abandonment structurally impossible</w:t>
      </w:r>
    </w:p>
    <w:p>
      <w:pPr>
        <w:spacing w:before="0" w:after="180"/>
      </w:pPr>
      <w:r>
        <w:rPr>
          <w:rFonts w:ascii="Georgia" w:cs="Georgia" w:eastAsia="Georgia" w:hAnsi="Georgia"/>
          <w:i w:val="false"/>
          <w:iCs w:val="false"/>
          <w:color w:val="1C1C1C"/>
          <w:sz w:val="22"/>
          <w:szCs w:val="22"/>
        </w:rPr>
        <w:t xml:space="preserve">The reason Black women's analytical clarity about white suffragists' racism did not destroy their civic agency is that their community infrastructure — the church, the club movement, the NAACP women's auxiliary — was distributed and self-sustaining. When the white movement abandoned them, the community infrastructure remained. Chanuka's open-source architecture, published methodology, and public data hosting serve the same structural function. The accountability record cannot be erased because it exists in multiple independent locations. No single funder's withdrawal, no single partner's departure, no single political pressure can capture or shut down what has already been distributed.</w:t>
      </w:r>
    </w:p>
    <w:p>
      <w:pPr>
        <w:spacing w:before="80" w:after="180"/>
      </w:pPr>
      <w:r>
        <w:rPr>
          <w:rFonts w:ascii="Georgia" w:cs="Georgia" w:eastAsia="Georgia" w:hAnsi="Georgia"/>
          <w:i/>
          <w:iCs/>
          <w:color w:val="6A6E80"/>
          <w:sz w:val="18"/>
          <w:szCs w:val="18"/>
        </w:rPr>
        <w:t xml:space="preserve">Source: 'The Suffrage Fault Line: Black Male Votes, White Women, and the Impossible Position of Black Women'</w:t>
      </w:r>
    </w:p>
    <w:p>
      <w:pPr>
        <w:spacing w:before="120" w:after="0"/>
      </w:pPr>
    </w:p>
    <w:p>
      <w:pPr>
        <w:pStyle w:val="Heading2"/>
      </w:pPr>
      <w:r>
        <w:t xml:space="preserve">The Co-optation Sequence — And Its Architectural Counter</w:t>
      </w:r>
    </w:p>
    <w:p>
      <w:pPr>
        <w:spacing w:before="0" w:after="180"/>
      </w:pPr>
      <w:r>
        <w:rPr>
          <w:rFonts w:ascii="Georgia" w:cs="Georgia" w:eastAsia="Georgia" w:hAnsi="Georgia"/>
          <w:i w:val="false"/>
          <w:iCs w:val="false"/>
          <w:color w:val="1C1C1C"/>
          <w:sz w:val="22"/>
          <w:szCs w:val="22"/>
        </w:rPr>
        <w:t xml:space="preserve">The historical pattern of movement co-optation follows a consistent sequence: a movement produces visible leaders; those leaders become targets through appointments, resources, threats, or personal advancement; once the leaders are captured, the movement's direction shifts; the system absorbs the opposition and continues unchanged. The architectural counter is not having more committed leaders or better integrity. It is distributing beyond the point of capture.</w:t>
      </w:r>
    </w:p>
    <w:p>
      <w:pPr>
        <w:pBdr>
          <w:top w:val="single" w:color="1A7A6B" w:sz="4" w:space="6"/>
          <w:bottom w:val="single" w:color="1A7A6B" w:sz="4" w:space="6"/>
          <w:left w:val="single" w:color="1A7A6B" w:sz="14" w:space="10"/>
          <w:right w:val="none" w:color="auto" w:sz="0" w:space="0"/>
        </w:pBdr>
        <w:shd w:fill="EBF5F2" w:val="clear"/>
        <w:spacing w:before="220" w:after="220"/>
        <w:ind w:left="280" w:right="280"/>
      </w:pPr>
      <w:r>
        <w:rPr>
          <w:rFonts w:ascii="Georgia" w:cs="Georgia" w:eastAsia="Georgia" w:hAnsi="Georgia"/>
          <w:i/>
          <w:iCs/>
          <w:color w:val="0D1117"/>
          <w:sz w:val="22"/>
          <w:szCs w:val="22"/>
        </w:rPr>
        <w:t xml:space="preserve">Open-source is not an ethics statement. It is a survival strategy. A proprietary accountability platform can be pressured, defunded, or shut down. An open methodology independently deployed across multiple institutions cannot. Permanence comes from distribution, not from any single organisation's commitment to keeping the lights on.</w:t>
      </w:r>
    </w:p>
    <w:p>
      <w:pPr>
        <w:spacing w:before="80" w:after="180"/>
      </w:pPr>
      <w:r>
        <w:rPr>
          <w:rFonts w:ascii="Georgia" w:cs="Georgia" w:eastAsia="Georgia" w:hAnsi="Georgia"/>
          <w:i/>
          <w:iCs/>
          <w:color w:val="6A6E80"/>
          <w:sz w:val="18"/>
          <w:szCs w:val="18"/>
        </w:rPr>
        <w:t xml:space="preserve">Source: 'The Suffrage Fault Line: Black Male Votes, White Women, and the Impossible Position of Black Women'; 'The Coalition Problem: When Injustice Anywhere Becomes a Strategic Liability'</w:t>
      </w:r>
    </w:p>
    <w:p>
      <w:r>
        <w:br w:type="page"/>
      </w:r>
    </w:p>
    <w:p>
      <w:pPr>
        <w:spacing w:before="480" w:after="0"/>
      </w:pPr>
      <w:r>
        <w:rPr>
          <w:rFonts w:ascii="Arial" w:cs="Arial" w:eastAsia="Arial" w:hAnsi="Arial"/>
          <w:b/>
          <w:bCs/>
          <w:color w:val="1A7A6B"/>
          <w:sz w:val="28"/>
          <w:szCs w:val="28"/>
        </w:rPr>
        <w:t xml:space="preserve">V.  </w:t>
      </w:r>
      <w:r>
        <w:rPr>
          <w:rFonts w:ascii="Arial" w:cs="Arial" w:eastAsia="Arial" w:hAnsi="Arial"/>
          <w:b/>
          <w:bCs/>
          <w:color w:val="0D1117"/>
          <w:sz w:val="28"/>
          <w:szCs w:val="28"/>
        </w:rPr>
        <w:t xml:space="preserve">Synthesis: Why Chanuka Is Built the Way It Is</w:t>
      </w:r>
    </w:p>
    <w:p>
      <w:pPr>
        <w:pBdr>
          <w:bottom w:val="single" w:color="D0CEC8" w:sz="4" w:space="1"/>
        </w:pBdr>
        <w:spacing w:before="60" w:after="240"/>
      </w:pPr>
    </w:p>
    <w:p>
      <w:pPr>
        <w:spacing w:before="40" w:after="0"/>
      </w:pPr>
    </w:p>
    <w:p>
      <w:pPr>
        <w:spacing w:before="0" w:after="180"/>
      </w:pPr>
      <w:r>
        <w:rPr>
          <w:rFonts w:ascii="Georgia" w:cs="Georgia" w:eastAsia="Georgia" w:hAnsi="Georgia"/>
          <w:i w:val="false"/>
          <w:iCs w:val="false"/>
          <w:color w:val="1C1C1C"/>
          <w:sz w:val="22"/>
          <w:szCs w:val="22"/>
        </w:rPr>
        <w:t xml:space="preserve">A reviewer asking why Chanuka is designed as it is — constituency-level, voting-record focused, non-partisan, open-source, election-cycle timed — will find the answer not in the platform specifications but in the four analyses above. Each design choice responds to a specific, historically grounded failure mode: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Design Choice</w:t>
            </w:r>
          </w:p>
        </w:tc>
        <w:tc>
          <w:tcPr>
            <w:tcW w:type="dxa" w:w="336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The Failure Mode It Addresses</w:t>
            </w:r>
          </w:p>
        </w:tc>
        <w:tc>
          <w:tcPr>
            <w:tcW w:type="dxa" w:w="300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19"/>
                <w:szCs w:val="19"/>
              </w:rPr>
              <w:t xml:space="preserve">Analytical Source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Constituency-level disaggregation</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National coalition vagueness has no surface to grip at the local level where grievances are already specific</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Section I</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Voting record as primary unit</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Restores the four elements that coalition vagueness systematically dissolves: agent, action, timeline, standard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Section II</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Non-partisan positioning</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Preserves the civil society infrastructure whose fracture destroyed prior accountability movements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Section III</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Open-source, distributed architecture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Prevents the co-optation sequence by eliminating any single point of capture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Section IV</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Election-cycle integration</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Closes the loop the Finance Bill protests left open: civic energy must reach the ballot to produce structural consequence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Section III</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No single institutional dependency</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Any platform dependent on one funder or partner can be abandoned when that partner's interests shift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C1C1C"/>
                <w:sz w:val="19"/>
                <w:szCs w:val="19"/>
              </w:rPr>
              <w:t xml:space="preserve">Section IV</w:t>
            </w:r>
          </w:p>
        </w:tc>
      </w:tr>
    </w:tbl>
    <w:p>
      <w:pPr>
        <w:spacing w:before="280" w:after="0"/>
      </w:pPr>
    </w:p>
    <w:p>
      <w:pPr>
        <w:pBdr>
          <w:top w:val="single" w:color="1A7A6B" w:sz="4" w:space="6"/>
          <w:bottom w:val="single" w:color="1A7A6B" w:sz="4" w:space="6"/>
          <w:left w:val="none" w:color="auto" w:sz="0" w:space="0"/>
          <w:right w:val="none" w:color="auto" w:sz="0" w:space="0"/>
        </w:pBdr>
        <w:spacing w:before="240" w:after="240"/>
        <w:ind w:left="480" w:right="480"/>
      </w:pPr>
      <w:r>
        <w:rPr>
          <w:rFonts w:ascii="Georgia" w:cs="Georgia" w:eastAsia="Georgia" w:hAnsi="Georgia"/>
          <w:i/>
          <w:iCs/>
          <w:color w:val="3A4055"/>
          <w:sz w:val="23"/>
          <w:szCs w:val="23"/>
        </w:rPr>
        <w:t xml:space="preserve">The question Chanuka's design answers is not 'how do we make parliament more transparent?' Kenya's parliament is already formally transparent. The question is: why has that transparency produced no accountability? The answer is that transparency without consequence is better-documented impunity. The design choices above are the architecture of consequence — built from the specific lessons of the specific failure modes that every prior attempt to close this loop encountered and did not survive.</w:t>
      </w:r>
    </w:p>
    <w:p>
      <w:pPr>
        <w:spacing w:before="240" w:after="0"/>
      </w:pPr>
    </w:p>
    <w:p>
      <w:pPr>
        <w:pBdr>
          <w:bottom w:val="single" w:color="D0CEC8" w:sz="4" w:space="1"/>
        </w:pBdr>
        <w:spacing w:before="60" w:after="240"/>
      </w:pPr>
    </w:p>
    <w:p>
      <w:pPr>
        <w:spacing w:before="120" w:after="0"/>
      </w:pPr>
      <w:r>
        <w:rPr>
          <w:rFonts w:ascii="Arial" w:cs="Arial" w:eastAsia="Arial" w:hAnsi="Arial"/>
          <w:color w:val="6A6E80"/>
          <w:sz w:val="18"/>
          <w:szCs w:val="18"/>
        </w:rPr>
        <w:t xml:space="preserve">Chanuka  ·  Nairobi, Kenya  ·  March 2026</w:t>
      </w:r>
    </w:p>
    <w:p>
      <w:pPr>
        <w:spacing w:before="40" w:after="0"/>
      </w:pPr>
      <w:r>
        <w:rPr>
          <w:rFonts w:ascii="Georgia" w:cs="Georgia" w:eastAsia="Georgia" w:hAnsi="Georgia"/>
          <w:i/>
          <w:iCs/>
          <w:color w:val="6A6E80"/>
          <w:sz w:val="18"/>
          <w:szCs w:val="18"/>
        </w:rPr>
        <w:t xml:space="preserve">This annex is a supporting document to the main application. It should be read alongside the theory of change, attribution framework, and platform technical specification.</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0D1117"/>
      <w:sz w:val="28"/>
      <w:szCs w:val="28"/>
    </w:rPr>
  </w:style>
  <w:style w:type="paragraph" w:styleId="Heading2">
    <w:name w:val="Heading 2"/>
    <w:basedOn w:val="Normal"/>
    <w:next w:val="Normal"/>
    <w:qFormat/>
    <w:pPr>
      <w:spacing w:before="300" w:after="100"/>
      <w:outlineLvl w:val="1"/>
    </w:pPr>
    <w:rPr>
      <w:rFonts w:ascii="Arial" w:cs="Arial" w:eastAsia="Arial" w:hAnsi="Arial"/>
      <w:b/>
      <w:bCs/>
      <w:color w:val="3A4055"/>
      <w:sz w:val="24"/>
      <w:szCs w:val="24"/>
    </w:rPr>
  </w:style>
  <w:style w:type="paragraph" w:styleId="Heading3">
    <w:name w:val="Heading 3"/>
    <w:basedOn w:val="Normal"/>
    <w:next w:val="Normal"/>
    <w:qFormat/>
    <w:pPr>
      <w:spacing w:before="220" w:after="80"/>
      <w:outlineLvl w:val="2"/>
    </w:pPr>
    <w:rPr>
      <w:rFonts w:ascii="Arial" w:cs="Arial" w:eastAsia="Arial" w:hAnsi="Arial"/>
      <w:b/>
      <w:bCs/>
      <w:color w:val="6A6E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2026-03-18T06:49:44.540Z</dcterms:created>
  <dcterms:modified xsi:type="dcterms:W3CDTF">2026-03-18T06:49:44.541Z</dcterms:modified>
</cp:coreProperties>
</file>

<file path=docProps/custom.xml><?xml version="1.0" encoding="utf-8"?>
<Properties xmlns="http://schemas.openxmlformats.org/officeDocument/2006/custom-properties" xmlns:vt="http://schemas.openxmlformats.org/officeDocument/2006/docPropsVTypes"/>
</file>