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pPr>
      <w:r>
        <w:rPr>
          <w:rFonts w:ascii="Arial" w:cs="Arial" w:eastAsia="Arial" w:hAnsi="Arial"/>
          <w:b/>
          <w:bCs/>
          <w:color w:val="0D1117"/>
          <w:sz w:val="48"/>
          <w:szCs w:val="48"/>
        </w:rPr>
        <w:t xml:space="preserve">CHANUKA</w:t>
      </w:r>
    </w:p>
    <w:p>
      <w:pPr>
        <w:spacing w:before="0" w:after="120"/>
      </w:pPr>
      <w:r>
        <w:rPr>
          <w:rFonts w:ascii="Arial" w:cs="Arial" w:eastAsia="Arial" w:hAnsi="Arial"/>
          <w:color w:val="626880"/>
          <w:sz w:val="26"/>
          <w:szCs w:val="26"/>
        </w:rPr>
        <w:t xml:space="preserve">Parliamentary Accountability Platform · Kenya</w:t>
      </w:r>
    </w:p>
    <w:p>
      <w:pPr>
        <w:pBdr>
          <w:top w:val="none" w:sz="0" w:space="0" w:color="auto"/>
          <w:left w:val="none" w:sz="0" w:space="0" w:color="auto"/>
          <w:bottom w:val="single" w:color="1A7A6B" w:sz="12" w:space="1"/>
          <w:right w:val="none" w:sz="0" w:space="0" w:color="auto"/>
        </w:pBdr>
        <w:spacing w:before="0" w:after="280"/>
      </w:pPr>
    </w:p>
    <w:p>
      <w:pPr>
        <w:spacing w:before="0" w:after="80"/>
      </w:pPr>
      <w:r>
        <w:rPr>
          <w:rFonts w:ascii="Arial" w:cs="Arial" w:eastAsia="Arial" w:hAnsi="Arial"/>
          <w:b/>
          <w:bCs/>
          <w:color w:val="1A7A6B"/>
          <w:spacing w:val="60"/>
          <w:sz w:val="34"/>
          <w:szCs w:val="34"/>
        </w:rPr>
        <w:t xml:space="preserve">INTELLECTUAL ANNEX</w:t>
      </w:r>
    </w:p>
    <w:p>
      <w:pPr>
        <w:spacing w:before="0" w:after="60"/>
      </w:pPr>
      <w:r>
        <w:rPr>
          <w:rFonts w:ascii="Georgia" w:cs="Georgia" w:eastAsia="Georgia" w:hAnsi="Georgia"/>
          <w:i/>
          <w:iCs/>
          <w:color w:val="2C3550"/>
          <w:sz w:val="22"/>
          <w:szCs w:val="22"/>
        </w:rPr>
        <w:t xml:space="preserve">Theoretical Foundations of Platform Design, Theory of Change, and Strategic Architecture</w:t>
      </w:r>
    </w:p>
    <w:p>
      <w:pPr>
        <w:spacing w:before="280" w:after="0"/>
      </w:pPr>
    </w:p>
    <w:p>
      <w:pPr>
        <w:spacing w:before="0" w:after="40"/>
      </w:pPr>
      <w:r>
        <w:rPr>
          <w:rFonts w:ascii="Arial" w:cs="Arial" w:eastAsia="Arial" w:hAnsi="Arial"/>
          <w:color w:val="626880"/>
          <w:sz w:val="19"/>
          <w:szCs w:val="19"/>
        </w:rPr>
        <w:t xml:space="preserve">For submission with: EU CFP Concept Note (EuropeAid/183898/DD/ACT/KE) · NED Kenya Civil Society Grant · Code for Africa Partnership Proposal</w:t>
      </w:r>
    </w:p>
    <w:p>
      <w:pPr>
        <w:spacing w:before="0" w:after="40"/>
      </w:pPr>
      <w:r>
        <w:rPr>
          <w:rFonts w:ascii="Arial" w:cs="Arial" w:eastAsia="Arial" w:hAnsi="Arial"/>
          <w:color w:val="626880"/>
          <w:sz w:val="19"/>
          <w:szCs w:val="19"/>
        </w:rPr>
        <w:t xml:space="preserve">March 2026  ·  Nairobi, Kenya  ·  chanuka.co.ke</w:t>
      </w:r>
    </w:p>
    <w:p>
      <w:pPr>
        <w:spacing w:before="200" w:after="0"/>
      </w:pPr>
    </w:p>
    <w:p>
      <w:pPr>
        <w:pBdr>
          <w:top w:val="single" w:color="956F1A" w:sz="4" w:space="6"/>
          <w:left w:val="single" w:color="956F1A" w:sz="14" w:space="10"/>
          <w:bottom w:val="single" w:color="956F1A" w:sz="4" w:space="6"/>
          <w:right w:val="none" w:color="auto" w:sz="0" w:space="0"/>
        </w:pBdr>
        <w:shd w:fill="FBF6EA" w:val="clear"/>
        <w:spacing w:before="200" w:after="200"/>
        <w:ind w:left="260" w:right="260"/>
      </w:pPr>
      <w:r>
        <w:rPr>
          <w:rFonts w:ascii="Georgia" w:cs="Georgia" w:eastAsia="Georgia" w:hAnsi="Georgia"/>
          <w:i/>
          <w:iCs/>
          <w:color w:val="0D1117"/>
          <w:sz w:val="22"/>
          <w:szCs w:val="22"/>
        </w:rPr>
        <w:t xml:space="preserve">How to use this annex: This document is the intellectual infrastructure behind Chanuka's platform design and theory of change. It is not a narrative of what Chanuka does. It is the argument for why Chanuka is designed as it is — grounded in historical precedent, political science, and a theory of how accountability actually produces structural democratic consequence. Reviewers who want the operational overview should consult the main application. Reviewers who want to understand the theoretical architecture underlying every design decision should read this.</w:t>
      </w:r>
    </w:p>
    <w:p>
      <w:pPr>
        <w:spacing w:before="80" w:after="0"/>
      </w:pPr>
    </w:p>
    <w:p>
      <w:r>
        <w:br w:type="page"/>
      </w:r>
    </w:p>
    <w:p>
      <w:pPr>
        <w:spacing w:before="360" w:after="80"/>
      </w:pPr>
      <w:r>
        <w:rPr>
          <w:rFonts w:ascii="Arial" w:cs="Arial" w:eastAsia="Arial" w:hAnsi="Arial"/>
          <w:b/>
          <w:bCs/>
          <w:color w:val="1A7A6B"/>
          <w:spacing w:val="40"/>
          <w:sz w:val="17"/>
          <w:szCs w:val="17"/>
        </w:rPr>
        <w:t xml:space="preserve">SECTION 1</w:t>
      </w:r>
    </w:p>
    <w:p>
      <w:pPr>
        <w:pStyle w:val="Heading1"/>
      </w:pPr>
      <w:r>
        <w:t xml:space="preserve">The Five Theoretical Propositions</w:t>
      </w:r>
    </w:p>
    <w:p>
      <w:pPr>
        <w:pBdr>
          <w:top w:val="none" w:sz="0" w:space="0" w:color="auto"/>
          <w:left w:val="none" w:sz="0" w:space="0" w:color="auto"/>
          <w:bottom w:val="single" w:color="DDDDDD" w:sz="2" w:space="1"/>
          <w:right w:val="none" w:sz="0" w:space="0" w:color="auto"/>
        </w:pBdr>
        <w:spacing w:before="40" w:after="160"/>
      </w:pPr>
    </w:p>
    <w:p>
      <w:pPr>
        <w:spacing w:before="0" w:after="180"/>
      </w:pPr>
      <w:r>
        <w:rPr>
          <w:rFonts w:ascii="Georgia" w:cs="Georgia" w:eastAsia="Georgia" w:hAnsi="Georgia"/>
          <w:b w:val="false"/>
          <w:bCs w:val="false"/>
          <w:i w:val="false"/>
          <w:iCs w:val="false"/>
          <w:color w:val="1A1A2E"/>
          <w:sz w:val="22"/>
          <w:szCs w:val="22"/>
        </w:rPr>
        <w:t xml:space="preserve">Chanuka's design rests on five theoretical propositions. Each proposition is grounded in historical analysis and political science. Each has a direct architectural implication for how the platform is built. None is assumed. Each is argued.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w:t>
            </w:r>
          </w:p>
        </w:tc>
        <w:tc>
          <w:tcPr>
            <w:tcW w:type="dxa" w:w="39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Proposition</w:t>
            </w:r>
          </w:p>
        </w:tc>
        <w:tc>
          <w:tcPr>
            <w:tcW w:type="dxa" w:w="39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Chanuka Design Response</w:t>
            </w:r>
          </w:p>
        </w:tc>
      </w:tr>
      <w:tr>
        <w:tc>
          <w:tcPr>
            <w:tcW w:type="dxa" w:w="144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§1</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Vagueness in Kenyan coalition politics is a manufactured political condition, not a voter preference — and its structure is identical to the accountability evasion mechanism documented across multiple democratic contexts.</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Platform operates at constituency level, not national level. Constituency-level data bypasses the coalition vagueness that operates at the presidential tier.</w:t>
            </w:r>
          </w:p>
        </w:tc>
      </w:tr>
      <w:tr>
        <w:tc>
          <w:tcPr>
            <w:tcW w:type="dxa" w:w="144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§2</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The accountability loop in Kenya has never been completed. The failure is architectural, not informational — the conversion layer from voting record to electoral consequence has never been built.</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Chanuka is designed as an accountability engine, not a transparency portal. Every feature serves one function: closing the loop between voting record and electoral cost.</w:t>
            </w:r>
          </w:p>
        </w:tc>
      </w:tr>
      <w:tr>
        <w:tc>
          <w:tcPr>
            <w:tcW w:type="dxa" w:w="144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§3</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Movements built on broad moral coalitions without independent infrastructure get abandoned when coalition partners face strategic choices. Specificity of mandate and independence of architecture are survival conditions.</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Open-source, distributed, no single point of capture. Platform cannot be co-opted because the methodology is a public specification and the data is a public resource.</w:t>
            </w:r>
          </w:p>
        </w:tc>
      </w:tr>
      <w:tr>
        <w:tc>
          <w:tcPr>
            <w:tcW w:type="dxa" w:w="144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§4</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The economic cost of sustained civic mobilisation falls regressively — hardest on those with the most to gain from accountability. Infrastructure that exerts continuous pressure at low personal cost is categorically different from mobilisation.</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USSD access layer, WhatsApp-optimised formats, Civic Multiplier distribution architecture. Accountability pressure at the cost of a data bundle, not a day's wages.</w:t>
            </w:r>
          </w:p>
        </w:tc>
      </w:tr>
      <w:tr>
        <w:tc>
          <w:tcPr>
            <w:tcW w:type="dxa" w:w="144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§5</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Vagueness transfers interpretive power to whoever controls it. Demanding specificity — in accountability claims, in platform outputs, in measurement standards — is the recovery of civic interpretive power before elites exercise it.</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Every accountability claim is sourced to a named vote, a named date, a named MP. Scoring methodology is published and auditable. The claim survives the scrutiny it invites.</w:t>
            </w:r>
          </w:p>
        </w:tc>
      </w:tr>
    </w:tbl>
    <w:p>
      <w:pPr>
        <w:spacing w:before="240" w:after="0"/>
      </w:pPr>
    </w:p>
    <w:p>
      <w:r>
        <w:br w:type="page"/>
      </w:r>
    </w:p>
    <w:p>
      <w:pPr>
        <w:spacing w:before="360" w:after="80"/>
      </w:pPr>
      <w:r>
        <w:rPr>
          <w:rFonts w:ascii="Arial" w:cs="Arial" w:eastAsia="Arial" w:hAnsi="Arial"/>
          <w:b/>
          <w:bCs/>
          <w:color w:val="1A7A6B"/>
          <w:spacing w:val="40"/>
          <w:sz w:val="17"/>
          <w:szCs w:val="17"/>
        </w:rPr>
        <w:t xml:space="preserve">SECTION 2</w:t>
      </w:r>
    </w:p>
    <w:p>
      <w:pPr>
        <w:pStyle w:val="Heading1"/>
      </w:pPr>
      <w:r>
        <w:t xml:space="preserve">The Manufactured Accountability Vacuum: Kenya's Coalition Architecture</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The broad-based alliance system has become an accountability evasion mechanism dressed in the language of national unity. Vagueness is not a feature of the system — it is the system's primary product.</w:t>
      </w:r>
    </w:p>
    <w:p>
      <w:pPr>
        <w:pStyle w:val="Heading2"/>
      </w:pPr>
      <w:r>
        <w:t xml:space="preserve">2.1  What the Coalition System Actually Does</w:t>
      </w:r>
    </w:p>
    <w:p>
      <w:pPr>
        <w:spacing w:before="0" w:after="180"/>
      </w:pPr>
      <w:r>
        <w:rPr>
          <w:rFonts w:ascii="Georgia" w:cs="Georgia" w:eastAsia="Georgia" w:hAnsi="Georgia"/>
          <w:b w:val="false"/>
          <w:bCs w:val="false"/>
          <w:i w:val="false"/>
          <w:iCs w:val="false"/>
          <w:color w:val="1A1A2E"/>
          <w:sz w:val="22"/>
          <w:szCs w:val="22"/>
        </w:rPr>
        <w:t xml:space="preserve">Kenya's electoral coalition architecture performs a specific technical function that is rarely named directly. It transfers voter loyalty from policy to personality and ethnicity — so that the vote becomes a vote for the kingpin, which becomes a vote for the ethnic patron, which becomes a vote for belonging rather than a vote for a specific outcome.</w:t>
      </w:r>
    </w:p>
    <w:p>
      <w:pPr>
        <w:spacing w:before="0" w:after="180"/>
      </w:pPr>
      <w:r>
        <w:rPr>
          <w:rFonts w:ascii="Georgia" w:cs="Georgia" w:eastAsia="Georgia" w:hAnsi="Georgia"/>
          <w:b w:val="false"/>
          <w:bCs w:val="false"/>
          <w:i w:val="false"/>
          <w:iCs w:val="false"/>
          <w:color w:val="1A1A2E"/>
          <w:sz w:val="22"/>
          <w:szCs w:val="22"/>
        </w:rPr>
        <w:t xml:space="preserve">The mechanism is precise. A specific position on land reform, devolution funding, or the housing levy would fracture the coalition's constituent ethnic groups, who have opposing material interests on exactly those questions. Policy specificity is therefore suppressed not because politicians have not thought the questions through, but because specificity is structurally incompatible with maintaining a coalition whose internal logic is ethnic arithmetic rather than shared programme.</w:t>
      </w:r>
    </w:p>
    <w:p>
      <w:pPr>
        <w:spacing w:before="0" w:after="180"/>
      </w:pPr>
      <w:r>
        <w:rPr>
          <w:rFonts w:ascii="Georgia" w:cs="Georgia" w:eastAsia="Georgia" w:hAnsi="Georgia"/>
          <w:b w:val="false"/>
          <w:bCs w:val="false"/>
          <w:i w:val="false"/>
          <w:iCs w:val="false"/>
          <w:color w:val="1A1A2E"/>
          <w:sz w:val="22"/>
          <w:szCs w:val="22"/>
        </w:rPr>
        <w:t xml:space="preserve">The result is that the manifesto becomes a marketing document — designed for donors and international observers — rather than a contract with voters. Legislators can say 'I support the agenda of our alliance' without specifying what that agenda costs, who pays, and who benefits. Accountability has no surface to grip.</w:t>
      </w:r>
    </w:p>
    <w:p>
      <w:pPr>
        <w:pStyle w:val="Heading2"/>
      </w:pPr>
      <w:r>
        <w:t xml:space="preserve">2.2  Why the Conventional Defences of Coalition Vagueness Fail</w:t>
      </w:r>
    </w:p>
    <w:p>
      <w:pPr>
        <w:spacing w:before="0" w:after="180"/>
      </w:pPr>
      <w:r>
        <w:rPr>
          <w:rFonts w:ascii="Georgia" w:cs="Georgia" w:eastAsia="Georgia" w:hAnsi="Georgia"/>
          <w:b w:val="false"/>
          <w:bCs w:val="false"/>
          <w:i w:val="false"/>
          <w:iCs w:val="false"/>
          <w:color w:val="1A1A2E"/>
          <w:sz w:val="22"/>
          <w:szCs w:val="22"/>
        </w:rPr>
        <w:t xml:space="preserve">Three arguments are typically advanced to defend the broad-coalition, low-specificity model. Each fails under scrutiny.</w:t>
      </w:r>
    </w:p>
    <w:p>
      <w:pPr>
        <w:pStyle w:val="Heading3"/>
      </w:pPr>
      <w:r>
        <w:t xml:space="preserve">The Ethnic Arithmetic Argument</w:t>
      </w:r>
    </w:p>
    <w:p>
      <w:pPr>
        <w:spacing w:before="0" w:after="180"/>
      </w:pPr>
      <w:r>
        <w:rPr>
          <w:rFonts w:ascii="Georgia" w:cs="Georgia" w:eastAsia="Georgia" w:hAnsi="Georgia"/>
          <w:b w:val="false"/>
          <w:bCs w:val="false"/>
          <w:i w:val="false"/>
          <w:iCs w:val="false"/>
          <w:color w:val="1A1A2E"/>
          <w:sz w:val="22"/>
          <w:szCs w:val="22"/>
        </w:rPr>
        <w:t xml:space="preserve">The ethnic arithmetic argument holds that reaching the 50%+1 presidential threshold requires coalition building, and coalition building requires policy ambiguity to hold together groups with divergent interests. This is real but overstated. It explains why a coalition is necessary to win. It does not explain why that coalition must be policy-free. A coalition can have specific, costed commitments. The vagueness is a choice within the coalition structure, not a structural requirement of it.</w:t>
      </w:r>
    </w:p>
    <w:p>
      <w:pPr>
        <w:pStyle w:val="Heading3"/>
      </w:pPr>
      <w:r>
        <w:t xml:space="preserve">The 'Voters Don't Want Detail' Argument</w:t>
      </w:r>
    </w:p>
    <w:p>
      <w:pPr>
        <w:spacing w:before="0" w:after="180"/>
      </w:pPr>
      <w:r>
        <w:rPr>
          <w:rFonts w:ascii="Georgia" w:cs="Georgia" w:eastAsia="Georgia" w:hAnsi="Georgia"/>
          <w:b w:val="false"/>
          <w:bCs w:val="false"/>
          <w:i w:val="false"/>
          <w:iCs w:val="false"/>
          <w:color w:val="1A1A2E"/>
          <w:sz w:val="22"/>
          <w:szCs w:val="22"/>
        </w:rPr>
        <w:t xml:space="preserve">This argument is a self-fulfilling elite projection. Voters in Mathare, Kibera, Eldoret, and Kisumu have extraordinarily specific material grievances — water infrastructure, school fees, land tenure insecurity, boda boda licensing, hospital drug shortages. They know precisely what they want. What the system has trained them to believe is that political specificity is a lie regardless — so they retreat to ethnic trust as the only reliable signal. The demand for vagueness comes from politicians, not from voters. Chanuka's pilot is designed, in part, to test and demonstrate this directly.</w:t>
      </w:r>
    </w:p>
    <w:p>
      <w:pPr>
        <w:pStyle w:val="Heading3"/>
      </w:pPr>
      <w:r>
        <w:t xml:space="preserve">The National Unity Argument</w:t>
      </w:r>
    </w:p>
    <w:p>
      <w:pPr>
        <w:spacing w:before="0" w:after="180"/>
      </w:pPr>
      <w:r>
        <w:rPr>
          <w:rFonts w:ascii="Georgia" w:cs="Georgia" w:eastAsia="Georgia" w:hAnsi="Georgia"/>
          <w:b w:val="false"/>
          <w:bCs w:val="false"/>
          <w:i w:val="false"/>
          <w:iCs w:val="false"/>
          <w:color w:val="1A1A2E"/>
          <w:sz w:val="22"/>
          <w:szCs w:val="22"/>
        </w:rPr>
        <w:t xml:space="preserve">The national unity framing presents coalition politics as civic virtue — holding a divided country together. This is the most successful of the three defences because it converts an accountability evasion mechanism into a positive moral claim. The counter is simple: national unity that requires silence about who is being harmed by specific policy decisions is not unity. It is the organised suppression of material accountability behind a rhetorical consensus.</w:t>
      </w:r>
    </w:p>
    <w:p>
      <w:pPr>
        <w:pStyle w:val="Heading2"/>
      </w:pPr>
      <w:r>
        <w:t xml:space="preserve">2.3  The Constituency-Level Vulnerability in the Coalition System</w:t>
      </w:r>
    </w:p>
    <w:p>
      <w:pPr>
        <w:spacing w:before="0" w:after="180"/>
      </w:pPr>
      <w:r>
        <w:rPr>
          <w:rFonts w:ascii="Georgia" w:cs="Georgia" w:eastAsia="Georgia" w:hAnsi="Georgia"/>
          <w:b w:val="false"/>
          <w:bCs w:val="false"/>
          <w:i w:val="false"/>
          <w:iCs w:val="false"/>
          <w:color w:val="1A1A2E"/>
          <w:sz w:val="22"/>
          <w:szCs w:val="22"/>
        </w:rPr>
        <w:t xml:space="preserve">Here is the structural opening that Chanuka's design exploits. Coalition politics operates at the presidential and gubernatorial level. At the MCA, MP, and Senator level, voters have direct, personal, local relationships with candidates. The grievances are hyper-specific. The broken road, the non-functional dispensary, the school without toilets, the market without adequate stalls — these are not national policy abstractions. They are the immediate material reality of the constituency.</w:t>
      </w:r>
    </w:p>
    <w:p>
      <w:pPr>
        <w:spacing w:before="0" w:after="180"/>
      </w:pPr>
      <w:r>
        <w:rPr>
          <w:rFonts w:ascii="Georgia" w:cs="Georgia" w:eastAsia="Georgia" w:hAnsi="Georgia"/>
          <w:b w:val="false"/>
          <w:bCs w:val="false"/>
          <w:i w:val="false"/>
          <w:iCs w:val="false"/>
          <w:color w:val="1A1A2E"/>
          <w:sz w:val="22"/>
          <w:szCs w:val="22"/>
        </w:rPr>
        <w:t xml:space="preserve">The strategy is to drag national vagueness down to constituency specificity. When a parliamentary candidate says 'I support the Kenya Kwanza / Azimio agenda', the platform provides the immediate accountability counter: 'The agenda says what about the hospital in your constituency that has had no anaesthesiologist for eight months? Here is your voting record on the healthcare levy. Here is the gap between that record and your constituency's documented need.'</w:t>
      </w:r>
    </w:p>
    <w:p>
      <w:pPr>
        <w:spacing w:before="0" w:after="180"/>
      </w:pPr>
      <w:r>
        <w:rPr>
          <w:rFonts w:ascii="Georgia" w:cs="Georgia" w:eastAsia="Georgia" w:hAnsi="Georgia"/>
          <w:b w:val="false"/>
          <w:bCs w:val="false"/>
          <w:i w:val="false"/>
          <w:iCs w:val="false"/>
          <w:color w:val="1A1A2E"/>
          <w:sz w:val="22"/>
          <w:szCs w:val="22"/>
        </w:rPr>
        <w:t xml:space="preserve">This is not an ideological argument. It is a data argument. The data is verifiable. The gap is measurable. The accountability claim is specific enough to be falsifiable — and therefore specific enough to be credible.</w:t>
      </w:r>
    </w:p>
    <w:p>
      <w:pPr>
        <w:pBdr>
          <w:top w:val="single" w:color="1A7A6B" w:sz="4" w:space="6"/>
          <w:left w:val="single" w:color="1A7A6B" w:sz="14" w:space="10"/>
          <w:bottom w:val="single" w:color="1A7A6B" w:sz="4" w:space="6"/>
          <w:right w:val="none" w:color="auto" w:sz="0" w:space="0"/>
        </w:pBdr>
        <w:shd w:fill="EAF4F1" w:val="clear"/>
        <w:spacing w:before="200" w:after="200"/>
        <w:ind w:left="260" w:right="260"/>
      </w:pPr>
      <w:r>
        <w:rPr>
          <w:rFonts w:ascii="Georgia" w:cs="Georgia" w:eastAsia="Georgia" w:hAnsi="Georgia"/>
          <w:i/>
          <w:iCs/>
          <w:color w:val="0D1117"/>
          <w:sz w:val="22"/>
          <w:szCs w:val="22"/>
        </w:rPr>
        <w:t xml:space="preserve">The deepest argument for accountability infrastructure in Kenya is this: ethnic coalition politics promises protection and delivers extraction. A candidate who commits to three specific, costed, measurable actions for their constituency is making a fundamentally different offer — one that transfers interpretive power back to the voter because it creates a falsifiable claim that can be verified against a public record.</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3</w:t>
      </w:r>
    </w:p>
    <w:p>
      <w:pPr>
        <w:pStyle w:val="Heading1"/>
      </w:pPr>
      <w:r>
        <w:t xml:space="preserve">The Architecture of Accountability Claims: Why Specificity Is Not Pedantry</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Vagueness transfers power to whoever controls the interpretation. When something is undefined, the person with more authority, more confidence, or more at stake will define it — in their favour, at the moment that suits them best. Demanding specificity is the recovery of civic interpretive power before someone else exercises it.</w:t>
      </w:r>
    </w:p>
    <w:p>
      <w:pPr>
        <w:pStyle w:val="Heading2"/>
      </w:pPr>
      <w:r>
        <w:t xml:space="preserve">3.1  The Four Places Vagueness Hides</w:t>
      </w:r>
    </w:p>
    <w:p>
      <w:pPr>
        <w:spacing w:before="0" w:after="180"/>
      </w:pPr>
      <w:r>
        <w:rPr>
          <w:rFonts w:ascii="Georgia" w:cs="Georgia" w:eastAsia="Georgia" w:hAnsi="Georgia"/>
          <w:b w:val="false"/>
          <w:bCs w:val="false"/>
          <w:i w:val="false"/>
          <w:iCs w:val="false"/>
          <w:color w:val="1A1A2E"/>
          <w:sz w:val="22"/>
          <w:szCs w:val="22"/>
        </w:rPr>
        <w:t xml:space="preserve">Accountability claims fail not because the underlying grievance is wrong but because the claim itself is imprecise enough to be deflected. Vagueness in political discourse consistently operates by dissolving four specific elements:</w:t>
      </w:r>
    </w:p>
    <w:p>
      <w:pPr>
        <w:pStyle w:val="ListParagraph"/>
        <w:numPr>
          <w:ilvl w:val="0"/>
          <w:numId w:val="2"/>
        </w:numPr>
        <w:spacing w:before="40" w:after="80"/>
      </w:pPr>
      <w:r>
        <w:rPr>
          <w:rFonts w:ascii="Georgia" w:cs="Georgia" w:eastAsia="Georgia" w:hAnsi="Georgia"/>
          <w:color w:val="1A1A2E"/>
          <w:sz w:val="22"/>
          <w:szCs w:val="22"/>
        </w:rPr>
        <w:t xml:space="preserve">The Agent — who exactly is responsible for this outcome?</w:t>
      </w:r>
    </w:p>
    <w:p>
      <w:pPr>
        <w:pStyle w:val="ListParagraph"/>
        <w:numPr>
          <w:ilvl w:val="0"/>
          <w:numId w:val="2"/>
        </w:numPr>
        <w:spacing w:before="40" w:after="80"/>
      </w:pPr>
      <w:r>
        <w:rPr>
          <w:rFonts w:ascii="Georgia" w:cs="Georgia" w:eastAsia="Georgia" w:hAnsi="Georgia"/>
          <w:color w:val="1A1A2E"/>
          <w:sz w:val="22"/>
          <w:szCs w:val="22"/>
        </w:rPr>
        <w:t xml:space="preserve">The Action — what exactly was done or not done?</w:t>
      </w:r>
    </w:p>
    <w:p>
      <w:pPr>
        <w:pStyle w:val="ListParagraph"/>
        <w:numPr>
          <w:ilvl w:val="0"/>
          <w:numId w:val="2"/>
        </w:numPr>
        <w:spacing w:before="40" w:after="80"/>
      </w:pPr>
      <w:r>
        <w:rPr>
          <w:rFonts w:ascii="Georgia" w:cs="Georgia" w:eastAsia="Georgia" w:hAnsi="Georgia"/>
          <w:color w:val="1A1A2E"/>
          <w:sz w:val="22"/>
          <w:szCs w:val="22"/>
        </w:rPr>
        <w:t xml:space="preserve">The Timeline — when exactly, and across what period?</w:t>
      </w:r>
    </w:p>
    <w:p>
      <w:pPr>
        <w:pStyle w:val="ListParagraph"/>
        <w:numPr>
          <w:ilvl w:val="0"/>
          <w:numId w:val="2"/>
        </w:numPr>
        <w:spacing w:before="40" w:after="80"/>
      </w:pPr>
      <w:r>
        <w:rPr>
          <w:rFonts w:ascii="Georgia" w:cs="Georgia" w:eastAsia="Georgia" w:hAnsi="Georgia"/>
          <w:color w:val="1A1A2E"/>
          <w:sz w:val="22"/>
          <w:szCs w:val="22"/>
        </w:rPr>
        <w:t xml:space="preserve">The Standard — how will we know if this has been done or not?</w:t>
      </w:r>
    </w:p>
    <w:p>
      <w:pPr>
        <w:spacing w:before="80" w:after="0"/>
      </w:pPr>
    </w:p>
    <w:p>
      <w:pPr>
        <w:spacing w:before="0" w:after="180"/>
      </w:pPr>
      <w:r>
        <w:rPr>
          <w:rFonts w:ascii="Georgia" w:cs="Georgia" w:eastAsia="Georgia" w:hAnsi="Georgia"/>
          <w:b w:val="false"/>
          <w:bCs w:val="false"/>
          <w:i w:val="false"/>
          <w:iCs w:val="false"/>
          <w:color w:val="1A1A2E"/>
          <w:sz w:val="22"/>
          <w:szCs w:val="22"/>
        </w:rPr>
        <w:t xml:space="preserve">Every standard political deflection — 'global conditions', 'inherited constraints', 'institutional complexity' — works by dissolving one or more of these four elements. 'Global conditions' removes the agent and transfers the action to an external cause. 'Inherited constraints' removes the timeline, collapsing the period of the current leadership's agency into the period of the previous one. 'Institutional complexity' removes the standard, making it impossible to specify what success or failure would look like.</w:t>
      </w:r>
    </w:p>
    <w:p>
      <w:pPr>
        <w:spacing w:before="0" w:after="180"/>
      </w:pPr>
      <w:r>
        <w:rPr>
          <w:rFonts w:ascii="Georgia" w:cs="Georgia" w:eastAsia="Georgia" w:hAnsi="Georgia"/>
          <w:b w:val="false"/>
          <w:bCs w:val="false"/>
          <w:i w:val="false"/>
          <w:iCs w:val="false"/>
          <w:color w:val="1A1A2E"/>
          <w:sz w:val="22"/>
          <w:szCs w:val="22"/>
        </w:rPr>
        <w:t xml:space="preserve">Chanuka's accountability methodology is, at its core, a system for restoring these four elements to every accountability claim it makes. Every scorecard outputs a named MP, a specific vote, on a named date, measured against a verifiable standard. Not 'the MP has not served this constituency well' — which can be endlessly disputed. But 'this MP voted for provision X on date Y, which produced outcome Z in constituency W, measurable against indicator Q.' Every element is present. Every element is sourced.</w:t>
      </w:r>
    </w:p>
    <w:p>
      <w:pPr>
        <w:pStyle w:val="Heading2"/>
      </w:pPr>
      <w:r>
        <w:t xml:space="preserve">3.2  The Deflection Counter-Methodology</w:t>
      </w:r>
    </w:p>
    <w:p>
      <w:pPr>
        <w:spacing w:before="0" w:after="180"/>
      </w:pPr>
      <w:r>
        <w:rPr>
          <w:rFonts w:ascii="Georgia" w:cs="Georgia" w:eastAsia="Georgia" w:hAnsi="Georgia"/>
          <w:b w:val="false"/>
          <w:bCs w:val="false"/>
          <w:i w:val="false"/>
          <w:iCs w:val="false"/>
          <w:color w:val="1A1A2E"/>
          <w:sz w:val="22"/>
          <w:szCs w:val="22"/>
        </w:rPr>
        <w:t xml:space="preserve">Political leaders facing accountability claims from Chanuka's scorecard have five standard deflection strategies available. Each has a specific structure that the platform's methodology is designed to survive.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3200"/>
        <w:gridCol w:w="4200"/>
      </w:tblGrid>
      <w:tr>
        <w:tc>
          <w:tcPr>
            <w:tcW w:type="dxa" w:w="196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Deflection</w:t>
            </w:r>
          </w:p>
        </w:tc>
        <w:tc>
          <w:tcPr>
            <w:tcW w:type="dxa" w:w="32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What It Dissolves</w:t>
            </w:r>
          </w:p>
        </w:tc>
        <w:tc>
          <w:tcPr>
            <w:tcW w:type="dxa" w:w="420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The Platform Counter</w:t>
            </w:r>
          </w:p>
        </w:tc>
      </w:tr>
      <w:tr>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Global Conditions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Agent — attributes the outcome to an external cause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Comparative trajectory: Tanzania and Rwanda faced the same commodity price environment. The difference between Kenya's trajectory and theirs is not the shared external condition. It is the decisions that differed.</w:t>
            </w:r>
          </w:p>
        </w:tc>
      </w:tr>
      <w:tr>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Inherited Constraints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Timeline — collapses current agency into prior period</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inheritance deflection decays with time and with decisions made under the current government. What decisions did they make about the inherited condition? Has it improved or worsened?</w:t>
            </w:r>
          </w:p>
        </w:tc>
      </w:tr>
      <w:tr>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Institutional Sabotage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Agent — attributes failure to internal opponents</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Who appointed the people creating the obstruction? Who held removal authority? Non-removal of obstructors is a personal decision, not a structural constraint.</w:t>
            </w:r>
          </w:p>
        </w:tc>
      </w:tr>
      <w:tr>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Complexity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Standard — makes it impossible to specify what success looks like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accountability question is not whether the problem is complex. It is whether the specific decisions made moved the condition toward resolution or away from it.</w:t>
            </w:r>
          </w:p>
        </w:tc>
      </w:tr>
      <w:tr>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Progress Framing</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The Baseline — selective comparison to a period that flatters</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color w:val="1A1A2E"/>
                <w:sz w:val="19"/>
                <w:szCs w:val="19"/>
              </w:rPr>
              <w:t xml:space="preserve">Compared to what trajectory? At what cost to which population? Which constituency received the improvement, which bore the cost?</w:t>
            </w:r>
          </w:p>
        </w:tc>
      </w:tr>
    </w:tbl>
    <w:p>
      <w:pPr>
        <w:spacing w:before="200" w:after="0"/>
      </w:pPr>
    </w:p>
    <w:p>
      <w:pPr>
        <w:pStyle w:val="Heading2"/>
      </w:pPr>
      <w:r>
        <w:t xml:space="preserve">3.3  Why the Vote Is the Cleanest Accountability Unit</w:t>
      </w:r>
    </w:p>
    <w:p>
      <w:pPr>
        <w:spacing w:before="0" w:after="180"/>
      </w:pPr>
      <w:r>
        <w:rPr>
          <w:rFonts w:ascii="Georgia" w:cs="Georgia" w:eastAsia="Georgia" w:hAnsi="Georgia"/>
          <w:b w:val="false"/>
          <w:bCs w:val="false"/>
          <w:i w:val="false"/>
          <w:iCs w:val="false"/>
          <w:color w:val="1A1A2E"/>
          <w:sz w:val="22"/>
          <w:szCs w:val="22"/>
        </w:rPr>
        <w:t xml:space="preserve">For parliamentary accountability specifically, the vote is the analytical unit that bypasses almost every deflection strategy simultaneously. A vote is a direct personal decision — Ring 1 of the attribution framework, unambiguously. It cannot be inherited. It is not attributable to global commodity prices. It was made by a named person at a documented time with available information when alternatives existed.</w:t>
      </w:r>
    </w:p>
    <w:p>
      <w:pPr>
        <w:spacing w:before="0" w:after="180"/>
      </w:pPr>
      <w:r>
        <w:rPr>
          <w:rFonts w:ascii="Georgia" w:cs="Georgia" w:eastAsia="Georgia" w:hAnsi="Georgia"/>
          <w:b w:val="false"/>
          <w:bCs w:val="false"/>
          <w:i w:val="false"/>
          <w:iCs w:val="false"/>
          <w:color w:val="1A1A2E"/>
          <w:sz w:val="22"/>
          <w:szCs w:val="22"/>
        </w:rPr>
        <w:t xml:space="preserve">This is not an incidental feature of Chanuka's design. It is the foundational design choice. The platform does not make accountability claims about outcomes — which are always partially attributable to external conditions and therefore always partially deflectable. It makes accountability claims about decisions, which are not.</w:t>
      </w:r>
    </w:p>
    <w:p>
      <w:pPr>
        <w:spacing w:before="0" w:after="180"/>
      </w:pPr>
      <w:r>
        <w:rPr>
          <w:rFonts w:ascii="Georgia" w:cs="Georgia" w:eastAsia="Georgia" w:hAnsi="Georgia"/>
          <w:b w:val="false"/>
          <w:bCs w:val="false"/>
          <w:i w:val="false"/>
          <w:iCs w:val="false"/>
          <w:color w:val="1A1A2E"/>
          <w:sz w:val="22"/>
          <w:szCs w:val="22"/>
        </w:rPr>
        <w:t xml:space="preserve">The one remaining deflection available to an MP on a vote is party discipline — they voted with their party under pressure. The counter is constitutional: Kenya's constitution explicitly grants MPs a mandate to represent their constituency. Party discipline is a political reality. It is not a legal immunity. An MP who voted against constituency interest under party pressure is accountable for that vote and for the choice to prioritise party over mandate.</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4</w:t>
      </w:r>
    </w:p>
    <w:p>
      <w:pPr>
        <w:pStyle w:val="Heading1"/>
      </w:pPr>
      <w:r>
        <w:t xml:space="preserve">The Coalition Overextension Principle: Why Chanuka Is Not a Movement Platform</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Moral universalism is a valid philosophical foundation. Applied as an operational strategy, it is the mechanism by which specific legislative gains are consistently destroyed. The history of progressive coalition politics across three American epochs demonstrates this with uncomfortable precision.</w:t>
      </w:r>
    </w:p>
    <w:p>
      <w:pPr>
        <w:pStyle w:val="Heading2"/>
      </w:pPr>
      <w:r>
        <w:t xml:space="preserve">4.1  The Recurring Pattern</w:t>
      </w:r>
    </w:p>
    <w:p>
      <w:pPr>
        <w:spacing w:before="0" w:after="180"/>
      </w:pPr>
      <w:r>
        <w:rPr>
          <w:rFonts w:ascii="Georgia" w:cs="Georgia" w:eastAsia="Georgia" w:hAnsi="Georgia"/>
          <w:b w:val="false"/>
          <w:bCs w:val="false"/>
          <w:i w:val="false"/>
          <w:iCs w:val="false"/>
          <w:color w:val="1A1A2E"/>
          <w:sz w:val="22"/>
          <w:szCs w:val="22"/>
        </w:rPr>
        <w:t xml:space="preserve">The structure that recurs across three historical moments — the 1869 suffrage conflict, the 1960s civil rights movement, and the post-Obama era — is identical. A movement with specific, legally addressable grievances, rooted in a particular community's history and institutional infrastructure, gets expanded into a broader justice coalition. The expansion produces four predictable consequences:</w:t>
      </w:r>
    </w:p>
    <w:p>
      <w:pPr>
        <w:pStyle w:val="ListParagraph"/>
        <w:numPr>
          <w:ilvl w:val="0"/>
          <w:numId w:val="2"/>
        </w:numPr>
        <w:spacing w:before="40" w:after="80"/>
      </w:pPr>
      <w:r>
        <w:rPr>
          <w:rFonts w:ascii="Georgia" w:cs="Georgia" w:eastAsia="Georgia" w:hAnsi="Georgia"/>
          <w:color w:val="1A1A2E"/>
          <w:sz w:val="22"/>
          <w:szCs w:val="22"/>
        </w:rPr>
        <w:t xml:space="preserve">It dilutes the specific grievance into a general one, making targeted legislation harder to frame and enact</w:t>
      </w:r>
    </w:p>
    <w:p>
      <w:pPr>
        <w:pStyle w:val="ListParagraph"/>
        <w:numPr>
          <w:ilvl w:val="0"/>
          <w:numId w:val="2"/>
        </w:numPr>
        <w:spacing w:before="40" w:after="80"/>
      </w:pPr>
      <w:r>
        <w:rPr>
          <w:rFonts w:ascii="Georgia" w:cs="Georgia" w:eastAsia="Georgia" w:hAnsi="Georgia"/>
          <w:color w:val="1A1A2E"/>
          <w:sz w:val="22"/>
          <w:szCs w:val="22"/>
        </w:rPr>
        <w:t xml:space="preserve">It imports new opponents who were not previously opposed to the original cause</w:t>
      </w:r>
    </w:p>
    <w:p>
      <w:pPr>
        <w:pStyle w:val="ListParagraph"/>
        <w:numPr>
          <w:ilvl w:val="0"/>
          <w:numId w:val="2"/>
        </w:numPr>
        <w:spacing w:before="40" w:after="80"/>
      </w:pPr>
      <w:r>
        <w:rPr>
          <w:rFonts w:ascii="Georgia" w:cs="Georgia" w:eastAsia="Georgia" w:hAnsi="Georgia"/>
          <w:color w:val="1A1A2E"/>
          <w:sz w:val="22"/>
          <w:szCs w:val="22"/>
        </w:rPr>
        <w:t xml:space="preserve">It strains the institutional infrastructure — the church, the community organisation, the established legal strategy — that made the original movement viable</w:t>
      </w:r>
    </w:p>
    <w:p>
      <w:pPr>
        <w:pStyle w:val="ListParagraph"/>
        <w:numPr>
          <w:ilvl w:val="0"/>
          <w:numId w:val="2"/>
        </w:numPr>
        <w:spacing w:before="40" w:after="80"/>
      </w:pPr>
      <w:r>
        <w:rPr>
          <w:rFonts w:ascii="Georgia" w:cs="Georgia" w:eastAsia="Georgia" w:hAnsi="Georgia"/>
          <w:color w:val="1A1A2E"/>
          <w:sz w:val="22"/>
          <w:szCs w:val="22"/>
        </w:rPr>
        <w:t xml:space="preserve">It gives opponents a larger target surface: the movement is no longer fighting one battle but several simultaneously</w:t>
      </w:r>
    </w:p>
    <w:p>
      <w:pPr>
        <w:spacing w:before="80" w:after="0"/>
      </w:pPr>
    </w:p>
    <w:p>
      <w:pPr>
        <w:spacing w:before="0" w:after="180"/>
      </w:pPr>
      <w:r>
        <w:rPr>
          <w:rFonts w:ascii="Georgia" w:cs="Georgia" w:eastAsia="Georgia" w:hAnsi="Georgia"/>
          <w:b w:val="false"/>
          <w:bCs w:val="false"/>
          <w:i w:val="false"/>
          <w:iCs w:val="false"/>
          <w:color w:val="1A1A2E"/>
          <w:sz w:val="22"/>
          <w:szCs w:val="22"/>
        </w:rPr>
        <w:t xml:space="preserve">The pattern produces a consistent paradox: more moral visibility, less legislative achievement. The movement becomes better at articulating the breadth of injustice and worse at dismantling specific institutions of it. This is not coincidental. It is the predictable structural consequence of strategic overextension.</w:t>
      </w:r>
    </w:p>
    <w:p>
      <w:pPr>
        <w:pStyle w:val="Heading2"/>
      </w:pPr>
      <w:r>
        <w:t xml:space="preserve">4.2  The Distinction That the Pattern Reveals</w:t>
      </w:r>
    </w:p>
    <w:p>
      <w:pPr>
        <w:spacing w:before="0" w:after="180"/>
      </w:pPr>
      <w:r>
        <w:rPr>
          <w:rFonts w:ascii="Georgia" w:cs="Georgia" w:eastAsia="Georgia" w:hAnsi="Georgia"/>
          <w:b w:val="false"/>
          <w:bCs w:val="false"/>
          <w:i w:val="false"/>
          <w:iCs w:val="false"/>
          <w:color w:val="1A1A2E"/>
          <w:sz w:val="22"/>
          <w:szCs w:val="22"/>
        </w:rPr>
        <w:t xml:space="preserve">The error is not in moral universalism itself. The error is in applying moral universalism as an operational mandate. You can believe that all injustice shares a common logic — and that solidarity across groups builds collective power — while also recognising that specific grievances require specific remedies, specific coalitions, and specific institutional infrastructures that can be destroyed by overextension.</w:t>
      </w:r>
    </w:p>
    <w:p>
      <w:pPr>
        <w:spacing w:before="0" w:after="180"/>
      </w:pPr>
      <w:r>
        <w:rPr>
          <w:rFonts w:ascii="Georgia" w:cs="Georgia" w:eastAsia="Georgia" w:hAnsi="Georgia"/>
          <w:b w:val="false"/>
          <w:bCs w:val="false"/>
          <w:i w:val="false"/>
          <w:iCs w:val="false"/>
          <w:color w:val="1A1A2E"/>
          <w:sz w:val="22"/>
          <w:szCs w:val="22"/>
        </w:rPr>
        <w:t xml:space="preserve">The civil rights movement at its most legislatively effective — Birmingham, the Voting Rights Act, the Civil Rights Act — was, by the standards of its most expansive moral vision, deliberately narrow. It had a list. It had specific legislative targets. It had a defined constituency with a clear injury and a clear remedy. The discipline was not a moral retreat. It was what effectiveness required.</w:t>
      </w:r>
    </w:p>
    <w:p>
      <w:pPr>
        <w:spacing w:before="0" w:after="180"/>
      </w:pPr>
      <w:r>
        <w:rPr>
          <w:rFonts w:ascii="Georgia" w:cs="Georgia" w:eastAsia="Georgia" w:hAnsi="Georgia"/>
          <w:b w:val="false"/>
          <w:bCs w:val="false"/>
          <w:i w:val="false"/>
          <w:iCs w:val="false"/>
          <w:color w:val="1A1A2E"/>
          <w:sz w:val="22"/>
          <w:szCs w:val="22"/>
        </w:rPr>
        <w:t xml:space="preserve">The phrase most often invoked to justify coalition expansion — 'injustice anywhere is a threat to justice everywhere' — was written in a specific context: an argument against white clergy who ignored racial injustice at home while condemning it abroad. It was an argument against complacency. It was not, and its author would have recognised this, an operational mandate for merging distinct justice movements. The phrase has been converted from a moral call to conscience into a justification for strategic overextension — and the conversion serves coalition managers more than the communities with the most acute grievances.</w:t>
      </w:r>
    </w:p>
    <w:p>
      <w:pPr>
        <w:pStyle w:val="Heading2"/>
      </w:pPr>
      <w:r>
        <w:t xml:space="preserve">4.3  The Infrastructure Abandonment Lesson — And Its Application to Chanuka</w:t>
      </w:r>
    </w:p>
    <w:p>
      <w:pPr>
        <w:spacing w:before="0" w:after="180"/>
      </w:pPr>
      <w:r>
        <w:rPr>
          <w:rFonts w:ascii="Georgia" w:cs="Georgia" w:eastAsia="Georgia" w:hAnsi="Georgia"/>
          <w:b w:val="false"/>
          <w:bCs w:val="false"/>
          <w:i w:val="false"/>
          <w:iCs w:val="false"/>
          <w:color w:val="1A1A2E"/>
          <w:sz w:val="22"/>
          <w:szCs w:val="22"/>
        </w:rPr>
        <w:t xml:space="preserve">The most structurally important lesson from the 1869 suffrage fracture is not about racism, though the racism was real and consequential. It is about what happens when a movement's core infrastructure is placed under the governance of allies who have different primary interests.</w:t>
      </w:r>
    </w:p>
    <w:p>
      <w:pPr>
        <w:spacing w:before="0" w:after="180"/>
      </w:pPr>
      <w:r>
        <w:rPr>
          <w:rFonts w:ascii="Georgia" w:cs="Georgia" w:eastAsia="Georgia" w:hAnsi="Georgia"/>
          <w:b w:val="false"/>
          <w:bCs w:val="false"/>
          <w:i w:val="false"/>
          <w:iCs w:val="false"/>
          <w:color w:val="1A1A2E"/>
          <w:sz w:val="22"/>
          <w:szCs w:val="22"/>
        </w:rPr>
        <w:t xml:space="preserve">The Black church was not merely a supporter of the civil rights movement. It was the movement's organisational infrastructure — meeting spaces, rhetorical framework, leadership pipelines, financial networks, community trust. When post-2000s civil rights frameworks incorporated causes that placed Black clergy in direct theological conflict, it did not merely lose some allies. It destabilised the institutional base that sustained mass mobilisation. The lesson is architectural: the infrastructure on which a movement depends must not be placed under the governance of parties whose commitment is conditional.</w:t>
      </w:r>
    </w:p>
    <w:p>
      <w:pPr>
        <w:spacing w:before="0" w:after="180"/>
      </w:pPr>
      <w:r>
        <w:rPr>
          <w:rFonts w:ascii="Georgia" w:cs="Georgia" w:eastAsia="Georgia" w:hAnsi="Georgia"/>
          <w:b w:val="false"/>
          <w:bCs w:val="false"/>
          <w:i w:val="false"/>
          <w:iCs w:val="false"/>
          <w:color w:val="1A1A2E"/>
          <w:sz w:val="22"/>
          <w:szCs w:val="22"/>
        </w:rPr>
        <w:t xml:space="preserve">For Chanuka, this lesson is encoded in the platform's design. The codebase is open-source. The data is published as a public resource. The scoring methodology is a public specification that any organisation can implement independently. No single funder, civil society partner, or government can capture the platform because the methodology does not live in any single institution. If the founding organisation is pressured, defunded, or dissolved, the infrastructure continues because it has been distributed beyond the point of capture.</w:t>
      </w:r>
    </w:p>
    <w:p>
      <w:pPr>
        <w:spacing w:before="0" w:after="180"/>
      </w:pPr>
      <w:r>
        <w:rPr>
          <w:rFonts w:ascii="Georgia" w:cs="Georgia" w:eastAsia="Georgia" w:hAnsi="Georgia"/>
          <w:b w:val="false"/>
          <w:bCs w:val="false"/>
          <w:i w:val="false"/>
          <w:iCs w:val="false"/>
          <w:color w:val="1A1A2E"/>
          <w:sz w:val="22"/>
          <w:szCs w:val="22"/>
        </w:rPr>
        <w:t xml:space="preserve">This is not a legal protection strategy. It is a structural lesson from the history of what happens to movements when their infrastructure is concentrated in institutions whose commitment is conditional on the movement remaining strategically convenient.</w:t>
      </w:r>
    </w:p>
    <w:p>
      <w:pPr>
        <w:pBdr>
          <w:top w:val="single" w:color="1A7A6B" w:sz="4" w:space="6"/>
          <w:left w:val="single" w:color="1A7A6B" w:sz="14" w:space="10"/>
          <w:bottom w:val="single" w:color="1A7A6B" w:sz="4" w:space="6"/>
          <w:right w:val="none" w:color="auto" w:sz="0" w:space="0"/>
        </w:pBdr>
        <w:shd w:fill="EAF4F1" w:val="clear"/>
        <w:spacing w:before="200" w:after="200"/>
        <w:ind w:left="260" w:right="260"/>
      </w:pPr>
      <w:r>
        <w:rPr>
          <w:rFonts w:ascii="Georgia" w:cs="Georgia" w:eastAsia="Georgia" w:hAnsi="Georgia"/>
          <w:i/>
          <w:iCs/>
          <w:color w:val="0D1117"/>
          <w:sz w:val="22"/>
          <w:szCs w:val="22"/>
        </w:rPr>
        <w:t xml:space="preserve">Chanuka is not a movement platform. It is accountability infrastructure. The distinction is not rhetorical caution — it is the design principle that allows the platform to serve citizens across political affiliations, to survive changes in funder priorities, and to persist regardless of which civil society coalition it is embedded within at any given moment. The movement uses the infrastructure. The infrastructure is not the movement.</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5</w:t>
      </w:r>
    </w:p>
    <w:p>
      <w:pPr>
        <w:pStyle w:val="Heading1"/>
      </w:pPr>
      <w:r>
        <w:t xml:space="preserve">The Regressive Cost of Mobilisation: Why Infrastructure Is an Equity Argument</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Sustained protest is a regressive tax on civic participation. It falls hardest on those with the least economic cushion — precisely the people with the most to gain from democratic accountability. Infrastructure that exerts continuous pressure at low personal cost is not a supplement to mobilisation. It is the equity solution to mobilisation's structural limitation.</w:t>
      </w:r>
    </w:p>
    <w:p>
      <w:pPr>
        <w:pStyle w:val="Heading2"/>
      </w:pPr>
      <w:r>
        <w:t xml:space="preserve">5.1  The Economic Structure of Sustained Mobilisation</w:t>
      </w:r>
    </w:p>
    <w:p>
      <w:pPr>
        <w:spacing w:before="0" w:after="180"/>
      </w:pPr>
      <w:r>
        <w:rPr>
          <w:rFonts w:ascii="Georgia" w:cs="Georgia" w:eastAsia="Georgia" w:hAnsi="Georgia"/>
          <w:b w:val="false"/>
          <w:bCs w:val="false"/>
          <w:i w:val="false"/>
          <w:iCs w:val="false"/>
          <w:color w:val="1A1A2E"/>
          <w:sz w:val="22"/>
          <w:szCs w:val="22"/>
        </w:rPr>
        <w:t xml:space="preserve">The 2023 Finance Bill protests demonstrated civic energy of extraordinary quality. The movement was specific, digitally coordinated without central command, and crossed demographic lines that political parties have consistently failed to bridge. It demonstrated that Kenyan citizens can move from zero to mass mobilisation in days.</w:t>
      </w:r>
    </w:p>
    <w:p>
      <w:pPr>
        <w:spacing w:before="0" w:after="180"/>
      </w:pPr>
      <w:r>
        <w:rPr>
          <w:rFonts w:ascii="Georgia" w:cs="Georgia" w:eastAsia="Georgia" w:hAnsi="Georgia"/>
          <w:b w:val="false"/>
          <w:bCs w:val="false"/>
          <w:i w:val="false"/>
          <w:iCs w:val="false"/>
          <w:color w:val="1A1A2E"/>
          <w:sz w:val="22"/>
          <w:szCs w:val="22"/>
        </w:rPr>
        <w:t xml:space="preserve">What the protests also demonstrated — less discussed but structurally critical — is the economic asymmetry of sustained mobilisation. A day of protest extracts a real economic price from participants. The market trader loses their daily income. The casual worker loses their wage. The student loses exam preparation time. The boda boda rider loses their fares. The people with the most material stake in accountability — those whose daily economic lives are most directly affected by the policy decisions they are protesting — are consistently the people who can least afford to sustain the personal cost of continuous mobilisation.</w:t>
      </w:r>
    </w:p>
    <w:p>
      <w:pPr>
        <w:spacing w:before="0" w:after="180"/>
      </w:pPr>
      <w:r>
        <w:rPr>
          <w:rFonts w:ascii="Georgia" w:cs="Georgia" w:eastAsia="Georgia" w:hAnsi="Georgia"/>
          <w:b w:val="false"/>
          <w:bCs w:val="false"/>
          <w:i w:val="false"/>
          <w:iCs w:val="false"/>
          <w:color w:val="1A1A2E"/>
          <w:sz w:val="22"/>
          <w:szCs w:val="22"/>
        </w:rPr>
        <w:t xml:space="preserve">This is not a marginal point. It is a structural characteristic of protest-dependent accountability systems. Movements sustained by street action gradually narrow: the people who remain are those who can afford to remain — students, salaried workers, those with economic safety nets. The demographic that was broad and representative at the height of the Finance Bill protests becomes, over time, a committed core that is no longer representative of the constituency it speaks for. Unaccountable power does not need to defeat such a movement. It only needs to wait.</w:t>
      </w:r>
    </w:p>
    <w:p>
      <w:pPr>
        <w:pStyle w:val="Heading2"/>
      </w:pPr>
      <w:r>
        <w:t xml:space="preserve">5.2  The Infrastructure Alternative</w:t>
      </w:r>
    </w:p>
    <w:p>
      <w:pPr>
        <w:spacing w:before="0" w:after="180"/>
      </w:pPr>
      <w:r>
        <w:rPr>
          <w:rFonts w:ascii="Georgia" w:cs="Georgia" w:eastAsia="Georgia" w:hAnsi="Georgia"/>
          <w:b w:val="false"/>
          <w:bCs w:val="false"/>
          <w:i w:val="false"/>
          <w:iCs w:val="false"/>
          <w:color w:val="1A1A2E"/>
          <w:sz w:val="22"/>
          <w:szCs w:val="22"/>
        </w:rPr>
        <w:t xml:space="preserve">Chanuka's design is a direct response to this structural limitation. Checking an MP's accountability score costs nothing beyond a data bundle. Reading a plain-language bill summary takes three minutes and reaches any citizen with a basic handset through the USSD layer. Sharing a constituency accountability report in a WhatsApp group takes thirty seconds.</w:t>
      </w:r>
    </w:p>
    <w:p>
      <w:pPr>
        <w:spacing w:before="0" w:after="180"/>
      </w:pPr>
      <w:r>
        <w:rPr>
          <w:rFonts w:ascii="Georgia" w:cs="Georgia" w:eastAsia="Georgia" w:hAnsi="Georgia"/>
          <w:b w:val="false"/>
          <w:bCs w:val="false"/>
          <w:i w:val="false"/>
          <w:iCs w:val="false"/>
          <w:color w:val="1A1A2E"/>
          <w:sz w:val="22"/>
          <w:szCs w:val="22"/>
        </w:rPr>
        <w:t xml:space="preserve">The accountability pressure that continuous civic engagement generates does not require continuous street presence to be effective. It requires only that citizens have access to the verified data at the moment it is relevant to a decision they are already making — the vote, the baraza, the community conversation about the MP's performance. The pressure is continuous. The personal cost is minimal. That is a categorically different form of civic power.</w:t>
      </w:r>
    </w:p>
    <w:p>
      <w:pPr>
        <w:spacing w:before="0" w:after="180"/>
      </w:pPr>
      <w:r>
        <w:rPr>
          <w:rFonts w:ascii="Georgia" w:cs="Georgia" w:eastAsia="Georgia" w:hAnsi="Georgia"/>
          <w:b w:val="false"/>
          <w:bCs w:val="false"/>
          <w:i w:val="false"/>
          <w:iCs w:val="false"/>
          <w:color w:val="1A1A2E"/>
          <w:sz w:val="22"/>
          <w:szCs w:val="22"/>
        </w:rPr>
        <w:t xml:space="preserve">The USSD access layer is not a technical feature. It is the platform's equity commitment made architecturally explicit. A parliamentary accountability platform that requires a smartphone to access answers the question 'who is this for?' incorrectly. Kenya's accountability deficit is most acute in the constituencies with the lowest smartphone penetration. The platform designed for those constituencies must operate on the infrastructure that actually exists there.</w:t>
      </w:r>
    </w:p>
    <w:p>
      <w:pPr>
        <w:pStyle w:val="Heading2"/>
      </w:pPr>
      <w:r>
        <w:t xml:space="preserve">5.3  The Protest–Infrastructure Complementarity</w:t>
      </w:r>
    </w:p>
    <w:p>
      <w:pPr>
        <w:spacing w:before="0" w:after="180"/>
      </w:pPr>
      <w:r>
        <w:rPr>
          <w:rFonts w:ascii="Georgia" w:cs="Georgia" w:eastAsia="Georgia" w:hAnsi="Georgia"/>
          <w:b w:val="false"/>
          <w:bCs w:val="false"/>
          <w:i w:val="false"/>
          <w:iCs w:val="false"/>
          <w:color w:val="1A1A2E"/>
          <w:sz w:val="22"/>
          <w:szCs w:val="22"/>
        </w:rPr>
        <w:t xml:space="preserve">The argument for infrastructure is not an argument against protest. The street is for declarations, not administration. Protest does things that nothing else can replicate: it makes civic energy visible, forces issues into the public frame, generates solidarity across lines that normally divide, and creates moments of maximum leverage. The Finance Bill protests used all of these functions with exceptional skill.</w:t>
      </w:r>
    </w:p>
    <w:p>
      <w:pPr>
        <w:spacing w:before="0" w:after="180"/>
      </w:pPr>
      <w:r>
        <w:rPr>
          <w:rFonts w:ascii="Georgia" w:cs="Georgia" w:eastAsia="Georgia" w:hAnsi="Georgia"/>
          <w:b w:val="false"/>
          <w:bCs w:val="false"/>
          <w:i w:val="false"/>
          <w:iCs w:val="false"/>
          <w:color w:val="1A1A2E"/>
          <w:sz w:val="22"/>
          <w:szCs w:val="22"/>
        </w:rPr>
        <w:t xml:space="preserve">What protest cannot do structurally is maintain continuous accountability pressure at sustainable personal cost. Infrastructure does not replace this function. It performs a different function — the continuous, low-cost, compounding pressure between protest moments that ensures civic energy is not rebuilt from zero at each successive crisis.</w:t>
      </w:r>
    </w:p>
    <w:p>
      <w:pPr>
        <w:pBdr>
          <w:top w:val="single" w:color="956F1A" w:sz="4" w:space="6"/>
          <w:left w:val="single" w:color="956F1A" w:sz="14" w:space="10"/>
          <w:bottom w:val="single" w:color="956F1A" w:sz="4" w:space="6"/>
          <w:right w:val="none" w:color="auto" w:sz="0" w:space="0"/>
        </w:pBdr>
        <w:shd w:fill="FBF6EA" w:val="clear"/>
        <w:spacing w:before="200" w:after="200"/>
        <w:ind w:left="260" w:right="260"/>
      </w:pPr>
      <w:r>
        <w:rPr>
          <w:rFonts w:ascii="Georgia" w:cs="Georgia" w:eastAsia="Georgia" w:hAnsi="Georgia"/>
          <w:i/>
          <w:iCs/>
          <w:color w:val="0D1117"/>
          <w:sz w:val="22"/>
          <w:szCs w:val="22"/>
        </w:rPr>
        <w:t xml:space="preserve">The streets prove the mandate. The data proves the case. The ballot delivers the consequence. A civic ecosystem that has all three — the energy to mobilise, the infrastructure to maintain pressure, and the electoral integration to make it matter — is one that does not burn out. It compounds. Chanuka is the infrastructure link in that chain.</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6</w:t>
      </w:r>
    </w:p>
    <w:p>
      <w:pPr>
        <w:pStyle w:val="Heading1"/>
      </w:pPr>
      <w:r>
        <w:t xml:space="preserve">Distributed Leadership Architecture: Preserving the Leaderless Insight</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The leaderless philosophy of Kenya's Gen-Z movement was both its greatest strength and its structural vulnerability. The solution is not a leader. It is distributed architecture: shared tools, shared data, shared methodology — enabling every node to act independently while moving in coherent direction.</w:t>
      </w:r>
    </w:p>
    <w:p>
      <w:pPr>
        <w:pStyle w:val="Heading2"/>
      </w:pPr>
      <w:r>
        <w:t xml:space="preserve">6.1  The Leaderless Strength and Its Limit</w:t>
      </w:r>
    </w:p>
    <w:p>
      <w:pPr>
        <w:spacing w:before="0" w:after="180"/>
      </w:pPr>
      <w:r>
        <w:rPr>
          <w:rFonts w:ascii="Georgia" w:cs="Georgia" w:eastAsia="Georgia" w:hAnsi="Georgia"/>
          <w:b w:val="false"/>
          <w:bCs w:val="false"/>
          <w:i w:val="false"/>
          <w:iCs w:val="false"/>
          <w:color w:val="1A1A2E"/>
          <w:sz w:val="22"/>
          <w:szCs w:val="22"/>
        </w:rPr>
        <w:t xml:space="preserve">A movement without identifiable leaders cannot be decapitated. There is no spokesperson to co-opt, no founder to threaten, no single voice whose silence ends the conversation. This is genuine resilience in political environments that have historically neutralised movements by capturing or discrediting their visible faces. Kenya's civil society history provides multiple examples of movements that were defused through the strategic absorption of leadership — through appointments, resources, personal advancement, or direct pressure.</w:t>
      </w:r>
    </w:p>
    <w:p>
      <w:pPr>
        <w:spacing w:before="0" w:after="180"/>
      </w:pPr>
      <w:r>
        <w:rPr>
          <w:rFonts w:ascii="Georgia" w:cs="Georgia" w:eastAsia="Georgia" w:hAnsi="Georgia"/>
          <w:b w:val="false"/>
          <w:bCs w:val="false"/>
          <w:i w:val="false"/>
          <w:iCs w:val="false"/>
          <w:color w:val="1A1A2E"/>
          <w:sz w:val="22"/>
          <w:szCs w:val="22"/>
        </w:rPr>
        <w:t xml:space="preserve">The vulnerability of the leaderless model is equally structural. Without shared architecture beneath the leaderlessness, the movement cannot prioritise. When everything is equally urgent and no shared framework exists for distinguishing the most consequential battle from the least, civic energy disperses. The movement that was surgically precise about specific Finance Bill provisions becomes diffusely reactive. The precision that gave it power is gradually replaced by exhaustion.</w:t>
      </w:r>
    </w:p>
    <w:p>
      <w:pPr>
        <w:pStyle w:val="Heading2"/>
      </w:pPr>
      <w:r>
        <w:t xml:space="preserve">6.2  The Distributed Architecture Solution</w:t>
      </w:r>
    </w:p>
    <w:p>
      <w:pPr>
        <w:spacing w:before="0" w:after="180"/>
      </w:pPr>
      <w:r>
        <w:rPr>
          <w:rFonts w:ascii="Georgia" w:cs="Georgia" w:eastAsia="Georgia" w:hAnsi="Georgia"/>
          <w:b w:val="false"/>
          <w:bCs w:val="false"/>
          <w:i w:val="false"/>
          <w:iCs w:val="false"/>
          <w:color w:val="1A1A2E"/>
          <w:sz w:val="22"/>
          <w:szCs w:val="22"/>
        </w:rPr>
        <w:t xml:space="preserve">The solution is not to introduce a leader. It is to build the architecture that performs the leadership function without concentrating it in any individual. Shared tools, shared data, and shared methodology allow every node in a distributed civic network to act independently and in coherent direction simultaneously.</w:t>
      </w:r>
    </w:p>
    <w:p>
      <w:pPr>
        <w:spacing w:before="0" w:after="180"/>
      </w:pPr>
      <w:r>
        <w:rPr>
          <w:rFonts w:ascii="Georgia" w:cs="Georgia" w:eastAsia="Georgia" w:hAnsi="Georgia"/>
          <w:b w:val="false"/>
          <w:bCs w:val="false"/>
          <w:i w:val="false"/>
          <w:iCs w:val="false"/>
          <w:color w:val="1A1A2E"/>
          <w:sz w:val="22"/>
          <w:szCs w:val="22"/>
        </w:rPr>
        <w:t xml:space="preserve">When the community organiser in Mathare, the church civic programme leader in Kibra, the market association secretary in Gikomba, and the student union official at the University of Nairobi all have access to the same verified MP voting record, the same constituency accountability score, and the same plain-language bill analysis — they can each act on it according to their context, their network, and their moment. They do not need to coordinate. The architecture coordinates them. No single node carries the whole. No single node can be removed to collapse the others.</w:t>
      </w:r>
    </w:p>
    <w:p>
      <w:pPr>
        <w:pStyle w:val="Heading2"/>
      </w:pPr>
      <w:r>
        <w:t xml:space="preserve">6.3  The Three Civic Archetypes and the Propagation Chain</w:t>
      </w:r>
    </w:p>
    <w:p>
      <w:pPr>
        <w:spacing w:before="0" w:after="180"/>
      </w:pPr>
      <w:r>
        <w:rPr>
          <w:rFonts w:ascii="Georgia" w:cs="Georgia" w:eastAsia="Georgia" w:hAnsi="Georgia"/>
          <w:b w:val="false"/>
          <w:bCs w:val="false"/>
          <w:i w:val="false"/>
          <w:iCs w:val="false"/>
          <w:color w:val="1A1A2E"/>
          <w:sz w:val="22"/>
          <w:szCs w:val="22"/>
        </w:rPr>
        <w:t xml:space="preserve">Chanuka's adoption model is built around three distinct civic archetypes, each with a different psychological entry point and a different propagation behaviour. The architecture is designed to serve all three simultaneously without requiring any of them to step outside their existing civic role.</w:t>
      </w:r>
    </w:p>
    <w:p>
      <w:pPr>
        <w:pStyle w:val="ListParagraph"/>
        <w:numPr>
          <w:ilvl w:val="0"/>
          <w:numId w:val="2"/>
        </w:numPr>
        <w:spacing w:before="40" w:after="80"/>
      </w:pPr>
      <w:r>
        <w:rPr>
          <w:rFonts w:ascii="Georgia" w:cs="Georgia" w:eastAsia="Georgia" w:hAnsi="Georgia"/>
          <w:color w:val="1A1A2E"/>
          <w:sz w:val="22"/>
          <w:szCs w:val="22"/>
        </w:rPr>
        <w:t xml:space="preserve">The Aggrieved Constituent — frustrated but unequipped. Has the motivation to act but not the specific, verifiable evidence that converts personal grievance into legitimate public accusation. The scorecard provides what they are missing: not an argument but a document. The behaviour change is horizontal sharing through their existing personal network.</w:t>
      </w:r>
    </w:p>
    <w:p>
      <w:pPr>
        <w:pStyle w:val="ListParagraph"/>
        <w:numPr>
          <w:ilvl w:val="0"/>
          <w:numId w:val="2"/>
        </w:numPr>
        <w:spacing w:before="40" w:after="80"/>
      </w:pPr>
      <w:r>
        <w:rPr>
          <w:rFonts w:ascii="Georgia" w:cs="Georgia" w:eastAsia="Georgia" w:hAnsi="Georgia"/>
          <w:color w:val="1A1A2E"/>
          <w:sz w:val="22"/>
          <w:szCs w:val="22"/>
        </w:rPr>
        <w:t xml:space="preserve">The Civic Multiplier — the community organiser, church civic leader, market association secretary, local journalist. Already performs accountability functions informally. Under-resourced. The platform upgrades their function from community commentator to community accountability anchor, amplifying their existing reach (150–400 people per Multiplier) with verified primary source data.</w:t>
      </w:r>
    </w:p>
    <w:p>
      <w:pPr>
        <w:pStyle w:val="ListParagraph"/>
        <w:numPr>
          <w:ilvl w:val="0"/>
          <w:numId w:val="2"/>
        </w:numPr>
        <w:spacing w:before="40" w:after="80"/>
      </w:pPr>
      <w:r>
        <w:rPr>
          <w:rFonts w:ascii="Georgia" w:cs="Georgia" w:eastAsia="Georgia" w:hAnsi="Georgia"/>
          <w:color w:val="1A1A2E"/>
          <w:sz w:val="22"/>
          <w:szCs w:val="22"/>
        </w:rPr>
        <w:t xml:space="preserve">The Persuadable Voter — votes reliably but not on legislative record. Engaged on the wrong basis because the right basis has never been accessible in usable form. Does not seek out Chanuka. Reached through the Civic Multiplier in their existing trusted social context — the WhatsApp group, the baraza, the church civic session.</w:t>
      </w:r>
    </w:p>
    <w:p>
      <w:pPr>
        <w:spacing w:before="80" w:after="0"/>
      </w:pPr>
    </w:p>
    <w:p>
      <w:pPr>
        <w:spacing w:before="0" w:after="180"/>
      </w:pPr>
      <w:r>
        <w:rPr>
          <w:rFonts w:ascii="Georgia" w:cs="Georgia" w:eastAsia="Georgia" w:hAnsi="Georgia"/>
          <w:b w:val="false"/>
          <w:bCs w:val="false"/>
          <w:i w:val="false"/>
          <w:iCs w:val="false"/>
          <w:color w:val="1A1A2E"/>
          <w:sz w:val="22"/>
          <w:szCs w:val="22"/>
        </w:rPr>
        <w:t xml:space="preserve">The propagation chain from Aggrieved Constituent to Civic Multiplier to Persuadable Voter is the mechanism that converts platform adoption into electoral consequence. Each link has a specific psychological logic and a specific design response. The architecture serves the chain, not any single archetype in isolation.</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7</w:t>
      </w:r>
    </w:p>
    <w:p>
      <w:pPr>
        <w:pStyle w:val="Heading1"/>
      </w:pPr>
      <w:r>
        <w:t xml:space="preserve">The Opposition Void: Why Chanuka Is Categorical, Not Supplementary</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In democracies with functioning opposition parties, civic technology is supplementary — it enhances accountability mechanisms that already exist. In Kenya, where formal opposition has been absorbed for over a decade, civic technology that performs the opposition function is not supplementary. It is the accountability mechanism. That categorical difference changes the design, the ambition, and the urgency of what Chanuka is building.</w:t>
      </w:r>
    </w:p>
    <w:p>
      <w:pPr>
        <w:pStyle w:val="Heading2"/>
      </w:pPr>
      <w:r>
        <w:t xml:space="preserve">7.1  The Four Functions of Opposition — And Their Absence in Kenya</w:t>
      </w:r>
    </w:p>
    <w:p>
      <w:pPr>
        <w:spacing w:before="0" w:after="180"/>
      </w:pPr>
      <w:r>
        <w:rPr>
          <w:rFonts w:ascii="Georgia" w:cs="Georgia" w:eastAsia="Georgia" w:hAnsi="Georgia"/>
          <w:b w:val="false"/>
          <w:bCs w:val="false"/>
          <w:i w:val="false"/>
          <w:iCs w:val="false"/>
          <w:color w:val="1A1A2E"/>
          <w:sz w:val="22"/>
          <w:szCs w:val="22"/>
        </w:rPr>
        <w:t xml:space="preserve">A functioning parliamentary opposition performs four institutional functions that are frequently discussed as though they are interchangeable with other civic accountability mechanisms. They are not.</w:t>
      </w:r>
    </w:p>
    <w:p>
      <w:pPr>
        <w:pStyle w:val="ListParagraph"/>
        <w:numPr>
          <w:ilvl w:val="0"/>
          <w:numId w:val="2"/>
        </w:numPr>
        <w:spacing w:before="40" w:after="80"/>
      </w:pPr>
      <w:r>
        <w:rPr>
          <w:rFonts w:ascii="Georgia" w:cs="Georgia" w:eastAsia="Georgia" w:hAnsi="Georgia"/>
          <w:color w:val="1A1A2E"/>
          <w:sz w:val="22"/>
          <w:szCs w:val="22"/>
        </w:rPr>
        <w:t xml:space="preserve">Maintaining a verified legislative record — tracking what members voted for, what they promised, and the gap between the two across the full parliamentary term</w:t>
      </w:r>
    </w:p>
    <w:p>
      <w:pPr>
        <w:pStyle w:val="ListParagraph"/>
        <w:numPr>
          <w:ilvl w:val="0"/>
          <w:numId w:val="2"/>
        </w:numPr>
        <w:spacing w:before="40" w:after="80"/>
      </w:pPr>
      <w:r>
        <w:rPr>
          <w:rFonts w:ascii="Georgia" w:cs="Georgia" w:eastAsia="Georgia" w:hAnsi="Georgia"/>
          <w:color w:val="1A1A2E"/>
          <w:sz w:val="22"/>
          <w:szCs w:val="22"/>
        </w:rPr>
        <w:t xml:space="preserve">Prioritising accountability battles — making strategic choices about where to concentrate force, distinguishing the most consequential votes from the merely controversial ones</w:t>
      </w:r>
    </w:p>
    <w:p>
      <w:pPr>
        <w:pStyle w:val="ListParagraph"/>
        <w:numPr>
          <w:ilvl w:val="0"/>
          <w:numId w:val="2"/>
        </w:numPr>
        <w:spacing w:before="40" w:after="80"/>
      </w:pPr>
      <w:r>
        <w:rPr>
          <w:rFonts w:ascii="Georgia" w:cs="Georgia" w:eastAsia="Georgia" w:hAnsi="Georgia"/>
          <w:color w:val="1A1A2E"/>
          <w:sz w:val="22"/>
          <w:szCs w:val="22"/>
        </w:rPr>
        <w:t xml:space="preserve">Preserving institutional memory — carrying the record of prior-term commitments and failures into subsequent elections and parliamentary sessions</w:t>
      </w:r>
    </w:p>
    <w:p>
      <w:pPr>
        <w:pStyle w:val="ListParagraph"/>
        <w:numPr>
          <w:ilvl w:val="0"/>
          <w:numId w:val="2"/>
        </w:numPr>
        <w:spacing w:before="40" w:after="80"/>
      </w:pPr>
      <w:r>
        <w:rPr>
          <w:rFonts w:ascii="Georgia" w:cs="Georgia" w:eastAsia="Georgia" w:hAnsi="Georgia"/>
          <w:color w:val="1A1A2E"/>
          <w:sz w:val="22"/>
          <w:szCs w:val="22"/>
        </w:rPr>
        <w:t xml:space="preserve">Integrating findings into electoral consequence — using the verified record to make the cost of unaccountable voting real at the moment of electoral decision</w:t>
      </w:r>
    </w:p>
    <w:p>
      <w:pPr>
        <w:spacing w:before="80" w:after="0"/>
      </w:pPr>
    </w:p>
    <w:p>
      <w:pPr>
        <w:spacing w:before="0" w:after="180"/>
      </w:pPr>
      <w:r>
        <w:rPr>
          <w:rFonts w:ascii="Georgia" w:cs="Georgia" w:eastAsia="Georgia" w:hAnsi="Georgia"/>
          <w:b w:val="false"/>
          <w:bCs w:val="false"/>
          <w:i w:val="false"/>
          <w:iCs w:val="false"/>
          <w:color w:val="1A1A2E"/>
          <w:sz w:val="22"/>
          <w:szCs w:val="22"/>
        </w:rPr>
        <w:t xml:space="preserve">Kenya has not had a functioning parliamentary opposition for over a decade. The systematic absorption of formal opposition — through handshake politics, broad-based government arrangements, and the co-optation of successive opposition formations — has removed the institutional home for all four functions. They have not been transferred to another institution. They have been absent.</w:t>
      </w:r>
    </w:p>
    <w:p>
      <w:pPr>
        <w:pStyle w:val="Heading2"/>
      </w:pPr>
      <w:r>
        <w:t xml:space="preserve">7.2  The Citizen Energy Without Infrastructure Problem</w:t>
      </w:r>
    </w:p>
    <w:p>
      <w:pPr>
        <w:spacing w:before="0" w:after="180"/>
      </w:pPr>
      <w:r>
        <w:rPr>
          <w:rFonts w:ascii="Georgia" w:cs="Georgia" w:eastAsia="Georgia" w:hAnsi="Georgia"/>
          <w:b w:val="false"/>
          <w:bCs w:val="false"/>
          <w:i w:val="false"/>
          <w:iCs w:val="false"/>
          <w:color w:val="1A1A2E"/>
          <w:sz w:val="22"/>
          <w:szCs w:val="22"/>
        </w:rPr>
        <w:t xml:space="preserve">Kenya's Gen-Z movement demonstrated that the opposition function can be performed informally by citizens — with extraordinary precision, at scale, and without institutional support. The Finance Bill protests were more surgically specific than most formal opposition parliamentary performances in the decade preceding them. The movement read the bill. It identified specific provisions. It named specific harms. It demanded specific amendments.</w:t>
      </w:r>
    </w:p>
    <w:p>
      <w:pPr>
        <w:spacing w:before="0" w:after="180"/>
      </w:pPr>
      <w:r>
        <w:rPr>
          <w:rFonts w:ascii="Georgia" w:cs="Georgia" w:eastAsia="Georgia" w:hAnsi="Georgia"/>
          <w:b w:val="false"/>
          <w:bCs w:val="false"/>
          <w:i w:val="false"/>
          <w:iCs w:val="false"/>
          <w:color w:val="1A1A2E"/>
          <w:sz w:val="22"/>
          <w:szCs w:val="22"/>
        </w:rPr>
        <w:t xml:space="preserve">But without institutional infrastructure — without a verified record to defend against government spin, a prioritisation framework to prevent energy dispersal, institutional memory to carry the record into 2027, and electoral integration to make the record consequential at the ballot — the citizen opposition function cannot be sustained at its peak effectiveness. The movement that was precise becomes diffuse. The energy exhausts itself against an institutional landscape that remains unchanged. Unaccountable power does not need to win. It needs to wait.</w:t>
      </w:r>
    </w:p>
    <w:p>
      <w:pPr>
        <w:pStyle w:val="Heading2"/>
      </w:pPr>
      <w:r>
        <w:t xml:space="preserve">7.3  The Architectural Implication</w:t>
      </w:r>
    </w:p>
    <w:p>
      <w:pPr>
        <w:spacing w:before="0" w:after="180"/>
      </w:pPr>
      <w:r>
        <w:rPr>
          <w:rFonts w:ascii="Georgia" w:cs="Georgia" w:eastAsia="Georgia" w:hAnsi="Georgia"/>
          <w:b w:val="false"/>
          <w:bCs w:val="false"/>
          <w:i w:val="false"/>
          <w:iCs w:val="false"/>
          <w:color w:val="1A1A2E"/>
          <w:sz w:val="22"/>
          <w:szCs w:val="22"/>
        </w:rPr>
        <w:t xml:space="preserve">This analysis has a direct implication for how Chanuka should be understood by funders, partners, and the citizens it serves. It is not a civic engagement tool in the conventional sense. It is not a transparency platform. It is the institutional infrastructure for performing the parliamentary opposition function in a country where formal opposition has been absent for a decade.</w:t>
      </w:r>
    </w:p>
    <w:p>
      <w:pPr>
        <w:spacing w:before="0" w:after="180"/>
      </w:pPr>
      <w:r>
        <w:rPr>
          <w:rFonts w:ascii="Georgia" w:cs="Georgia" w:eastAsia="Georgia" w:hAnsi="Georgia"/>
          <w:b w:val="false"/>
          <w:bCs w:val="false"/>
          <w:i w:val="false"/>
          <w:iCs w:val="false"/>
          <w:color w:val="1A1A2E"/>
          <w:sz w:val="22"/>
          <w:szCs w:val="22"/>
        </w:rPr>
        <w:t xml:space="preserve">This framing changes the category of investment required. Transparency portals are supplementary infrastructure — they improve on existing accountability mechanisms. Opposition infrastructure in the absence of opposition is primary infrastructure — there is no existing mechanism to supplement. The investment is in building what has never existed, not enhancing what does.</w:t>
      </w:r>
    </w:p>
    <w:p>
      <w:pPr>
        <w:pBdr>
          <w:top w:val="single" w:color="1A7A6B" w:sz="4" w:space="6"/>
          <w:left w:val="single" w:color="1A7A6B" w:sz="14" w:space="10"/>
          <w:bottom w:val="single" w:color="1A7A6B" w:sz="4" w:space="6"/>
          <w:right w:val="none" w:color="auto" w:sz="0" w:space="0"/>
        </w:pBdr>
        <w:shd w:fill="EAF4F1" w:val="clear"/>
        <w:spacing w:before="200" w:after="200"/>
        <w:ind w:left="260" w:right="260"/>
      </w:pPr>
      <w:r>
        <w:rPr>
          <w:rFonts w:ascii="Georgia" w:cs="Georgia" w:eastAsia="Georgia" w:hAnsi="Georgia"/>
          <w:i/>
          <w:iCs/>
          <w:color w:val="0D1117"/>
          <w:sz w:val="22"/>
          <w:szCs w:val="22"/>
        </w:rPr>
        <w:t xml:space="preserve">Chanuka performs, for citizens, the four functions that a functioning parliamentary opposition would perform: tracking the verified record, prioritising the battles, preserving institutional memory, and integrating accountability findings into electoral consequence. Without a party. Without a leader who can be co-opted. Without requiring continuous personal economic sacrifice from citizens. At the cost of a data bundle.</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8</w:t>
      </w:r>
    </w:p>
    <w:p>
      <w:pPr>
        <w:pStyle w:val="Heading1"/>
      </w:pPr>
      <w:r>
        <w:t xml:space="preserve">The Global Democratic Inflection Point: Why the Timing of This Investment Is Not Incidental</w:t>
      </w:r>
    </w:p>
    <w:p>
      <w:pPr>
        <w:pBdr>
          <w:top w:val="none" w:sz="0" w:space="0" w:color="auto"/>
          <w:left w:val="none" w:sz="0" w:space="0" w:color="auto"/>
          <w:bottom w:val="single" w:color="DDDDDD" w:sz="2" w:space="1"/>
          <w:right w:val="none" w:sz="0" w:space="0" w:color="auto"/>
        </w:pBdr>
        <w:spacing w:before="40" w:after="160"/>
      </w:pPr>
    </w:p>
    <w:p>
      <w:pPr>
        <w:pBdr>
          <w:top w:val="single" w:color="1A7A6B" w:sz="4" w:space="6"/>
          <w:left w:val="none" w:color="auto" w:sz="0" w:space="0"/>
          <w:bottom w:val="single" w:color="1A7A6B" w:sz="4" w:space="6"/>
          <w:right w:val="none" w:color="auto" w:sz="0" w:space="0"/>
        </w:pBdr>
        <w:spacing w:before="240" w:after="240"/>
        <w:ind w:left="440" w:right="440"/>
      </w:pPr>
      <w:r>
        <w:rPr>
          <w:rFonts w:ascii="Georgia" w:cs="Georgia" w:eastAsia="Georgia" w:hAnsi="Georgia"/>
          <w:i/>
          <w:iCs/>
          <w:color w:val="2C3550"/>
          <w:sz w:val="23"/>
          <w:szCs w:val="23"/>
        </w:rPr>
        <w:t xml:space="preserve">Democratic systems do not collapse all at once. They hollow out — form persisting long after function has been evacuated. We are at the moment when that hollowing is actively occurring across multiple democracies simultaneously, and the window to interrupt it in Kenya is defined and closing.</w:t>
      </w:r>
    </w:p>
    <w:p>
      <w:pPr>
        <w:pStyle w:val="Heading2"/>
      </w:pPr>
      <w:r>
        <w:t xml:space="preserve">8.1  The Anchor State Failure and Its Downstream Effects</w:t>
      </w:r>
    </w:p>
    <w:p>
      <w:pPr>
        <w:spacing w:before="0" w:after="180"/>
      </w:pPr>
      <w:r>
        <w:rPr>
          <w:rFonts w:ascii="Georgia" w:cs="Georgia" w:eastAsia="Georgia" w:hAnsi="Georgia"/>
          <w:b w:val="false"/>
          <w:bCs w:val="false"/>
          <w:i w:val="false"/>
          <w:iCs w:val="false"/>
          <w:color w:val="1A1A2E"/>
          <w:sz w:val="22"/>
          <w:szCs w:val="22"/>
        </w:rPr>
        <w:t xml:space="preserve">The United States' retreat from its own democratic norms — and from its historical role as the anchor of the international democratic order — has produced a specific and measurable effect on every government calculating its democratic risk tolerance. The signal received is that the cost of norm violation is lower than the institutional theory of democracy predicted. Every government testing the boundaries of accountability received that demonstration and updated its calculation accordingly.</w:t>
      </w:r>
    </w:p>
    <w:p>
      <w:pPr>
        <w:spacing w:before="0" w:after="180"/>
      </w:pPr>
      <w:r>
        <w:rPr>
          <w:rFonts w:ascii="Georgia" w:cs="Georgia" w:eastAsia="Georgia" w:hAnsi="Georgia"/>
          <w:b w:val="false"/>
          <w:bCs w:val="false"/>
          <w:i w:val="false"/>
          <w:iCs w:val="false"/>
          <w:color w:val="1A1A2E"/>
          <w:sz w:val="22"/>
          <w:szCs w:val="22"/>
        </w:rPr>
        <w:t xml:space="preserve">For Kenya, this global signal arrives against a specific domestic context: constitutionally sound, functionally opaque parliament; systematic co-optation of formal opposition; a generation of civic energy that has demonstrated its capacity but not yet been given the infrastructure to make it durable. The global signal reduces external accountability pressure at precisely the moment when internal accountability infrastructure is most needed and least built.</w:t>
      </w:r>
    </w:p>
    <w:p>
      <w:pPr>
        <w:pStyle w:val="Heading2"/>
      </w:pPr>
      <w:r>
        <w:t xml:space="preserve">8.2  The USAID Withdrawal and the Infrastructure Void</w:t>
      </w:r>
    </w:p>
    <w:p>
      <w:pPr>
        <w:spacing w:before="0" w:after="180"/>
      </w:pPr>
      <w:r>
        <w:rPr>
          <w:rFonts w:ascii="Georgia" w:cs="Georgia" w:eastAsia="Georgia" w:hAnsi="Georgia"/>
          <w:b w:val="false"/>
          <w:bCs w:val="false"/>
          <w:i w:val="false"/>
          <w:iCs w:val="false"/>
          <w:color w:val="1A1A2E"/>
          <w:sz w:val="22"/>
          <w:szCs w:val="22"/>
        </w:rPr>
        <w:t xml:space="preserve">USAID's dismantlement removed the operational base of civil society accountability work simultaneously across forty countries — at the precise moment when internal accountability infrastructure is most needed and least built. For Kenya specifically, the withdrawal of approximately $470M per year in development support (of which governance and civic space was a fraction but a structurally important one) removed not only funding but the scaffolding of international accountability pressure that created incentives for transparent governance.</w:t>
      </w:r>
    </w:p>
    <w:p>
      <w:pPr>
        <w:spacing w:before="0" w:after="180"/>
      </w:pPr>
      <w:r>
        <w:rPr>
          <w:rFonts w:ascii="Georgia" w:cs="Georgia" w:eastAsia="Georgia" w:hAnsi="Georgia"/>
          <w:b w:val="false"/>
          <w:bCs w:val="false"/>
          <w:i w:val="false"/>
          <w:iCs w:val="false"/>
          <w:color w:val="1A1A2E"/>
          <w:sz w:val="22"/>
          <w:szCs w:val="22"/>
        </w:rPr>
        <w:t xml:space="preserve">The European bilateral funders — EU Delegation Kenya, UK FCDO/WFD, GIZ — are now the primary remaining international source of democratic governance support in Kenya. The EU CFP (EuropeAid/183898/DD/ACT/KE) is the most significant single accountability-focused instrument operating in Kenya's civic space as of March 2026. It is, in effect, the institutional response to the USAID withdrawal operating in the democratic governance sector. Investment in that instrument now — before the window of the 2027 election cycle closes — is the structural opportunity that this precise moment presents.</w:t>
      </w:r>
    </w:p>
    <w:p>
      <w:pPr>
        <w:pStyle w:val="Heading2"/>
      </w:pPr>
      <w:r>
        <w:t xml:space="preserve">8.3  The Generational Window</w:t>
      </w:r>
    </w:p>
    <w:p>
      <w:pPr>
        <w:spacing w:before="0" w:after="180"/>
      </w:pPr>
      <w:r>
        <w:rPr>
          <w:rFonts w:ascii="Georgia" w:cs="Georgia" w:eastAsia="Georgia" w:hAnsi="Georgia"/>
          <w:b w:val="false"/>
          <w:bCs w:val="false"/>
          <w:i w:val="false"/>
          <w:iCs w:val="false"/>
          <w:color w:val="1A1A2E"/>
          <w:sz w:val="22"/>
          <w:szCs w:val="22"/>
        </w:rPr>
        <w:t xml:space="preserve">The generation with the civic energy, digital connectivity, and demonstrated capacity to make the accountability loop function is the same generation that participated in the Finance Bill protests. That generation's civic energy is not permanent. It is exhaustible. It is available now in extraordinary abundance — but civic energy that is repeatedly mobilised and repeatedly finds no institutional infrastructure to compound into has a documented pattern: it exhausts, it fragments, it converts from civic engagement into cynicism.</w:t>
      </w:r>
    </w:p>
    <w:p>
      <w:pPr>
        <w:spacing w:before="0" w:after="180"/>
      </w:pPr>
      <w:r>
        <w:rPr>
          <w:rFonts w:ascii="Georgia" w:cs="Georgia" w:eastAsia="Georgia" w:hAnsi="Georgia"/>
          <w:b w:val="false"/>
          <w:bCs w:val="false"/>
          <w:i w:val="false"/>
          <w:iCs w:val="false"/>
          <w:color w:val="1A1A2E"/>
          <w:sz w:val="22"/>
          <w:szCs w:val="22"/>
        </w:rPr>
        <w:t xml:space="preserve">The 2027 election is the first major electoral test of whether the accountability energy demonstrated in 2023 translates into electoral consequence. If it does not — if the MPs who voted for the Finance Bill provisions that triggered mass protest face no measurably stronger challenge in 2027 than they would have without the protests — the lesson the next generation draws is that accountability mobilisation does not change outcomes. That lesson, once learned, is very difficult to unlearn.</w:t>
      </w:r>
    </w:p>
    <w:p>
      <w:pPr>
        <w:pBdr>
          <w:top w:val="single" w:color="956F1A" w:sz="4" w:space="6"/>
          <w:left w:val="single" w:color="956F1A" w:sz="14" w:space="10"/>
          <w:bottom w:val="single" w:color="956F1A" w:sz="4" w:space="6"/>
          <w:right w:val="none" w:color="auto" w:sz="0" w:space="0"/>
        </w:pBdr>
        <w:shd w:fill="FBF6EA" w:val="clear"/>
        <w:spacing w:before="200" w:after="200"/>
        <w:ind w:left="260" w:right="260"/>
      </w:pPr>
      <w:r>
        <w:rPr>
          <w:rFonts w:ascii="Georgia" w:cs="Georgia" w:eastAsia="Georgia" w:hAnsi="Georgia"/>
          <w:i/>
          <w:iCs/>
          <w:color w:val="0D1117"/>
          <w:sz w:val="22"/>
          <w:szCs w:val="22"/>
        </w:rPr>
        <w:t xml:space="preserve">The inflection point is not defined by a single catastrophic event. It is the convergence of three simultaneous conditions: an anchor state whose democratic credibility has weakened, removing external accountability pressure globally; an infrastructure void, in which the accountability loop has never been completed; and a generational window, in which civic energy and civic capability are available to do what no previous generation could do — but not indefinitely. This specific convergence is the argument for urgency. The window is open. The infrastructure is buildable. This decade is when it either gets built or does not.</w:t>
      </w:r>
    </w:p>
    <w:p>
      <w:pPr>
        <w:spacing w:before="120" w:after="0"/>
      </w:pPr>
    </w:p>
    <w:p>
      <w:r>
        <w:br w:type="page"/>
      </w:r>
    </w:p>
    <w:p>
      <w:pPr>
        <w:spacing w:before="360" w:after="80"/>
      </w:pPr>
      <w:r>
        <w:rPr>
          <w:rFonts w:ascii="Arial" w:cs="Arial" w:eastAsia="Arial" w:hAnsi="Arial"/>
          <w:b/>
          <w:bCs/>
          <w:color w:val="1A7A6B"/>
          <w:spacing w:val="40"/>
          <w:sz w:val="17"/>
          <w:szCs w:val="17"/>
        </w:rPr>
        <w:t xml:space="preserve">SECTION 9</w:t>
      </w:r>
    </w:p>
    <w:p>
      <w:pPr>
        <w:pStyle w:val="Heading1"/>
      </w:pPr>
      <w:r>
        <w:t xml:space="preserve">Summary: The Theoretical Architecture and Its Design Implications</w:t>
      </w:r>
    </w:p>
    <w:p>
      <w:pPr>
        <w:pBdr>
          <w:top w:val="none" w:sz="0" w:space="0" w:color="auto"/>
          <w:left w:val="none" w:sz="0" w:space="0" w:color="auto"/>
          <w:bottom w:val="single" w:color="DDDDDD" w:sz="2" w:space="1"/>
          <w:right w:val="none" w:sz="0" w:space="0" w:color="auto"/>
        </w:pBdr>
        <w:spacing w:before="40" w:after="160"/>
      </w:pPr>
    </w:p>
    <w:p>
      <w:pPr>
        <w:spacing w:before="0" w:after="180"/>
      </w:pPr>
      <w:r>
        <w:rPr>
          <w:rFonts w:ascii="Georgia" w:cs="Georgia" w:eastAsia="Georgia" w:hAnsi="Georgia"/>
          <w:b w:val="false"/>
          <w:bCs w:val="false"/>
          <w:i w:val="false"/>
          <w:iCs w:val="false"/>
          <w:color w:val="1A1A2E"/>
          <w:sz w:val="22"/>
          <w:szCs w:val="22"/>
        </w:rPr>
        <w:t xml:space="preserve">The theoretical propositions in this annex are not background context for Chanuka's application. They are the arguments that justify every specific design choice the platform has made. The summary below maps proposition to design implication directly.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4020"/>
        <w:gridCol w:w="4020"/>
      </w:tblGrid>
      <w:tr>
        <w:tc>
          <w:tcPr>
            <w:tcW w:type="dxa" w:w="13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w:t>
            </w:r>
          </w:p>
        </w:tc>
        <w:tc>
          <w:tcPr>
            <w:tcW w:type="dxa" w:w="40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Theoretical Foundation</w:t>
            </w:r>
          </w:p>
        </w:tc>
        <w:tc>
          <w:tcPr>
            <w:tcW w:type="dxa" w:w="402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b/>
                <w:bCs/>
                <w:color w:val="1A7A6B"/>
                <w:sz w:val="20"/>
                <w:szCs w:val="20"/>
              </w:rPr>
              <w:t xml:space="preserve">Platform Design Implication</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§2</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Coalition vagueness is a manufactured condition — the accountability gap is architectural, not informational</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Platform operates at constituency level. Outputs verified voting records, not narratives. Every claim is sourced.</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§3</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Vagueness transfers interpretive power. Specificity recovers it.</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Every accountability claim contains named agent, named decision, named date, named standard. No claim is made that cannot be falsified.</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§4</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Coalition overextension destroys specific legislative gains. Chanuka must not be a movement platform.</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Open-source, no single point of capture. Platform serves citizens across all political affiliations. It tracks records — it does not take positions.</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§5</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Sustained mobilisation is a regressive civic tax. Infrastructure is the equity solution.</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USSD access layer. WhatsApp-optimised formats. Civic Multiplier distribution architecture. Accountability at the cost of a data bundle.</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§6</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Distributed architecture preserves the leaderless strength while giving it coherent direction.</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Three-archetype adoption model. No central coordination required. The architecture leads. People execute.</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§7</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Kenya has no functioning opposition. Chanuka is primary infrastructure, not supplementary.</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Platform performs all four opposition functions for citizens: verified record, prioritisation, institutional memory, electoral integration.</w:t>
            </w:r>
          </w:p>
        </w:tc>
      </w:tr>
      <w:tr>
        <w:tc>
          <w:tcPr>
            <w:tcW w:type="dxa" w:w="1320"/>
            <w:tcBorders>
              <w:top w:val="single" w:color="CCCCCC" w:sz="1"/>
              <w:left w:val="single" w:color="CCCCCC" w:sz="1"/>
              <w:bottom w:val="single" w:color="CCCCCC" w:sz="1"/>
              <w:right w:val="single" w:color="CCCCCC" w:sz="1"/>
            </w:tcBorders>
            <w:shd w:fill="F5F5F0" w:val="clear"/>
            <w:tcMar>
              <w:top w:type="dxa" w:w="80"/>
              <w:left w:type="dxa" w:w="140"/>
              <w:bottom w:type="dxa" w:w="80"/>
              <w:right w:type="dxa" w:w="140"/>
            </w:tcMar>
          </w:tcPr>
          <w:p>
            <w:r>
              <w:rPr>
                <w:rFonts w:ascii="Arial" w:cs="Arial" w:eastAsia="Arial" w:hAnsi="Arial"/>
                <w:b/>
                <w:bCs/>
                <w:color w:val="1A7A6B"/>
                <w:sz w:val="19"/>
                <w:szCs w:val="19"/>
              </w:rPr>
              <w:t xml:space="preserve">§8</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The democratic inflection point is defined and closing. The 2027 election is the test.</w:t>
            </w:r>
          </w:p>
        </w:tc>
        <w:tc>
          <w:tcPr>
            <w:tcW w:type="dxa" w:w="40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Georgia" w:cs="Georgia" w:eastAsia="Georgia" w:hAnsi="Georgia"/>
                <w:b w:val="false"/>
                <w:bCs w:val="false"/>
                <w:color w:val="1A1A2E"/>
                <w:sz w:val="20"/>
                <w:szCs w:val="20"/>
              </w:rPr>
              <w:t xml:space="preserve">Platform is timed to the 2027 election cycle. All major features are sequenced to be operational before the campaign period opens.</w:t>
            </w:r>
          </w:p>
        </w:tc>
      </w:tr>
    </w:tbl>
    <w:p>
      <w:pPr>
        <w:spacing w:before="240" w:after="0"/>
      </w:pPr>
    </w:p>
    <w:p>
      <w:pPr>
        <w:pStyle w:val="Heading2"/>
      </w:pPr>
      <w:r>
        <w:t xml:space="preserve">The Question This Annex Answers</w:t>
      </w:r>
    </w:p>
    <w:p>
      <w:pPr>
        <w:spacing w:before="0" w:after="180"/>
      </w:pPr>
      <w:r>
        <w:rPr>
          <w:rFonts w:ascii="Georgia" w:cs="Georgia" w:eastAsia="Georgia" w:hAnsi="Georgia"/>
          <w:b w:val="false"/>
          <w:bCs w:val="false"/>
          <w:i w:val="false"/>
          <w:iCs w:val="false"/>
          <w:color w:val="1A1A2E"/>
          <w:sz w:val="22"/>
          <w:szCs w:val="22"/>
        </w:rPr>
        <w:t xml:space="preserve">Every sophisticated funder reviewing Chanuka's application will eventually ask the same question: why do you think this will actually work in Kenya specifically?</w:t>
      </w:r>
    </w:p>
    <w:p>
      <w:pPr>
        <w:spacing w:before="0" w:after="180"/>
      </w:pPr>
      <w:r>
        <w:rPr>
          <w:rFonts w:ascii="Georgia" w:cs="Georgia" w:eastAsia="Georgia" w:hAnsi="Georgia"/>
          <w:b w:val="false"/>
          <w:bCs w:val="false"/>
          <w:i w:val="false"/>
          <w:iCs w:val="false"/>
          <w:color w:val="1A1A2E"/>
          <w:sz w:val="22"/>
          <w:szCs w:val="22"/>
        </w:rPr>
        <w:t xml:space="preserve">The answer is not 'because accountability data is useful.' The answer is because Kenya's accountability gap is a manufactured political condition serving elite interests, not a voter preference — and the platform is designed at precisely the level where that manufacture is most vulnerable. Because it preserves movement specificity institutionally rather than letting it diffuse into the broad coalition politics that has historically destroyed specific legislative gains. Because its architecture is designed to survive the abandonment of any single ally, using the structural lesson from a century of movements that were captured when their infrastructure was concentrated. Because it delivers continuous accountability pressure at a personal cost that the constituencies with the most to gain can actually sustain.</w:t>
      </w:r>
    </w:p>
    <w:p>
      <w:pPr>
        <w:spacing w:before="0" w:after="180"/>
      </w:pPr>
      <w:r>
        <w:rPr>
          <w:rFonts w:ascii="Georgia" w:cs="Georgia" w:eastAsia="Georgia" w:hAnsi="Georgia"/>
          <w:b w:val="false"/>
          <w:bCs w:val="false"/>
          <w:i w:val="false"/>
          <w:iCs w:val="false"/>
          <w:color w:val="1A1A2E"/>
          <w:sz w:val="22"/>
          <w:szCs w:val="22"/>
        </w:rPr>
        <w:t xml:space="preserve">Because the window is open. Because the infrastructure is buildable. Because the 2027 election is the test, and the test has a defined date.</w:t>
      </w:r>
    </w:p>
    <w:p>
      <w:pPr>
        <w:spacing w:before="160" w:after="0"/>
      </w:pPr>
    </w:p>
    <w:p>
      <w:pPr>
        <w:pBdr>
          <w:top w:val="single" w:color="1A7A6B" w:sz="4" w:space="6"/>
          <w:left w:val="single" w:color="1A7A6B" w:sz="14" w:space="10"/>
          <w:bottom w:val="single" w:color="1A7A6B" w:sz="4" w:space="6"/>
          <w:right w:val="none" w:color="auto" w:sz="0" w:space="0"/>
        </w:pBdr>
        <w:shd w:fill="EAF4F1" w:val="clear"/>
        <w:spacing w:before="200" w:after="200"/>
        <w:ind w:left="260" w:right="260"/>
      </w:pPr>
      <w:r>
        <w:rPr>
          <w:rFonts w:ascii="Georgia" w:cs="Georgia" w:eastAsia="Georgia" w:hAnsi="Georgia"/>
          <w:i/>
          <w:iCs/>
          <w:color w:val="0D1117"/>
          <w:sz w:val="22"/>
          <w:szCs w:val="22"/>
        </w:rPr>
        <w:t xml:space="preserve">The argument for Chanuka is not a pitch for a civic technology platform. It is a political science argument for why this specific infrastructure, in this specific country, at this specific electoral moment, is the intervention that determines whether the accountability loop gets closed before the conditions that make closing it possible are themselves dismantled.</w:t>
      </w:r>
    </w:p>
    <w:p>
      <w:pPr>
        <w:spacing w:before="240" w:after="0"/>
      </w:pPr>
    </w:p>
    <w:p>
      <w:pPr>
        <w:pBdr>
          <w:top w:val="none" w:sz="0" w:space="0" w:color="auto"/>
          <w:left w:val="none" w:sz="0" w:space="0" w:color="auto"/>
          <w:bottom w:val="single" w:color="1A7A6B" w:sz="8" w:space="1"/>
          <w:right w:val="none" w:sz="0" w:space="0" w:color="auto"/>
        </w:pBdr>
        <w:spacing w:before="60" w:after="240"/>
      </w:pPr>
    </w:p>
    <w:p>
      <w:pPr>
        <w:spacing w:before="80" w:after="0"/>
      </w:pPr>
    </w:p>
    <w:p>
      <w:pPr>
        <w:spacing w:before="0" w:after="40"/>
      </w:pPr>
      <w:r>
        <w:rPr>
          <w:rFonts w:ascii="Arial" w:cs="Arial" w:eastAsia="Arial" w:hAnsi="Arial"/>
          <w:color w:val="888888"/>
          <w:sz w:val="18"/>
          <w:szCs w:val="18"/>
        </w:rPr>
        <w:t xml:space="preserve">Chanuka  ·  Intellectual Annex  ·  March 2026  ·  Nairobi</w:t>
      </w:r>
    </w:p>
    <w:p>
      <w:pPr>
        <w:spacing w:before="0" w:after="0"/>
      </w:pPr>
      <w:r>
        <w:rPr>
          <w:rFonts w:ascii="Arial" w:cs="Arial" w:eastAsia="Arial" w:hAnsi="Arial"/>
          <w:color w:val="AAAAAA"/>
          <w:sz w:val="17"/>
          <w:szCs w:val="17"/>
        </w:rPr>
        <w:t xml:space="preserve">For submission with: EU CFP EuropeAid/183898/DD/ACT/KE  ·  NED Kenya Civil Society Grant  ·  Code for Africa Partnership Proposal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117"/>
      <w:sz w:val="30"/>
      <w:szCs w:val="30"/>
    </w:rPr>
  </w:style>
  <w:style w:type="paragraph" w:styleId="Heading2">
    <w:name w:val="Heading 2"/>
    <w:basedOn w:val="Normal"/>
    <w:next w:val="Normal"/>
    <w:qFormat/>
    <w:pPr>
      <w:spacing w:before="300" w:after="80"/>
      <w:outlineLvl w:val="1"/>
    </w:pPr>
    <w:rPr>
      <w:rFonts w:ascii="Arial" w:cs="Arial" w:eastAsia="Arial" w:hAnsi="Arial"/>
      <w:b/>
      <w:bCs/>
      <w:color w:val="2C3550"/>
      <w:sz w:val="24"/>
      <w:szCs w:val="24"/>
    </w:rPr>
  </w:style>
  <w:style w:type="paragraph" w:styleId="Heading3">
    <w:name w:val="Heading 3"/>
    <w:basedOn w:val="Normal"/>
    <w:next w:val="Normal"/>
    <w:qFormat/>
    <w:pPr>
      <w:spacing w:before="220" w:after="60"/>
      <w:outlineLvl w:val="2"/>
    </w:pPr>
    <w:rPr>
      <w:rFonts w:ascii="Arial" w:cs="Arial" w:eastAsia="Arial" w:hAnsi="Arial"/>
      <w:b/>
      <w:bCs/>
      <w:color w:val="6268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2026-03-18T06:37:28.056Z</dcterms:created>
  <dcterms:modified xsi:type="dcterms:W3CDTF">2026-03-18T06:37:28.057Z</dcterms:modified>
</cp:coreProperties>
</file>

<file path=docProps/custom.xml><?xml version="1.0" encoding="utf-8"?>
<Properties xmlns="http://schemas.openxmlformats.org/officeDocument/2006/custom-properties" xmlns:vt="http://schemas.openxmlformats.org/officeDocument/2006/docPropsVTypes"/>
</file>