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Xây dựng 1 lớp thể hiện các đối tượng là công dân</w:t>
      </w:r>
    </w:p>
    <w:p w:rsidR="00000000" w:rsidDel="00000000" w:rsidP="00000000" w:rsidRDefault="00000000" w:rsidRPr="00000000" w14:paraId="00000002">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Thông tin bao gồm</w:t>
      </w:r>
    </w:p>
    <w:p w:rsidR="00000000" w:rsidDel="00000000" w:rsidP="00000000" w:rsidRDefault="00000000" w:rsidRPr="00000000" w14:paraId="00000003">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Họ tên, Năm sinh, Giới tính (nam/nữ), Số CMND/CCCD, Tình trạng hoàn thành NVQS (chưa/đã)</w:t>
      </w:r>
    </w:p>
    <w:p w:rsidR="00000000" w:rsidDel="00000000" w:rsidP="00000000" w:rsidRDefault="00000000" w:rsidRPr="00000000" w14:paraId="00000004">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Các lưu ý: Hoàn thành NVQS khi công dân đó là nam và độ tuổi từ 18 trở lên</w:t>
      </w:r>
    </w:p>
    <w:p w:rsidR="00000000" w:rsidDel="00000000" w:rsidP="00000000" w:rsidRDefault="00000000" w:rsidRPr="00000000" w14:paraId="00000005">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Các anh chị thiết kế thêm các hàm xây dựng/khởi tạo</w:t>
      </w:r>
    </w:p>
    <w:p w:rsidR="00000000" w:rsidDel="00000000" w:rsidP="00000000" w:rsidRDefault="00000000" w:rsidRPr="00000000" w14:paraId="00000006">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Không tham số: gán các vùng thông tin là chuỗi rỗng hoặc 0 hay null tùy anh chị</w:t>
      </w:r>
    </w:p>
    <w:p w:rsidR="00000000" w:rsidDel="00000000" w:rsidP="00000000" w:rsidRDefault="00000000" w:rsidRPr="00000000" w14:paraId="00000007">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Tham số đầy đủ để khởi tạo các vùng (cần đế ý qui định của vùng Tình trạng hoàn thành NVQS.</w:t>
      </w:r>
    </w:p>
    <w:p w:rsidR="00000000" w:rsidDel="00000000" w:rsidP="00000000" w:rsidRDefault="00000000" w:rsidRPr="00000000" w14:paraId="00000008">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Phương thức toString() để in thông tin công dân: tùy ý thiết kế</w:t>
      </w:r>
    </w:p>
    <w:p w:rsidR="00000000" w:rsidDel="00000000" w:rsidP="00000000" w:rsidRDefault="00000000" w:rsidRPr="00000000" w14:paraId="00000009">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Phương thức GọiThiHanhNVQS (long namnay): trả kết quả về là true nếu nam công dân này chưa hoản  thành NVQS và trong độ tuổi 18-25 tính tới namnay, ngược lại trả về false</w:t>
      </w:r>
    </w:p>
    <w:p w:rsidR="00000000" w:rsidDel="00000000" w:rsidP="00000000" w:rsidRDefault="00000000" w:rsidRPr="00000000" w14:paraId="0000000A">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Phương thức TongDongVien(long namnay): : trả kết quả về là true nếu nam công dân nằm trong diên tổng động viên (từ 18-30), tính tới namnay ngược lại trả về false</w:t>
      </w:r>
    </w:p>
    <w:p w:rsidR="00000000" w:rsidDel="00000000" w:rsidP="00000000" w:rsidRDefault="00000000" w:rsidRPr="00000000" w14:paraId="0000000B">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Phuong thức XacNhanThiHanhNVQS() : thiết lập lại vùng Tinh trạng hoàn thành NVQS của  nam công dân này (đã hoàn thành) và trả về chuỗi "Đã hoàn thành". Còn  trong các tình huống khác (ví dụ công dân là nữ, hay là nam công dân đã hoàn thành NVQS rồi)  thì không làm gì cả và trả về chuỗi "Có sai sot ve ly lich"</w:t>
      </w:r>
    </w:p>
    <w:p w:rsidR="00000000" w:rsidDel="00000000" w:rsidP="00000000" w:rsidRDefault="00000000" w:rsidRPr="00000000" w14:paraId="0000000C">
      <w:pPr>
        <w:pageBreakBefore w:val="0"/>
        <w:shd w:fill="ffffff" w:val="clear"/>
        <w:spacing w:after="240" w:lineRule="auto"/>
        <w:rPr>
          <w:color w:val="373a3c"/>
          <w:sz w:val="23"/>
          <w:szCs w:val="23"/>
        </w:rPr>
      </w:pPr>
      <w:r w:rsidDel="00000000" w:rsidR="00000000" w:rsidRPr="00000000">
        <w:rPr>
          <w:color w:val="373a3c"/>
          <w:sz w:val="23"/>
          <w:szCs w:val="23"/>
          <w:rtl w:val="0"/>
        </w:rPr>
        <w:t xml:space="preserve">Sau khi thiết kế xong, anh chị thử nghiệm bằng các dòng lệnh tùy ý để kiểm tra (viết trong hàm main ngay trong class này luôn).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