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YPGym Day 5 to Day 10 Work Review</w:t>
      </w:r>
    </w:p>
    <w:p>
      <w:pPr>
        <w:pStyle w:val="MutedNote"/>
        <w:jc w:val="left"/>
      </w:pPr>
      <w:r>
        <w:t>Today's work summary, testing guide, and implementation handoff</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Project</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YPGym gym management system</w:t>
            </w:r>
          </w:p>
        </w:tc>
      </w:tr>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Review date</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10 June 2026</w:t>
            </w:r>
          </w:p>
        </w:tc>
      </w:tr>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Current milestone</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Day 5 to Day 10 foundation completed</w:t>
            </w:r>
          </w:p>
        </w:tc>
      </w:tr>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Main focus</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PostgreSQL migration, Docker service split, architecture documentation, and shared error handling</w:t>
            </w:r>
          </w:p>
        </w:tc>
      </w:tr>
    </w:tbl>
    <w:p/>
    <w:p>
      <w:pPr>
        <w:pStyle w:val="Heading1"/>
      </w:pPr>
      <w:r>
        <w:t>1. Plain-English Summary</w:t>
      </w:r>
    </w:p>
    <w:p>
      <w:r>
        <w:t>The work completed today prepares the project for the real feature coding that starts from Day 11. The previous early scaffold was moved away from the old MongoDB direction and aligned with the revised PostgreSQL plan. This does not mean the full app is finished yet. It means the technical base is now ready: database, cache, backend, frontend, worker services, migration flow, design references, and shared error patterns are in place.</w:t>
      </w:r>
    </w:p>
    <w:p>
      <w:r>
        <w:t>The AI chatbot and personalization work are intentionally not part of this 60-day main-app build. They are treated as later backlog items so the core gym management app can be finished first.</w:t>
      </w:r>
    </w:p>
    <w:p>
      <w:pPr>
        <w:pStyle w:val="Heading1"/>
      </w:pPr>
      <w:r>
        <w:t>2. What Was Implemented</w:t>
      </w:r>
    </w:p>
    <w:p>
      <w:pPr>
        <w:pStyle w:val="ListBullet"/>
        <w:spacing w:after="80" w:line="300" w:lineRule="auto"/>
      </w:pPr>
      <w:r>
        <w:rPr>
          <w:rFonts w:ascii="Calibri" w:hAnsi="Calibri"/>
          <w:sz w:val="22"/>
        </w:rPr>
        <w:t>Reworked Docker Compose into separated services for PostgreSQL, Redis, backend API, frontend web, Celery worker, Celery Beat, and an optional IoT simulator.</w:t>
      </w:r>
    </w:p>
    <w:p>
      <w:pPr>
        <w:pStyle w:val="ListBullet"/>
        <w:spacing w:after="80" w:line="300" w:lineRule="auto"/>
      </w:pPr>
      <w:r>
        <w:rPr>
          <w:rFonts w:ascii="Calibri" w:hAnsi="Calibri"/>
          <w:sz w:val="22"/>
        </w:rPr>
        <w:t>Added PostgreSQL connection settings, SQLAlchemy async session setup, and Alembic migration configuration.</w:t>
      </w:r>
    </w:p>
    <w:p>
      <w:pPr>
        <w:pStyle w:val="ListBullet"/>
        <w:spacing w:after="80" w:line="300" w:lineRule="auto"/>
      </w:pPr>
      <w:r>
        <w:rPr>
          <w:rFonts w:ascii="Calibri" w:hAnsi="Calibri"/>
          <w:sz w:val="22"/>
        </w:rPr>
        <w:t>Created the first Alembic baseline migration so future database tables can be added safely from Day 11 onward.</w:t>
      </w:r>
    </w:p>
    <w:p>
      <w:pPr>
        <w:pStyle w:val="ListBullet"/>
        <w:spacing w:after="80" w:line="300" w:lineRule="auto"/>
      </w:pPr>
      <w:r>
        <w:rPr>
          <w:rFonts w:ascii="Calibri" w:hAnsi="Calibri"/>
          <w:sz w:val="22"/>
        </w:rPr>
        <w:t>Added Redis connection setup for short-lived data such as QR tokens, occupancy counters, cache values, and future rate limits.</w:t>
      </w:r>
    </w:p>
    <w:p>
      <w:pPr>
        <w:pStyle w:val="ListBullet"/>
        <w:spacing w:after="80" w:line="300" w:lineRule="auto"/>
      </w:pPr>
      <w:r>
        <w:rPr>
          <w:rFonts w:ascii="Calibri" w:hAnsi="Calibri"/>
          <w:sz w:val="22"/>
        </w:rPr>
        <w:t>Added backend health checks for the API itself and for real PostgreSQL plus Redis dependencies.</w:t>
      </w:r>
    </w:p>
    <w:p>
      <w:pPr>
        <w:pStyle w:val="ListBullet"/>
        <w:spacing w:after="80" w:line="300" w:lineRule="auto"/>
      </w:pPr>
      <w:r>
        <w:rPr>
          <w:rFonts w:ascii="Calibri" w:hAnsi="Calibri"/>
          <w:sz w:val="22"/>
        </w:rPr>
        <w:t>Added one consistent API error response format for validation, missing resources, permission errors, conflicts, and dependency failures.</w:t>
      </w:r>
    </w:p>
    <w:p>
      <w:pPr>
        <w:pStyle w:val="ListBullet"/>
        <w:spacing w:after="80" w:line="300" w:lineRule="auto"/>
      </w:pPr>
      <w:r>
        <w:rPr>
          <w:rFonts w:ascii="Calibri" w:hAnsi="Calibri"/>
          <w:sz w:val="22"/>
        </w:rPr>
        <w:t>Added request logging so backend requests show method, path, status code, duration, and request ID.</w:t>
      </w:r>
    </w:p>
    <w:p>
      <w:pPr>
        <w:pStyle w:val="ListBullet"/>
        <w:spacing w:after="80" w:line="300" w:lineRule="auto"/>
      </w:pPr>
      <w:r>
        <w:rPr>
          <w:rFonts w:ascii="Calibri" w:hAnsi="Calibri"/>
          <w:sz w:val="22"/>
        </w:rPr>
        <w:t>Added shared frontend loading, empty, error, and permission states so later screens can use consistent UI behavior.</w:t>
      </w:r>
    </w:p>
    <w:p>
      <w:pPr>
        <w:pStyle w:val="ListBullet"/>
        <w:spacing w:after="80" w:line="300" w:lineRule="auto"/>
      </w:pPr>
      <w:r>
        <w:rPr>
          <w:rFonts w:ascii="Calibri" w:hAnsi="Calibri"/>
          <w:sz w:val="22"/>
        </w:rPr>
        <w:t>Added Design Architecture route mapping and documentation so future UI work follows the screenshots in the updated brief.</w:t>
      </w:r>
    </w:p>
    <w:p>
      <w:pPr>
        <w:pStyle w:val="ListBullet"/>
        <w:spacing w:after="80" w:line="300" w:lineRule="auto"/>
      </w:pPr>
      <w:r>
        <w:rPr>
          <w:rFonts w:ascii="Calibri" w:hAnsi="Calibri"/>
          <w:sz w:val="22"/>
        </w:rPr>
        <w:t>Added role, policy, ERD, architecture, use-case, and membership lifecycle documentation for lecturer review and coding guidance.</w:t>
      </w:r>
    </w:p>
    <w:p>
      <w:pPr>
        <w:pStyle w:val="Heading1"/>
      </w:pPr>
      <w:r>
        <w:t>3. Services and What Each One Does</w:t>
      </w:r>
    </w:p>
    <w:tbl>
      <w:tblPr>
        <w:tblStyle w:val="TableGrid"/>
        <w:tblW w:type="dxa" w:w="9360"/>
        <w:jc w:val="left"/>
        <w:tblLayout w:type="fixed"/>
        <w:tblLook w:firstColumn="1" w:firstRow="1" w:lastColumn="0" w:lastRow="0" w:noHBand="0" w:noVBand="1" w:val="04A0"/>
        <w:tblInd w:w="120" w:type="dxa"/>
      </w:tblPr>
      <w:tblGrid>
        <w:gridCol w:w="1800"/>
        <w:gridCol w:w="1500"/>
        <w:gridCol w:w="6060"/>
      </w:tblGrid>
      <w:tr>
        <w:tc>
          <w:tcPr>
            <w:tcW w:type="dxa" w:w="1800"/>
            <w:shd w:fill="E8EEF5"/>
            <w:vAlign w:val="center"/>
            <w:tcMar>
              <w:top w:w="80" w:type="dxa"/>
              <w:bottom w:w="80" w:type="dxa"/>
              <w:start w:w="120" w:type="dxa"/>
              <w:end w:w="120" w:type="dxa"/>
            </w:tcMar>
          </w:tcPr>
          <w:p>
            <w:pPr>
              <w:spacing w:after="0" w:line="276" w:lineRule="auto"/>
            </w:pPr>
            <w:r/>
            <w:r>
              <w:rPr>
                <w:rFonts w:ascii="Calibri" w:hAnsi="Calibri" w:eastAsia="Calibri"/>
                <w:b/>
                <w:sz w:val="19"/>
              </w:rPr>
              <w:t>Service</w:t>
            </w:r>
          </w:p>
        </w:tc>
        <w:tc>
          <w:tcPr>
            <w:tcW w:type="dxa" w:w="1500"/>
            <w:shd w:fill="E8EEF5"/>
            <w:vAlign w:val="center"/>
            <w:tcMar>
              <w:top w:w="80" w:type="dxa"/>
              <w:bottom w:w="80" w:type="dxa"/>
              <w:start w:w="120" w:type="dxa"/>
              <w:end w:w="120" w:type="dxa"/>
            </w:tcMar>
          </w:tcPr>
          <w:p>
            <w:pPr>
              <w:spacing w:after="0" w:line="276" w:lineRule="auto"/>
            </w:pPr>
            <w:r/>
            <w:r>
              <w:rPr>
                <w:rFonts w:ascii="Calibri" w:hAnsi="Calibri" w:eastAsia="Calibri"/>
                <w:b/>
                <w:sz w:val="19"/>
              </w:rPr>
              <w:t>Port</w:t>
            </w:r>
          </w:p>
        </w:tc>
        <w:tc>
          <w:tcPr>
            <w:tcW w:type="dxa" w:w="6060"/>
            <w:shd w:fill="E8EEF5"/>
            <w:vAlign w:val="center"/>
            <w:tcMar>
              <w:top w:w="80" w:type="dxa"/>
              <w:bottom w:w="80" w:type="dxa"/>
              <w:start w:w="120" w:type="dxa"/>
              <w:end w:w="120" w:type="dxa"/>
            </w:tcMar>
          </w:tcPr>
          <w:p>
            <w:pPr>
              <w:spacing w:after="0" w:line="276" w:lineRule="auto"/>
            </w:pPr>
            <w:r/>
            <w:r>
              <w:rPr>
                <w:rFonts w:ascii="Calibri" w:hAnsi="Calibri" w:eastAsia="Calibri"/>
                <w:b/>
                <w:sz w:val="19"/>
              </w:rPr>
              <w:t>Purpose</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postgres-db</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5433 on host</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Main permanent database. Later it will store users, memberships, payments, attendance, classes, audit logs, and configuration.</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redis-cache</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6380 on host</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Fast temporary storage. Later it will support QR token expiry, occupancy counters, cached settings, and rate limits.</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backend-api</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8001 on host</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FastAPI server. It exposes the API endpoints used by the web app, mobile app, and IoT scanner.</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frontend-web</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5174 on host</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React web app for public pages, member self-service, admin CRM, dashboard screens, and future web flows.</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celery-worker</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internal only</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Background worker. Later it can process emails, invoice generation, scheduled cleanup jobs, notifications, and heavier tasks outside normal API requests.</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celery-beat</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internal only</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Scheduler for recurring jobs. It tells Celery when to run repeated tasks, such as expiry checks or reminder jobs.</w:t>
            </w:r>
          </w:p>
        </w:tc>
      </w:tr>
      <w:tr>
        <w:tc>
          <w:tcPr>
            <w:tcW w:type="dxa" w:w="1800"/>
            <w:vAlign w:val="center"/>
            <w:tcMar>
              <w:top w:w="80" w:type="dxa"/>
              <w:bottom w:w="80" w:type="dxa"/>
              <w:start w:w="120" w:type="dxa"/>
              <w:end w:w="120" w:type="dxa"/>
            </w:tcMar>
          </w:tcPr>
          <w:p>
            <w:pPr>
              <w:spacing w:after="0" w:line="276" w:lineRule="auto"/>
            </w:pPr>
            <w:r/>
            <w:r>
              <w:rPr>
                <w:rFonts w:ascii="Calibri" w:hAnsi="Calibri" w:eastAsia="Calibri"/>
                <w:b w:val="0"/>
                <w:sz w:val="19"/>
              </w:rPr>
              <w:t>iot-simulator</w:t>
            </w:r>
          </w:p>
        </w:tc>
        <w:tc>
          <w:tcPr>
            <w:tcW w:type="dxa" w:w="1500"/>
            <w:vAlign w:val="center"/>
            <w:tcMar>
              <w:top w:w="80" w:type="dxa"/>
              <w:bottom w:w="80" w:type="dxa"/>
              <w:start w:w="120" w:type="dxa"/>
              <w:end w:w="120" w:type="dxa"/>
            </w:tcMar>
          </w:tcPr>
          <w:p>
            <w:pPr>
              <w:spacing w:after="0" w:line="276" w:lineRule="auto"/>
            </w:pPr>
            <w:r/>
            <w:r>
              <w:rPr>
                <w:rFonts w:ascii="Calibri" w:hAnsi="Calibri" w:eastAsia="Calibri"/>
                <w:b w:val="0"/>
                <w:sz w:val="19"/>
              </w:rPr>
              <w:t>optional profile</w:t>
            </w:r>
          </w:p>
        </w:tc>
        <w:tc>
          <w:tcPr>
            <w:tcW w:type="dxa" w:w="6060"/>
            <w:vAlign w:val="center"/>
            <w:tcMar>
              <w:top w:w="80" w:type="dxa"/>
              <w:bottom w:w="80" w:type="dxa"/>
              <w:start w:w="120" w:type="dxa"/>
              <w:end w:w="120" w:type="dxa"/>
            </w:tcMar>
          </w:tcPr>
          <w:p>
            <w:pPr>
              <w:spacing w:after="0" w:line="276" w:lineRule="auto"/>
            </w:pPr>
            <w:r/>
            <w:r>
              <w:rPr>
                <w:rFonts w:ascii="Calibri" w:hAnsi="Calibri" w:eastAsia="Calibri"/>
                <w:b w:val="0"/>
                <w:sz w:val="19"/>
              </w:rPr>
              <w:t>Placeholder scanner simulator. Later it can mimic QR scanner check-ins without needing real hardware during development.</w:t>
            </w:r>
          </w:p>
        </w:tc>
      </w:tr>
    </w:tbl>
    <w:p/>
    <w:p>
      <w:pPr>
        <w:pStyle w:val="Heading1"/>
      </w:pPr>
      <w:r>
        <w:t>4. Important Files Added or Updated</w:t>
      </w:r>
    </w:p>
    <w:tbl>
      <w:tblPr>
        <w:tblStyle w:val="TableGrid"/>
        <w:tblW w:type="dxa" w:w="9360"/>
        <w:jc w:val="left"/>
        <w:tblLayout w:type="fixed"/>
        <w:tblLook w:firstColumn="1" w:firstRow="1" w:lastColumn="0" w:lastRow="0" w:noHBand="0" w:noVBand="1" w:val="04A0"/>
        <w:tblInd w:w="120" w:type="dxa"/>
      </w:tblPr>
      <w:tblGrid>
        <w:gridCol w:w="3200"/>
        <w:gridCol w:w="6160"/>
      </w:tblGrid>
      <w:tr>
        <w:tc>
          <w:tcPr>
            <w:tcW w:type="dxa" w:w="3200"/>
            <w:shd w:fill="E8EEF5"/>
            <w:vAlign w:val="center"/>
            <w:tcMar>
              <w:top w:w="80" w:type="dxa"/>
              <w:bottom w:w="80" w:type="dxa"/>
              <w:start w:w="120" w:type="dxa"/>
              <w:end w:w="120" w:type="dxa"/>
            </w:tcMar>
          </w:tcPr>
          <w:p>
            <w:pPr>
              <w:spacing w:after="0" w:line="276" w:lineRule="auto"/>
            </w:pPr>
            <w:r/>
            <w:r>
              <w:rPr>
                <w:rFonts w:ascii="Calibri" w:hAnsi="Calibri" w:eastAsia="Calibri"/>
                <w:b/>
                <w:sz w:val="19"/>
              </w:rPr>
              <w:t>File or folder</w:t>
            </w:r>
          </w:p>
        </w:tc>
        <w:tc>
          <w:tcPr>
            <w:tcW w:type="dxa" w:w="6160"/>
            <w:shd w:fill="E8EEF5"/>
            <w:vAlign w:val="center"/>
            <w:tcMar>
              <w:top w:w="80" w:type="dxa"/>
              <w:bottom w:w="80" w:type="dxa"/>
              <w:start w:w="120" w:type="dxa"/>
              <w:end w:w="120" w:type="dxa"/>
            </w:tcMar>
          </w:tcPr>
          <w:p>
            <w:pPr>
              <w:spacing w:after="0" w:line="276" w:lineRule="auto"/>
            </w:pPr>
            <w:r/>
            <w:r>
              <w:rPr>
                <w:rFonts w:ascii="Calibri" w:hAnsi="Calibri" w:eastAsia="Calibri"/>
                <w:b/>
                <w:sz w:val="19"/>
              </w:rPr>
              <w:t>Why it matters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docker-compose.yml</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Defines the separated Docker services and local ports.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backend/app/db/session.py</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Creates the async PostgreSQL database engine and session dependency.</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backend/app/db/redis.py</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Creates the Redis client used by backend services.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backend/alembic/</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Stores database migration setup and version files.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backend/app/core/exceptions.py</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Defines the standard API error format and exception handlers.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backend/app/core/logging.py</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Adds request logging and request IDs.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backend/app/api/v1/endpoints/health.py</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Adds API and dependency health checks.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frontend/src/lib/apiErrors.ts</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Maps backend API errors into frontend-friendly messages.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frontend/src/components/common/FeedbackState.tsx</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Reusable loading, empty, error, and permission UI states.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docs/design/route-screen-map.md</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Maps brief screenshots to future web/admin/mobile routes and components.</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docs/architecture/ and docs/diagrams/</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Architecture and diagram package for lecturer review.</w:t>
            </w:r>
          </w:p>
        </w:tc>
      </w:tr>
      <w:tr>
        <w:tc>
          <w:tcPr>
            <w:tcW w:type="dxa" w:w="3200"/>
            <w:vAlign w:val="center"/>
            <w:tcMar>
              <w:top w:w="80" w:type="dxa"/>
              <w:bottom w:w="80" w:type="dxa"/>
              <w:start w:w="120" w:type="dxa"/>
              <w:end w:w="120" w:type="dxa"/>
            </w:tcMar>
          </w:tcPr>
          <w:p>
            <w:pPr>
              <w:spacing w:after="0" w:line="276" w:lineRule="auto"/>
            </w:pPr>
            <w:r/>
            <w:r>
              <w:rPr>
                <w:rFonts w:ascii="Calibri" w:hAnsi="Calibri" w:eastAsia="Calibri"/>
                <w:b w:val="0"/>
                <w:sz w:val="19"/>
              </w:rPr>
              <w:t>docs/policies/</w:t>
            </w:r>
          </w:p>
        </w:tc>
        <w:tc>
          <w:tcPr>
            <w:tcW w:type="dxa" w:w="6160"/>
            <w:vAlign w:val="center"/>
            <w:tcMar>
              <w:top w:w="80" w:type="dxa"/>
              <w:bottom w:w="80" w:type="dxa"/>
              <w:start w:w="120" w:type="dxa"/>
              <w:end w:w="120" w:type="dxa"/>
            </w:tcMar>
          </w:tcPr>
          <w:p>
            <w:pPr>
              <w:spacing w:after="0" w:line="276" w:lineRule="auto"/>
            </w:pPr>
            <w:r/>
            <w:r>
              <w:rPr>
                <w:rFonts w:ascii="Calibri" w:hAnsi="Calibri" w:eastAsia="Calibri"/>
                <w:b w:val="0"/>
                <w:sz w:val="19"/>
              </w:rPr>
              <w:t>Membership, role, and business-rule notes for later coding.</w:t>
            </w:r>
          </w:p>
        </w:tc>
      </w:tr>
    </w:tbl>
    <w:p/>
    <w:p>
      <w:pPr>
        <w:pStyle w:val="Heading1"/>
      </w:pPr>
      <w:r>
        <w:t>5. How To Start the Project</w:t>
      </w:r>
    </w:p>
    <w:p>
      <w:r>
        <w:t>Run these commands from PowerShell:</w:t>
      </w:r>
    </w:p>
    <w:p>
      <w:pPr>
        <w:pStyle w:val="CodeBlock"/>
      </w:pPr>
      <w:r>
        <w:rPr>
          <w:rFonts w:ascii="Consolas" w:hAnsi="Consolas"/>
          <w:sz w:val="18"/>
        </w:rPr>
        <w:t>cd C:\Users\Admin\ypgym</w:t>
      </w:r>
    </w:p>
    <w:p>
      <w:pPr>
        <w:pStyle w:val="CodeBlock"/>
      </w:pPr>
      <w:r>
        <w:rPr>
          <w:rFonts w:ascii="Consolas" w:hAnsi="Consolas"/>
          <w:sz w:val="18"/>
        </w:rPr>
        <w:t>docker compose --profile app up -d --build</w:t>
      </w:r>
    </w:p>
    <w:p>
      <w:r>
        <w:t>What this does: builds and starts the Day 5 to Day 10 stack in the background. It starts PostgreSQL, Redis, backend API, frontend web, Celery worker, and Celery Beat.</w:t>
      </w:r>
    </w:p>
    <w:p>
      <w:pPr>
        <w:pStyle w:val="CodeBlock"/>
      </w:pPr>
      <w:r>
        <w:rPr>
          <w:rFonts w:ascii="Consolas" w:hAnsi="Consolas"/>
          <w:sz w:val="18"/>
        </w:rPr>
        <w:t>docker compose ps</w:t>
      </w:r>
    </w:p>
    <w:p>
      <w:r>
        <w:t>What this does: shows which containers are running. You should see the new services running or healthy: ypgym-postgres-db, ypgym-redis-cache, ypgym-backend-api, ypgym-frontend-web, ypgym-celery-worker, and ypgym-celery-beat.</w:t>
      </w:r>
    </w:p>
    <w:p>
      <w:pPr>
        <w:pStyle w:val="Heading1"/>
      </w:pPr>
      <w:r>
        <w:t>6. Browser Links To Check</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Frontend</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http://localhost:5174 - opens the React app.</w:t>
            </w:r>
          </w:p>
        </w:tc>
      </w:tr>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Backend API docs</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http://localhost:8001/docs - opens Swagger so you can inspect and test API endpoints.</w:t>
            </w:r>
          </w:p>
        </w:tc>
      </w:tr>
      <w:tr>
        <w:tc>
          <w:tcPr>
            <w:tcW w:type="dxa" w:w="2700"/>
            <w:vAlign w:val="center"/>
            <w:tcMar>
              <w:top w:w="80" w:type="dxa"/>
              <w:bottom w:w="80" w:type="dxa"/>
              <w:start w:w="120" w:type="dxa"/>
              <w:end w:w="120" w:type="dxa"/>
            </w:tcMar>
          </w:tcPr>
          <w:p>
            <w:pPr>
              <w:spacing w:after="0" w:line="276" w:lineRule="auto"/>
            </w:pPr>
            <w:r/>
            <w:r>
              <w:rPr>
                <w:rFonts w:ascii="Calibri" w:hAnsi="Calibri" w:eastAsia="Calibri"/>
                <w:b/>
                <w:sz w:val="19"/>
              </w:rPr>
              <w:t>Backend health</w:t>
            </w:r>
          </w:p>
        </w:tc>
        <w:tc>
          <w:tcPr>
            <w:tcW w:type="dxa" w:w="6660"/>
            <w:vAlign w:val="center"/>
            <w:tcMar>
              <w:top w:w="80" w:type="dxa"/>
              <w:bottom w:w="80" w:type="dxa"/>
              <w:start w:w="120" w:type="dxa"/>
              <w:end w:w="120" w:type="dxa"/>
            </w:tcMar>
          </w:tcPr>
          <w:p>
            <w:pPr>
              <w:spacing w:after="0" w:line="276" w:lineRule="auto"/>
            </w:pPr>
            <w:r/>
            <w:r>
              <w:rPr>
                <w:rFonts w:ascii="Calibri" w:hAnsi="Calibri" w:eastAsia="Calibri"/>
                <w:b w:val="0"/>
                <w:sz w:val="19"/>
              </w:rPr>
              <w:t>http://localhost:8001/api/v1/health - checks whether the API server is alive.</w:t>
            </w:r>
          </w:p>
        </w:tc>
      </w:tr>
    </w:tbl>
    <w:p/>
    <w:p>
      <w:pPr>
        <w:pStyle w:val="Heading1"/>
      </w:pPr>
      <w:r>
        <w:t>7. Test Commands and What Each One Proves</w:t>
      </w:r>
    </w:p>
    <w:tbl>
      <w:tblPr>
        <w:tblStyle w:val="TableGrid"/>
        <w:tblW w:type="dxa" w:w="9360"/>
        <w:jc w:val="left"/>
        <w:tblLayout w:type="fixed"/>
        <w:tblLook w:firstColumn="1" w:firstRow="1" w:lastColumn="0" w:lastRow="0" w:noHBand="0" w:noVBand="1" w:val="04A0"/>
        <w:tblInd w:w="120" w:type="dxa"/>
      </w:tblPr>
      <w:tblGrid>
        <w:gridCol w:w="3180"/>
        <w:gridCol w:w="3600"/>
        <w:gridCol w:w="2580"/>
      </w:tblGrid>
      <w:tr>
        <w:tc>
          <w:tcPr>
            <w:tcW w:type="dxa" w:w="3180"/>
            <w:shd w:fill="E8EEF5"/>
            <w:vAlign w:val="center"/>
            <w:tcMar>
              <w:top w:w="80" w:type="dxa"/>
              <w:bottom w:w="80" w:type="dxa"/>
              <w:start w:w="120" w:type="dxa"/>
              <w:end w:w="120" w:type="dxa"/>
            </w:tcMar>
          </w:tcPr>
          <w:p>
            <w:pPr>
              <w:spacing w:after="0" w:line="276" w:lineRule="auto"/>
            </w:pPr>
            <w:r/>
            <w:r>
              <w:rPr>
                <w:rFonts w:ascii="Calibri" w:hAnsi="Calibri" w:eastAsia="Calibri"/>
                <w:b/>
                <w:sz w:val="19"/>
              </w:rPr>
              <w:t>Command</w:t>
            </w:r>
          </w:p>
        </w:tc>
        <w:tc>
          <w:tcPr>
            <w:tcW w:type="dxa" w:w="3600"/>
            <w:shd w:fill="E8EEF5"/>
            <w:vAlign w:val="center"/>
            <w:tcMar>
              <w:top w:w="80" w:type="dxa"/>
              <w:bottom w:w="80" w:type="dxa"/>
              <w:start w:w="120" w:type="dxa"/>
              <w:end w:w="120" w:type="dxa"/>
            </w:tcMar>
          </w:tcPr>
          <w:p>
            <w:pPr>
              <w:spacing w:after="0" w:line="276" w:lineRule="auto"/>
            </w:pPr>
            <w:r/>
            <w:r>
              <w:rPr>
                <w:rFonts w:ascii="Calibri" w:hAnsi="Calibri" w:eastAsia="Calibri"/>
                <w:b/>
                <w:sz w:val="19"/>
              </w:rPr>
              <w:t>What it tests</w:t>
            </w:r>
          </w:p>
        </w:tc>
        <w:tc>
          <w:tcPr>
            <w:tcW w:type="dxa" w:w="2580"/>
            <w:shd w:fill="E8EEF5"/>
            <w:vAlign w:val="center"/>
            <w:tcMar>
              <w:top w:w="80" w:type="dxa"/>
              <w:bottom w:w="80" w:type="dxa"/>
              <w:start w:w="120" w:type="dxa"/>
              <w:end w:w="120" w:type="dxa"/>
            </w:tcMar>
          </w:tcPr>
          <w:p>
            <w:pPr>
              <w:spacing w:after="0" w:line="276" w:lineRule="auto"/>
            </w:pPr>
            <w:r/>
            <w:r>
              <w:rPr>
                <w:rFonts w:ascii="Calibri" w:hAnsi="Calibri" w:eastAsia="Calibri"/>
                <w:b/>
                <w:sz w:val="19"/>
              </w:rPr>
              <w:t>Expected result</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python -m compileall backend\app</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Checks whether backend Python files have syntax/import compilation errors.</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finish without errors.</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npm run lint</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Checks frontend TypeScript/React code style and common errors.</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finish without ESLint errors.</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npm run build</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Builds the frontend production bundle.</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show Vite build output and finish successfully.</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docker compose config</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Validates the base Docker Compose file.</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return without an error.</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docker compose --profile app config</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Validates the full app profile services.</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return without an error.</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docker compose --profile iot config</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Validates the optional IoT profile.</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return without an error.</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Invoke-RestMethod http://localhost:8001/api/v1/health</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Checks whether FastAPI is running.</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return status success and version 0.1.0.</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Invoke-RestMethod http://localhost:8001/api/v1/health/dependencies</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Checks whether backend can reach PostgreSQL and Redis.</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return database ok and redis ok.</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docker compose --profile app exec -T backend-api alembic -c alembic.ini current</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Checks which Alembic migration is applied inside the backend container.</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show 20260610_0001 (head).</w:t>
            </w:r>
          </w:p>
        </w:tc>
      </w:tr>
      <w:tr>
        <w:tc>
          <w:tcPr>
            <w:tcW w:type="dxa" w:w="3180"/>
            <w:vAlign w:val="center"/>
            <w:tcMar>
              <w:top w:w="80" w:type="dxa"/>
              <w:bottom w:w="80" w:type="dxa"/>
              <w:start w:w="120" w:type="dxa"/>
              <w:end w:w="120" w:type="dxa"/>
            </w:tcMar>
          </w:tcPr>
          <w:p>
            <w:pPr>
              <w:spacing w:after="0" w:line="276" w:lineRule="auto"/>
            </w:pPr>
            <w:r/>
            <w:r>
              <w:rPr>
                <w:rFonts w:ascii="Calibri" w:hAnsi="Calibri" w:eastAsia="Calibri"/>
                <w:b w:val="0"/>
                <w:sz w:val="19"/>
              </w:rPr>
              <w:t>docker compose --profile iot up --build iot-simulator</w:t>
            </w:r>
          </w:p>
        </w:tc>
        <w:tc>
          <w:tcPr>
            <w:tcW w:type="dxa" w:w="3600"/>
            <w:vAlign w:val="center"/>
            <w:tcMar>
              <w:top w:w="80" w:type="dxa"/>
              <w:bottom w:w="80" w:type="dxa"/>
              <w:start w:w="120" w:type="dxa"/>
              <w:end w:w="120" w:type="dxa"/>
            </w:tcMar>
          </w:tcPr>
          <w:p>
            <w:pPr>
              <w:spacing w:after="0" w:line="276" w:lineRule="auto"/>
            </w:pPr>
            <w:r/>
            <w:r>
              <w:rPr>
                <w:rFonts w:ascii="Calibri" w:hAnsi="Calibri" w:eastAsia="Calibri"/>
                <w:b w:val="0"/>
                <w:sz w:val="19"/>
              </w:rPr>
              <w:t>Builds and runs the IoT scanner placeholder.</w:t>
            </w:r>
          </w:p>
        </w:tc>
        <w:tc>
          <w:tcPr>
            <w:tcW w:type="dxa" w:w="2580"/>
            <w:vAlign w:val="center"/>
            <w:tcMar>
              <w:top w:w="80" w:type="dxa"/>
              <w:bottom w:w="80" w:type="dxa"/>
              <w:start w:w="120" w:type="dxa"/>
              <w:end w:w="120" w:type="dxa"/>
            </w:tcMar>
          </w:tcPr>
          <w:p>
            <w:pPr>
              <w:spacing w:after="0" w:line="276" w:lineRule="auto"/>
            </w:pPr>
            <w:r/>
            <w:r>
              <w:rPr>
                <w:rFonts w:ascii="Calibri" w:hAnsi="Calibri" w:eastAsia="Calibri"/>
                <w:b w:val="0"/>
                <w:sz w:val="19"/>
              </w:rPr>
              <w:t>It should print that the simulator is ready and exit with code 0.</w:t>
            </w:r>
          </w:p>
        </w:tc>
      </w:tr>
    </w:tbl>
    <w:p/>
    <w:p>
      <w:pPr>
        <w:pStyle w:val="Heading1"/>
      </w:pPr>
      <w:r>
        <w:t>8. Exact Commands Used During Testing</w:t>
      </w:r>
    </w:p>
    <w:p>
      <w:r>
        <w:t>Frontend checks:</w:t>
      </w:r>
    </w:p>
    <w:p>
      <w:pPr>
        <w:pStyle w:val="CodeBlock"/>
      </w:pPr>
      <w:r>
        <w:rPr>
          <w:rFonts w:ascii="Consolas" w:hAnsi="Consolas"/>
          <w:sz w:val="18"/>
        </w:rPr>
        <w:t>cd C:\Users\Admin\ypgym\frontend</w:t>
        <w:br/>
        <w:t>npm run lint</w:t>
        <w:br/>
        <w:t>npm run build</w:t>
      </w:r>
    </w:p>
    <w:p>
      <w:r>
        <w:t>Backend and Docker checks:</w:t>
      </w:r>
    </w:p>
    <w:p>
      <w:pPr>
        <w:pStyle w:val="CodeBlock"/>
      </w:pPr>
      <w:r>
        <w:rPr>
          <w:rFonts w:ascii="Consolas" w:hAnsi="Consolas"/>
          <w:sz w:val="18"/>
        </w:rPr>
        <w:t>cd C:\Users\Admin\ypgym</w:t>
        <w:br/>
        <w:t>python -m compileall backend\app</w:t>
        <w:br/>
        <w:t>docker compose config</w:t>
        <w:br/>
        <w:t>docker compose --profile app config</w:t>
        <w:br/>
        <w:t>docker compose --profile iot config</w:t>
      </w:r>
    </w:p>
    <w:p>
      <w:r>
        <w:t>Runtime checks:</w:t>
      </w:r>
    </w:p>
    <w:p>
      <w:pPr>
        <w:pStyle w:val="CodeBlock"/>
      </w:pPr>
      <w:r>
        <w:rPr>
          <w:rFonts w:ascii="Consolas" w:hAnsi="Consolas"/>
          <w:sz w:val="18"/>
        </w:rPr>
        <w:t>docker compose --profile app up -d --build</w:t>
        <w:br/>
        <w:t>Invoke-RestMethod http://localhost:8001/api/v1/health</w:t>
        <w:br/>
        <w:t>Invoke-RestMethod http://localhost:8001/api/v1/health/dependencies</w:t>
        <w:br/>
        <w:t>docker compose --profile app exec -T backend-api alembic -c alembic.ini current</w:t>
      </w:r>
    </w:p>
    <w:p>
      <w:pPr>
        <w:pStyle w:val="Heading1"/>
      </w:pPr>
      <w:r>
        <w:t>9. Results From Today's Testing</w:t>
      </w:r>
    </w:p>
    <w:p>
      <w:pPr>
        <w:pStyle w:val="ListBullet"/>
        <w:spacing w:after="80" w:line="300" w:lineRule="auto"/>
      </w:pPr>
      <w:r>
        <w:rPr>
          <w:rFonts w:ascii="Calibri" w:hAnsi="Calibri"/>
          <w:sz w:val="22"/>
        </w:rPr>
        <w:t>Frontend lint passed.</w:t>
      </w:r>
    </w:p>
    <w:p>
      <w:pPr>
        <w:pStyle w:val="ListBullet"/>
        <w:spacing w:after="80" w:line="300" w:lineRule="auto"/>
      </w:pPr>
      <w:r>
        <w:rPr>
          <w:rFonts w:ascii="Calibri" w:hAnsi="Calibri"/>
          <w:sz w:val="22"/>
        </w:rPr>
        <w:t>Frontend production build passed.</w:t>
      </w:r>
    </w:p>
    <w:p>
      <w:pPr>
        <w:pStyle w:val="ListBullet"/>
        <w:spacing w:after="80" w:line="300" w:lineRule="auto"/>
      </w:pPr>
      <w:r>
        <w:rPr>
          <w:rFonts w:ascii="Calibri" w:hAnsi="Calibri"/>
          <w:sz w:val="22"/>
        </w:rPr>
        <w:t>Backend Python compile check passed.</w:t>
      </w:r>
    </w:p>
    <w:p>
      <w:pPr>
        <w:pStyle w:val="ListBullet"/>
        <w:spacing w:after="80" w:line="300" w:lineRule="auto"/>
      </w:pPr>
      <w:r>
        <w:rPr>
          <w:rFonts w:ascii="Calibri" w:hAnsi="Calibri"/>
          <w:sz w:val="22"/>
        </w:rPr>
        <w:t>Docker Compose base, app profile, and IoT profile validated.</w:t>
      </w:r>
    </w:p>
    <w:p>
      <w:pPr>
        <w:pStyle w:val="ListBullet"/>
        <w:spacing w:after="80" w:line="300" w:lineRule="auto"/>
      </w:pPr>
      <w:r>
        <w:rPr>
          <w:rFonts w:ascii="Calibri" w:hAnsi="Calibri"/>
          <w:sz w:val="22"/>
        </w:rPr>
        <w:t>PostgreSQL container started and reported healthy.</w:t>
      </w:r>
    </w:p>
    <w:p>
      <w:pPr>
        <w:pStyle w:val="ListBullet"/>
        <w:spacing w:after="80" w:line="300" w:lineRule="auto"/>
      </w:pPr>
      <w:r>
        <w:rPr>
          <w:rFonts w:ascii="Calibri" w:hAnsi="Calibri"/>
          <w:sz w:val="22"/>
        </w:rPr>
        <w:t>Redis cache container started and reported healthy.</w:t>
      </w:r>
    </w:p>
    <w:p>
      <w:pPr>
        <w:pStyle w:val="ListBullet"/>
        <w:spacing w:after="80" w:line="300" w:lineRule="auto"/>
      </w:pPr>
      <w:r>
        <w:rPr>
          <w:rFonts w:ascii="Calibri" w:hAnsi="Calibri"/>
          <w:sz w:val="22"/>
        </w:rPr>
        <w:t>Backend API container started on http://localhost:8001.</w:t>
      </w:r>
    </w:p>
    <w:p>
      <w:pPr>
        <w:pStyle w:val="ListBullet"/>
        <w:spacing w:after="80" w:line="300" w:lineRule="auto"/>
      </w:pPr>
      <w:r>
        <w:rPr>
          <w:rFonts w:ascii="Calibri" w:hAnsi="Calibri"/>
          <w:sz w:val="22"/>
        </w:rPr>
        <w:t>Frontend web container started on http://localhost:5174.</w:t>
      </w:r>
    </w:p>
    <w:p>
      <w:pPr>
        <w:pStyle w:val="ListBullet"/>
        <w:spacing w:after="80" w:line="300" w:lineRule="auto"/>
      </w:pPr>
      <w:r>
        <w:rPr>
          <w:rFonts w:ascii="Calibri" w:hAnsi="Calibri"/>
          <w:sz w:val="22"/>
        </w:rPr>
        <w:t>Celery worker and Celery Beat started and connected to Redis.</w:t>
      </w:r>
    </w:p>
    <w:p>
      <w:pPr>
        <w:pStyle w:val="ListBullet"/>
        <w:spacing w:after="80" w:line="300" w:lineRule="auto"/>
      </w:pPr>
      <w:r>
        <w:rPr>
          <w:rFonts w:ascii="Calibri" w:hAnsi="Calibri"/>
          <w:sz w:val="22"/>
        </w:rPr>
        <w:t>Alembic migration status showed 20260610_0001 (head).</w:t>
      </w:r>
    </w:p>
    <w:p>
      <w:pPr>
        <w:pStyle w:val="ListBullet"/>
        <w:spacing w:after="80" w:line="300" w:lineRule="auto"/>
      </w:pPr>
      <w:r>
        <w:rPr>
          <w:rFonts w:ascii="Calibri" w:hAnsi="Calibri"/>
          <w:sz w:val="22"/>
        </w:rPr>
        <w:t>Backend dependency health returned database ok and redis ok.</w:t>
      </w:r>
    </w:p>
    <w:p>
      <w:pPr>
        <w:pStyle w:val="ListBullet"/>
        <w:spacing w:after="80" w:line="300" w:lineRule="auto"/>
      </w:pPr>
      <w:r>
        <w:rPr>
          <w:rFonts w:ascii="Calibri" w:hAnsi="Calibri"/>
          <w:sz w:val="22"/>
        </w:rPr>
        <w:t>IoT simulator placeholder built, ran, printed readiness, and exited successfully.</w:t>
      </w:r>
    </w:p>
    <w:p>
      <w:pPr>
        <w:pStyle w:val="Heading1"/>
      </w:pPr>
      <w:r>
        <w:t>10. Notes for Lecturer or Reviewer</w:t>
      </w:r>
    </w:p>
    <w:p>
      <w:r>
        <w:t>This milestone is foundation work. The app is not feature-complete yet, but the base is now in the correct direction for the revised brief. The most important achievement is that the project now has a working PostgreSQL and Redis backend foundation, a repeatable migration system, separated Docker services, and a design-driven route map for future UI implementation.</w:t>
      </w:r>
    </w:p>
    <w:p>
      <w:r>
        <w:t>There are still old Day 1 to Day 4 containers from the earlier scaffold on the machine. They were left untouched to avoid deleting previous work. The revised stack uses different names and ports so it can run safely beside them.</w:t>
      </w:r>
    </w:p>
    <w:p>
      <w:pPr>
        <w:pStyle w:val="Heading1"/>
      </w:pPr>
      <w:r>
        <w:t>11. What Is Not Done Yet</w:t>
      </w:r>
    </w:p>
    <w:p>
      <w:pPr>
        <w:pStyle w:val="ListBullet"/>
        <w:spacing w:after="80" w:line="300" w:lineRule="auto"/>
      </w:pPr>
      <w:r>
        <w:rPr>
          <w:rFonts w:ascii="Calibri" w:hAnsi="Calibri"/>
          <w:sz w:val="22"/>
        </w:rPr>
        <w:t>Real user registration, login, JWT authentication, and email verification are not implemented yet.</w:t>
      </w:r>
    </w:p>
    <w:p>
      <w:pPr>
        <w:pStyle w:val="ListBullet"/>
        <w:spacing w:after="80" w:line="300" w:lineRule="auto"/>
      </w:pPr>
      <w:r>
        <w:rPr>
          <w:rFonts w:ascii="Calibri" w:hAnsi="Calibri"/>
          <w:sz w:val="22"/>
        </w:rPr>
        <w:t>Real PostgreSQL tables for users, memberships, payments, classes, attendance, and audit logs start from Day 11.</w:t>
      </w:r>
    </w:p>
    <w:p>
      <w:pPr>
        <w:pStyle w:val="ListBullet"/>
        <w:spacing w:after="80" w:line="300" w:lineRule="auto"/>
      </w:pPr>
      <w:r>
        <w:rPr>
          <w:rFonts w:ascii="Calibri" w:hAnsi="Calibri"/>
          <w:sz w:val="22"/>
        </w:rPr>
        <w:t>Real admin CRM, class booking, QR check-in, billing, and dashboard data are not implemented yet.</w:t>
      </w:r>
    </w:p>
    <w:p>
      <w:pPr>
        <w:pStyle w:val="ListBullet"/>
        <w:spacing w:after="80" w:line="300" w:lineRule="auto"/>
      </w:pPr>
      <w:r>
        <w:rPr>
          <w:rFonts w:ascii="Calibri" w:hAnsi="Calibri"/>
          <w:sz w:val="22"/>
        </w:rPr>
        <w:t>The Expo mobile app source tree does not exist yet, so mobile error-state work is documented but not coded as mobile components yet.</w:t>
      </w:r>
    </w:p>
    <w:p>
      <w:pPr>
        <w:pStyle w:val="ListBullet"/>
        <w:spacing w:after="80" w:line="300" w:lineRule="auto"/>
      </w:pPr>
      <w:r>
        <w:rPr>
          <w:rFonts w:ascii="Calibri" w:hAnsi="Calibri"/>
          <w:sz w:val="22"/>
        </w:rPr>
        <w:t>The AI chatbot is intentionally excluded from the 60-day main-app plan and can be implemented after the core app is complete.</w:t>
      </w:r>
    </w:p>
    <w:p>
      <w:pPr>
        <w:pStyle w:val="Heading1"/>
      </w:pPr>
      <w:r>
        <w:t>12. Recommended Next Step</w:t>
      </w:r>
    </w:p>
    <w:p>
      <w:r>
        <w:t>Continue with Day 11. The next coding task should create the first real PostgreSQL models and migration for users, email verification, password reset, membership plans, user memberships, and system configuration. After that, Day 12 onward can implement register, login, verification, and forgot-password flows using the design architecture screens as the visual reference.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tedNote"/>
      <w:jc w:val="center"/>
    </w:pPr>
    <w:r>
      <w:t>Prepared for project review and implementation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tedNote"/>
      <w:jc w:val="right"/>
    </w:pPr>
    <w:r>
      <w:t>YPGym Project Review - Day 5 to Day 10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64" w:lineRule="auto"/>
      <w:ind w:left="259"/>
    </w:pPr>
    <w:rPr>
      <w:rFonts w:ascii="Consolas" w:hAnsi="Consolas" w:eastAsia="Consolas"/>
      <w:sz w:val="18"/>
    </w:rPr>
  </w:style>
  <w:style w:type="paragraph" w:customStyle="1" w:styleId="MutedNote">
    <w:name w:val="Muted Note"/>
    <w:pPr>
      <w:spacing w:after="120" w:line="276" w:lineRule="auto"/>
    </w:pPr>
    <w:rPr>
      <w:rFonts w:ascii="Calibri" w:hAnsi="Calibri" w:eastAsia="Calibri"/>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