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92D6" w14:textId="0E89E045" w:rsidR="00285FFB" w:rsidRPr="00EB7298" w:rsidRDefault="00285FFB" w:rsidP="00444D02">
      <w:pPr>
        <w:tabs>
          <w:tab w:val="center" w:pos="4536"/>
        </w:tabs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104566843"/>
      <w:r w:rsidRPr="00EB72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CỘNG HÒA XÃ HỘI CHỦ NGHĨA VIỆT NAM</w:t>
      </w:r>
    </w:p>
    <w:p w14:paraId="014F0685" w14:textId="77777777" w:rsidR="00285FFB" w:rsidRPr="00EB7298" w:rsidRDefault="00285FFB" w:rsidP="00444D02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EB72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Độc</w:t>
      </w:r>
      <w:proofErr w:type="spellEnd"/>
      <w:r w:rsidRPr="00EB72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EB72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lập</w:t>
      </w:r>
      <w:proofErr w:type="spellEnd"/>
      <w:r w:rsidRPr="00EB72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– </w:t>
      </w:r>
      <w:proofErr w:type="spellStart"/>
      <w:r w:rsidRPr="00EB72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Tự</w:t>
      </w:r>
      <w:proofErr w:type="spellEnd"/>
      <w:r w:rsidRPr="00EB72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Do – </w:t>
      </w:r>
      <w:proofErr w:type="spellStart"/>
      <w:r w:rsidRPr="00EB72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Hạnh</w:t>
      </w:r>
      <w:proofErr w:type="spellEnd"/>
      <w:r w:rsidRPr="00EB72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Phúc</w:t>
      </w:r>
    </w:p>
    <w:p w14:paraId="4FB9C9A6" w14:textId="77777777" w:rsidR="00285FFB" w:rsidRPr="00EB7298" w:rsidRDefault="00285FFB" w:rsidP="00444D02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579BB07" w14:textId="77777777" w:rsidR="00285FFB" w:rsidRPr="00D15F69" w:rsidRDefault="00285FFB" w:rsidP="00444D02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15F6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HỢP ĐỒNG VAY VỐN</w:t>
      </w:r>
    </w:p>
    <w:p w14:paraId="4ABBFE27" w14:textId="77777777" w:rsidR="00285FFB" w:rsidRPr="00EB7298" w:rsidRDefault="00285FFB" w:rsidP="00285FFB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A92E2D" w14:textId="5FBC3D29" w:rsidR="0068345E" w:rsidRPr="001433CD" w:rsidRDefault="0068345E" w:rsidP="0068345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41430">
        <w:rPr>
          <w:rFonts w:ascii="Times New Roman" w:hAnsi="Times New Roman" w:cs="Times New Roman"/>
          <w:i/>
          <w:color w:val="000000"/>
          <w:sz w:val="24"/>
          <w:szCs w:val="24"/>
        </w:rPr>
        <w:t>Ngày</w:t>
      </w:r>
      <w:proofErr w:type="spellEnd"/>
      <w:r w:rsidRPr="0054143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BF70A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541430">
        <w:rPr>
          <w:rFonts w:ascii="Times New Roman" w:hAnsi="Times New Roman" w:cs="Times New Roman"/>
          <w:color w:val="000000" w:themeColor="text1"/>
          <w:sz w:val="24"/>
          <w:szCs w:val="24"/>
        </w:rPr>
        <w:t>CREATED_DATE</w:t>
      </w:r>
      <w:r w:rsidR="00BF70A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1433C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1433CD">
        <w:rPr>
          <w:rFonts w:ascii="Times New Roman" w:hAnsi="Times New Roman" w:cs="Times New Roman"/>
          <w:i/>
          <w:color w:val="000000"/>
          <w:sz w:val="24"/>
          <w:szCs w:val="24"/>
        </w:rPr>
        <w:t>tại</w:t>
      </w:r>
      <w:proofErr w:type="spellEnd"/>
      <w:r w:rsidRPr="001433C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C17838">
        <w:rPr>
          <w:rFonts w:ascii="Times New Roman" w:hAnsi="Times New Roman" w:cs="Times New Roman"/>
          <w:i/>
          <w:color w:val="000000"/>
          <w:sz w:val="24"/>
          <w:szCs w:val="24"/>
        </w:rPr>
        <w:t>{ISSUER_NAME}</w:t>
      </w:r>
      <w:r w:rsidRPr="001433C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1433CD">
        <w:rPr>
          <w:rFonts w:ascii="Times New Roman" w:hAnsi="Times New Roman" w:cs="Times New Roman"/>
          <w:i/>
          <w:color w:val="000000"/>
          <w:sz w:val="24"/>
          <w:szCs w:val="24"/>
        </w:rPr>
        <w:t>chúng</w:t>
      </w:r>
      <w:proofErr w:type="spellEnd"/>
      <w:r w:rsidRPr="001433C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1433CD">
        <w:rPr>
          <w:rFonts w:ascii="Times New Roman" w:hAnsi="Times New Roman" w:cs="Times New Roman"/>
          <w:i/>
          <w:color w:val="000000"/>
          <w:sz w:val="24"/>
          <w:szCs w:val="24"/>
        </w:rPr>
        <w:t>tôi</w:t>
      </w:r>
      <w:proofErr w:type="spellEnd"/>
      <w:r w:rsidRPr="001433C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1433CD">
        <w:rPr>
          <w:rFonts w:ascii="Times New Roman" w:hAnsi="Times New Roman" w:cs="Times New Roman"/>
          <w:i/>
          <w:color w:val="000000"/>
          <w:sz w:val="24"/>
          <w:szCs w:val="24"/>
        </w:rPr>
        <w:t>gồm</w:t>
      </w:r>
      <w:proofErr w:type="spellEnd"/>
      <w:r w:rsidRPr="001433C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1433CD">
        <w:rPr>
          <w:rFonts w:ascii="Times New Roman" w:hAnsi="Times New Roman" w:cs="Times New Roman"/>
          <w:i/>
          <w:color w:val="000000"/>
          <w:sz w:val="24"/>
          <w:szCs w:val="24"/>
        </w:rPr>
        <w:t>có</w:t>
      </w:r>
      <w:proofErr w:type="spellEnd"/>
      <w:r w:rsidRPr="001433CD"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</w:p>
    <w:p w14:paraId="245D668A" w14:textId="53146F87" w:rsidR="0068345E" w:rsidRPr="001433CD" w:rsidRDefault="0068345E" w:rsidP="006834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3C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I.   BÊN VAY: </w:t>
      </w:r>
      <w:r w:rsidR="003205AC">
        <w:rPr>
          <w:rFonts w:ascii="Times New Roman" w:hAnsi="Times New Roman" w:cs="Times New Roman"/>
          <w:b/>
          <w:color w:val="000000"/>
          <w:sz w:val="24"/>
          <w:szCs w:val="24"/>
        </w:rPr>
        <w:t>{ISSUER_NAME</w:t>
      </w:r>
      <w:r w:rsidR="00373115">
        <w:rPr>
          <w:rFonts w:ascii="Times New Roman" w:hAnsi="Times New Roman" w:cs="Times New Roman"/>
          <w:b/>
          <w:color w:val="000000"/>
          <w:sz w:val="24"/>
          <w:szCs w:val="24"/>
        </w:rPr>
        <w:t>_UP</w:t>
      </w:r>
      <w:r w:rsidR="003205AC">
        <w:rPr>
          <w:rFonts w:ascii="Times New Roman" w:hAnsi="Times New Roman" w:cs="Times New Roman"/>
          <w:b/>
          <w:color w:val="000000"/>
          <w:sz w:val="24"/>
          <w:szCs w:val="24"/>
        </w:rPr>
        <w:t>}</w:t>
      </w:r>
    </w:p>
    <w:tbl>
      <w:tblPr>
        <w:tblW w:w="9994" w:type="dxa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283"/>
        <w:gridCol w:w="5915"/>
        <w:gridCol w:w="1020"/>
      </w:tblGrid>
      <w:tr w:rsidR="0068345E" w:rsidRPr="001433CD" w14:paraId="2327DED0" w14:textId="77777777" w:rsidTr="00D3746A">
        <w:tc>
          <w:tcPr>
            <w:tcW w:w="27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38F14" w14:textId="77777777" w:rsidR="0068345E" w:rsidRPr="001433CD" w:rsidRDefault="0068345E" w:rsidP="00DF62B5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liên</w:t>
            </w:r>
            <w:proofErr w:type="spellEnd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CF08" w14:textId="77777777" w:rsidR="0068345E" w:rsidRPr="001433CD" w:rsidRDefault="0068345E" w:rsidP="00DF62B5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9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71470" w14:textId="4156B061" w:rsidR="0068345E" w:rsidRPr="001433CD" w:rsidRDefault="003205AC" w:rsidP="00DF62B5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{ISSUER_ADDRESS}</w:t>
            </w:r>
          </w:p>
        </w:tc>
      </w:tr>
      <w:tr w:rsidR="0068345E" w:rsidRPr="001433CD" w14:paraId="73512CE7" w14:textId="77777777" w:rsidTr="00D3746A">
        <w:tc>
          <w:tcPr>
            <w:tcW w:w="27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B8809" w14:textId="77777777" w:rsidR="0068345E" w:rsidRPr="001433CD" w:rsidRDefault="0068345E" w:rsidP="00DF62B5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2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9D22" w14:textId="77777777" w:rsidR="0068345E" w:rsidRPr="001433CD" w:rsidRDefault="0068345E" w:rsidP="00DF62B5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9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EEF5A" w14:textId="2F1852DF" w:rsidR="0068345E" w:rsidRPr="001433CD" w:rsidRDefault="003205AC" w:rsidP="003205AC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{ISSUER_PHONE}</w:t>
            </w:r>
            <w:r w:rsidR="0068345E"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Fax: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{ISSUER_FAX}</w:t>
            </w:r>
          </w:p>
        </w:tc>
      </w:tr>
      <w:tr w:rsidR="0068345E" w:rsidRPr="001433CD" w14:paraId="53799C0A" w14:textId="77777777" w:rsidTr="00D3746A">
        <w:tc>
          <w:tcPr>
            <w:tcW w:w="27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98A0" w14:textId="77777777" w:rsidR="0068345E" w:rsidRPr="001433CD" w:rsidRDefault="0068345E" w:rsidP="00DF62B5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Giấy</w:t>
            </w:r>
            <w:proofErr w:type="spellEnd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ĐKKD</w:t>
            </w:r>
          </w:p>
        </w:tc>
        <w:tc>
          <w:tcPr>
            <w:tcW w:w="2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FEB98" w14:textId="77777777" w:rsidR="0068345E" w:rsidRPr="001433CD" w:rsidRDefault="0068345E" w:rsidP="00DF62B5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9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E0C46" w14:textId="57267DE6" w:rsidR="0068345E" w:rsidRPr="001433CD" w:rsidRDefault="0068345E" w:rsidP="003205AC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20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{ISSUER_LICENSE_NO}</w:t>
            </w:r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20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 {ISSUER_LICENSE_ISSUER} </w:t>
            </w: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lần</w:t>
            </w:r>
            <w:proofErr w:type="spellEnd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đầ</w:t>
            </w:r>
            <w:r w:rsidR="00320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proofErr w:type="spellEnd"/>
            <w:r w:rsidR="00320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20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="00320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{ISSUER_LICENSE_DATE}</w:t>
            </w:r>
          </w:p>
        </w:tc>
      </w:tr>
      <w:tr w:rsidR="0068345E" w:rsidRPr="001433CD" w14:paraId="3A2E8083" w14:textId="77777777" w:rsidTr="00D3746A">
        <w:tc>
          <w:tcPr>
            <w:tcW w:w="27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417D3" w14:textId="77777777" w:rsidR="0068345E" w:rsidRPr="001433CD" w:rsidRDefault="0068345E" w:rsidP="00DF62B5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Bên</w:t>
            </w:r>
            <w:proofErr w:type="spellEnd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Vay</w:t>
            </w:r>
            <w:proofErr w:type="spellEnd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04F2" w14:textId="77777777" w:rsidR="0068345E" w:rsidRPr="001433CD" w:rsidRDefault="0068345E" w:rsidP="00DF62B5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9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1852B" w14:textId="620A82BF" w:rsidR="0068345E" w:rsidRPr="001433CD" w:rsidRDefault="003205AC" w:rsidP="003205AC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{ISSUER_REP_NAME}</w:t>
            </w:r>
          </w:p>
        </w:tc>
      </w:tr>
      <w:tr w:rsidR="0068345E" w:rsidRPr="001433CD" w14:paraId="12BBB867" w14:textId="77777777" w:rsidTr="00D3746A">
        <w:tc>
          <w:tcPr>
            <w:tcW w:w="27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4FCC8" w14:textId="77777777" w:rsidR="0068345E" w:rsidRPr="001433CD" w:rsidRDefault="0068345E" w:rsidP="00DF62B5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23A4E" w14:textId="77777777" w:rsidR="0068345E" w:rsidRPr="001433CD" w:rsidRDefault="0068345E" w:rsidP="00DF62B5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33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9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39E47" w14:textId="35A7248C" w:rsidR="0068345E" w:rsidRPr="001433CD" w:rsidRDefault="003205AC" w:rsidP="00DF62B5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{ISSUER_REP_POSITION}</w:t>
            </w:r>
          </w:p>
        </w:tc>
      </w:tr>
      <w:tr w:rsidR="0068345E" w:rsidRPr="001433CD" w14:paraId="35923628" w14:textId="77777777" w:rsidTr="00D3746A">
        <w:trPr>
          <w:gridAfter w:val="1"/>
          <w:wAfter w:w="1020" w:type="dxa"/>
          <w:trHeight w:val="553"/>
        </w:trPr>
        <w:tc>
          <w:tcPr>
            <w:tcW w:w="897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FA25" w14:textId="77777777" w:rsidR="0068345E" w:rsidRPr="001433CD" w:rsidRDefault="0068345E" w:rsidP="00DF62B5">
            <w:p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1433C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(</w:t>
            </w:r>
            <w:proofErr w:type="spellStart"/>
            <w:r w:rsidRPr="001433C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Sau</w:t>
            </w:r>
            <w:proofErr w:type="spellEnd"/>
            <w:r w:rsidRPr="001433C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433C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đây</w:t>
            </w:r>
            <w:proofErr w:type="spellEnd"/>
            <w:r w:rsidRPr="001433C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433C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gọi</w:t>
            </w:r>
            <w:proofErr w:type="spellEnd"/>
            <w:r w:rsidRPr="001433C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433C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tắt</w:t>
            </w:r>
            <w:proofErr w:type="spellEnd"/>
            <w:r w:rsidRPr="001433C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 là “</w:t>
            </w:r>
            <w:proofErr w:type="spellStart"/>
            <w:r w:rsidRPr="001433C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Bên</w:t>
            </w:r>
            <w:proofErr w:type="spellEnd"/>
            <w:r w:rsidRPr="001433C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 A”) </w:t>
            </w:r>
          </w:p>
        </w:tc>
      </w:tr>
    </w:tbl>
    <w:p w14:paraId="45B0EDB2" w14:textId="79B271F5" w:rsidR="00344DE7" w:rsidRPr="00EB7298" w:rsidRDefault="00344DE7" w:rsidP="00344DE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72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II.  BÊN CHO VAY: </w:t>
      </w:r>
      <w:r w:rsidR="00BF70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{NAME}</w:t>
      </w:r>
      <w:r w:rsidRPr="00EB72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9882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2"/>
        <w:gridCol w:w="270"/>
        <w:gridCol w:w="6744"/>
        <w:gridCol w:w="6"/>
      </w:tblGrid>
      <w:tr w:rsidR="00EB7298" w:rsidRPr="00EB7298" w14:paraId="7D7449DD" w14:textId="77777777" w:rsidTr="00786994">
        <w:trPr>
          <w:gridAfter w:val="1"/>
          <w:wAfter w:w="6" w:type="dxa"/>
        </w:trPr>
        <w:tc>
          <w:tcPr>
            <w:tcW w:w="9876" w:type="dxa"/>
            <w:gridSpan w:val="3"/>
          </w:tcPr>
          <w:p w14:paraId="2F9B8CC6" w14:textId="19802AC3" w:rsidR="00344DE7" w:rsidRPr="00EB7298" w:rsidRDefault="00344DE7" w:rsidP="00CC5F5B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CMND/</w:t>
            </w: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Hộ</w:t>
            </w:r>
            <w:proofErr w:type="spellEnd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chiếu</w:t>
            </w:r>
            <w:proofErr w:type="spellEnd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/ĐKKD:</w:t>
            </w:r>
            <w:r w:rsidR="001F53BA"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F70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CARD_NO</w:t>
            </w:r>
            <w:r w:rsidR="00BF70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cấp</w:t>
            </w:r>
            <w:proofErr w:type="spellEnd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BF70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CARD_DATE</w:t>
            </w:r>
            <w:r w:rsidR="00BF70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Nơi</w:t>
            </w:r>
            <w:proofErr w:type="spellEnd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cấp</w:t>
            </w:r>
            <w:proofErr w:type="spellEnd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BF70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CARD_ISSUER</w:t>
            </w:r>
            <w:r w:rsidR="00BF70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1D2689" w:rsidRPr="00EB7298" w14:paraId="4B19D5E3" w14:textId="77777777" w:rsidTr="00786994">
        <w:tc>
          <w:tcPr>
            <w:tcW w:w="2862" w:type="dxa"/>
          </w:tcPr>
          <w:p w14:paraId="2BC25129" w14:textId="64F3D8FA" w:rsidR="001D2689" w:rsidRPr="00EB7298" w:rsidRDefault="001D2689" w:rsidP="00CC5F5B">
            <w:pPr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Điện</w:t>
            </w:r>
            <w:proofErr w:type="spellEnd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270" w:type="dxa"/>
          </w:tcPr>
          <w:p w14:paraId="58B06A15" w14:textId="0F0A72B4" w:rsidR="001D2689" w:rsidRPr="00EB7298" w:rsidRDefault="001D2689" w:rsidP="00CC5F5B">
            <w:pPr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750" w:type="dxa"/>
            <w:gridSpan w:val="2"/>
          </w:tcPr>
          <w:p w14:paraId="02E29FD1" w14:textId="2BD5CB80" w:rsidR="001D2689" w:rsidRDefault="001D2689" w:rsidP="00786994">
            <w:pPr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{PHONE}</w:t>
            </w:r>
          </w:p>
        </w:tc>
      </w:tr>
      <w:tr w:rsidR="00EB7298" w:rsidRPr="00EB7298" w14:paraId="1EAB4E95" w14:textId="77777777" w:rsidTr="00786994">
        <w:tc>
          <w:tcPr>
            <w:tcW w:w="2862" w:type="dxa"/>
          </w:tcPr>
          <w:p w14:paraId="71429D7E" w14:textId="77777777" w:rsidR="00344DE7" w:rsidRPr="00EB7298" w:rsidRDefault="00344DE7" w:rsidP="00CC5F5B">
            <w:pPr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Địa</w:t>
            </w:r>
            <w:proofErr w:type="spellEnd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270" w:type="dxa"/>
          </w:tcPr>
          <w:p w14:paraId="23A0CE81" w14:textId="77777777" w:rsidR="00344DE7" w:rsidRPr="00EB7298" w:rsidRDefault="00344DE7" w:rsidP="00CC5F5B">
            <w:pPr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750" w:type="dxa"/>
            <w:gridSpan w:val="2"/>
          </w:tcPr>
          <w:p w14:paraId="6B1EFBB5" w14:textId="285B5913" w:rsidR="00344DE7" w:rsidRPr="00EB7298" w:rsidRDefault="00BF70A1" w:rsidP="00CC5F5B">
            <w:pPr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="00344DE7"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EB7298" w:rsidRPr="00EB7298" w14:paraId="0382D8BD" w14:textId="77777777" w:rsidTr="00786994">
        <w:tc>
          <w:tcPr>
            <w:tcW w:w="2862" w:type="dxa"/>
          </w:tcPr>
          <w:p w14:paraId="12BB39E7" w14:textId="77777777" w:rsidR="00344DE7" w:rsidRPr="00EB7298" w:rsidRDefault="00344DE7" w:rsidP="00CC5F5B">
            <w:pPr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Tài </w:t>
            </w: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khoản</w:t>
            </w:r>
            <w:proofErr w:type="spellEnd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ngân</w:t>
            </w:r>
            <w:proofErr w:type="spellEnd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70" w:type="dxa"/>
          </w:tcPr>
          <w:p w14:paraId="33A8FD1B" w14:textId="77777777" w:rsidR="00344DE7" w:rsidRPr="00EB7298" w:rsidRDefault="00344DE7" w:rsidP="00CC5F5B">
            <w:pPr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750" w:type="dxa"/>
            <w:gridSpan w:val="2"/>
          </w:tcPr>
          <w:p w14:paraId="7502B266" w14:textId="272A788E" w:rsidR="00344DE7" w:rsidRPr="003205AC" w:rsidRDefault="00BF70A1" w:rsidP="00A42F09">
            <w:pPr>
              <w:tabs>
                <w:tab w:val="left" w:pos="270"/>
              </w:tabs>
              <w:spacing w:line="288" w:lineRule="auto"/>
              <w:ind w:left="-33" w:right="-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="00344DE7"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BANK_ACC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r w:rsidR="00344DE7"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44DE7"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tại</w:t>
            </w:r>
            <w:proofErr w:type="spellEnd"/>
            <w:r w:rsidR="00344DE7"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="00344DE7"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BANK_NAME</w:t>
            </w:r>
            <w:r w:rsidR="00A42F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r w:rsidR="004B25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CN</w:t>
            </w:r>
            <w:r w:rsidR="00A42F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="004B25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BANK_BRANCH}</w:t>
            </w:r>
          </w:p>
        </w:tc>
      </w:tr>
      <w:tr w:rsidR="00EB7298" w:rsidRPr="00EB7298" w14:paraId="6F272131" w14:textId="77777777" w:rsidTr="00786994">
        <w:tc>
          <w:tcPr>
            <w:tcW w:w="2862" w:type="dxa"/>
          </w:tcPr>
          <w:p w14:paraId="101FB846" w14:textId="4FF9E766" w:rsidR="00344DE7" w:rsidRPr="00EB7298" w:rsidRDefault="00344DE7" w:rsidP="00CC5F5B">
            <w:pPr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Nhân</w:t>
            </w:r>
            <w:proofErr w:type="spellEnd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</w:t>
            </w:r>
            <w:proofErr w:type="spellEnd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ấn</w:t>
            </w:r>
            <w:proofErr w:type="spellEnd"/>
          </w:p>
        </w:tc>
        <w:tc>
          <w:tcPr>
            <w:tcW w:w="270" w:type="dxa"/>
          </w:tcPr>
          <w:p w14:paraId="403EF529" w14:textId="4DB9655D" w:rsidR="00344DE7" w:rsidRPr="00EB7298" w:rsidRDefault="00344DE7" w:rsidP="00CC5F5B">
            <w:pPr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750" w:type="dxa"/>
            <w:gridSpan w:val="2"/>
          </w:tcPr>
          <w:p w14:paraId="7840F5EB" w14:textId="1DABA776" w:rsidR="00344DE7" w:rsidRPr="00EB7298" w:rsidRDefault="00BF70A1" w:rsidP="00CC5F5B">
            <w:pPr>
              <w:spacing w:line="312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="00344DE7"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USER_NAME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r w:rsidR="00344DE7"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            </w:t>
            </w:r>
            <w:proofErr w:type="spellStart"/>
            <w:r w:rsidR="00344DE7"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Phòng</w:t>
            </w:r>
            <w:proofErr w:type="spellEnd"/>
            <w:r w:rsidR="00344DE7"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ban: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="00344DE7" w:rsidRPr="00EB7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4B315980" w14:textId="77777777" w:rsidR="00344DE7" w:rsidRPr="00EB7298" w:rsidRDefault="00344DE7" w:rsidP="00344DE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00EB729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fr-BE"/>
        </w:rPr>
        <w:t>(</w:t>
      </w:r>
      <w:proofErr w:type="spellStart"/>
      <w:r w:rsidRPr="00EB729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fr-BE"/>
        </w:rPr>
        <w:t>Sau</w:t>
      </w:r>
      <w:proofErr w:type="spellEnd"/>
      <w:r w:rsidRPr="00EB729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fr-BE"/>
        </w:rPr>
        <w:t>đây</w:t>
      </w:r>
      <w:proofErr w:type="spellEnd"/>
      <w:r w:rsidRPr="00EB729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fr-BE"/>
        </w:rPr>
        <w:t>gọi</w:t>
      </w:r>
      <w:proofErr w:type="spellEnd"/>
      <w:r w:rsidRPr="00EB729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fr-BE"/>
        </w:rPr>
        <w:t>tắt</w:t>
      </w:r>
      <w:proofErr w:type="spellEnd"/>
      <w:r w:rsidRPr="00EB729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fr-BE"/>
        </w:rPr>
        <w:t xml:space="preserve"> là “</w:t>
      </w:r>
      <w:proofErr w:type="spellStart"/>
      <w:r w:rsidRPr="00EB729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fr-BE"/>
        </w:rPr>
        <w:t>Bên</w:t>
      </w:r>
      <w:proofErr w:type="spellEnd"/>
      <w:r w:rsidRPr="00EB729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fr-BE"/>
        </w:rPr>
        <w:t xml:space="preserve"> B”)</w:t>
      </w:r>
    </w:p>
    <w:p w14:paraId="3C5FEC0C" w14:textId="77777777" w:rsidR="00285FFB" w:rsidRPr="00EB7298" w:rsidRDefault="00285FFB" w:rsidP="00285FFB">
      <w:pPr>
        <w:spacing w:before="80"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Bên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A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và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Bên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B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sau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đây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được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gọi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chung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là </w:t>
      </w:r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>“</w:t>
      </w:r>
      <w:proofErr w:type="spellStart"/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>Các</w:t>
      </w:r>
      <w:proofErr w:type="spellEnd"/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>Bên</w:t>
      </w:r>
      <w:proofErr w:type="spellEnd"/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 xml:space="preserve">” “Hai </w:t>
      </w:r>
      <w:proofErr w:type="spellStart"/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>Bên</w:t>
      </w:r>
      <w:proofErr w:type="spellEnd"/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 xml:space="preserve">” </w:t>
      </w:r>
      <w:proofErr w:type="spellStart"/>
      <w:r w:rsidRPr="00EB7298">
        <w:rPr>
          <w:rFonts w:ascii="Times New Roman" w:hAnsi="Times New Roman" w:cs="Times New Roman"/>
          <w:i/>
          <w:color w:val="000000" w:themeColor="text1"/>
          <w:sz w:val="24"/>
          <w:szCs w:val="24"/>
          <w:lang w:val="fr-BE"/>
        </w:rPr>
        <w:t>và</w:t>
      </w:r>
      <w:proofErr w:type="spellEnd"/>
      <w:r w:rsidRPr="00EB7298">
        <w:rPr>
          <w:rFonts w:ascii="Times New Roman" w:hAnsi="Times New Roman" w:cs="Times New Roman"/>
          <w:i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i/>
          <w:color w:val="000000" w:themeColor="text1"/>
          <w:sz w:val="24"/>
          <w:szCs w:val="24"/>
          <w:lang w:val="fr-BE"/>
        </w:rPr>
        <w:t>gọi</w:t>
      </w:r>
      <w:proofErr w:type="spellEnd"/>
      <w:r w:rsidRPr="00EB7298">
        <w:rPr>
          <w:rFonts w:ascii="Times New Roman" w:hAnsi="Times New Roman" w:cs="Times New Roman"/>
          <w:i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i/>
          <w:color w:val="000000" w:themeColor="text1"/>
          <w:sz w:val="24"/>
          <w:szCs w:val="24"/>
          <w:lang w:val="fr-BE"/>
        </w:rPr>
        <w:t>riêng</w:t>
      </w:r>
      <w:proofErr w:type="spellEnd"/>
      <w:r w:rsidRPr="00EB7298">
        <w:rPr>
          <w:rFonts w:ascii="Times New Roman" w:hAnsi="Times New Roman" w:cs="Times New Roman"/>
          <w:i/>
          <w:color w:val="000000" w:themeColor="text1"/>
          <w:sz w:val="24"/>
          <w:szCs w:val="24"/>
          <w:lang w:val="fr-BE"/>
        </w:rPr>
        <w:t xml:space="preserve"> là</w:t>
      </w:r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 xml:space="preserve"> “</w:t>
      </w:r>
      <w:proofErr w:type="spellStart"/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>Bên</w:t>
      </w:r>
      <w:proofErr w:type="spellEnd"/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>”</w:t>
      </w:r>
    </w:p>
    <w:p w14:paraId="46EF50BD" w14:textId="77777777" w:rsidR="00285FFB" w:rsidRPr="00EB7298" w:rsidRDefault="00285FFB" w:rsidP="00285FFB">
      <w:pPr>
        <w:spacing w:before="80"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Hai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Bên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thỏa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thuận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ký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kết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Hợp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Đồng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Vay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Vốn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này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(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sau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đây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gọi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tắt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là </w:t>
      </w:r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>“</w:t>
      </w:r>
      <w:proofErr w:type="spellStart"/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>Hợp</w:t>
      </w:r>
      <w:proofErr w:type="spellEnd"/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>Đồng</w:t>
      </w:r>
      <w:proofErr w:type="spellEnd"/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>Vay</w:t>
      </w:r>
      <w:proofErr w:type="spellEnd"/>
      <w:r w:rsidRPr="00EB729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lang w:val="fr-BE"/>
        </w:rPr>
        <w:t>”</w:t>
      </w:r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)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với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các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điều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khoản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sau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: </w:t>
      </w:r>
    </w:p>
    <w:bookmarkEnd w:id="0"/>
    <w:p w14:paraId="100AD877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ĐIỀU 1. NỘI DUNG HỢP ĐỒNG</w:t>
      </w:r>
    </w:p>
    <w:p w14:paraId="0B1F0BB9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1117E6A" w14:textId="77777777" w:rsidR="003B6051" w:rsidRPr="000F4D13" w:rsidRDefault="003B6051" w:rsidP="003B6051">
      <w:pPr>
        <w:autoSpaceDE w:val="0"/>
        <w:autoSpaceDN w:val="0"/>
        <w:adjustRightInd w:val="0"/>
        <w:spacing w:before="80" w:after="80" w:line="36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1.1.     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 xml:space="preserve">là </w:t>
      </w:r>
      <w:proofErr w:type="spellStart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>số</w:t>
      </w:r>
      <w:proofErr w:type="spellEnd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>tiền</w:t>
      </w:r>
      <w:proofErr w:type="spellEnd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>Bên</w:t>
      </w:r>
      <w:proofErr w:type="spellEnd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 xml:space="preserve"> B </w:t>
      </w:r>
      <w:proofErr w:type="spellStart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>cho</w:t>
      </w:r>
      <w:proofErr w:type="spellEnd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>Bên</w:t>
      </w:r>
      <w:proofErr w:type="spellEnd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 xml:space="preserve"> A </w:t>
      </w:r>
      <w:proofErr w:type="spellStart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>vay</w:t>
      </w:r>
      <w:proofErr w:type="spellEnd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>được</w:t>
      </w:r>
      <w:proofErr w:type="spellEnd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>ghi</w:t>
      </w:r>
      <w:proofErr w:type="spellEnd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>nhận</w:t>
      </w:r>
      <w:proofErr w:type="spellEnd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>tại</w:t>
      </w:r>
      <w:proofErr w:type="spellEnd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>mục</w:t>
      </w:r>
      <w:proofErr w:type="spellEnd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>Tài</w:t>
      </w:r>
      <w:proofErr w:type="spellEnd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>sản</w:t>
      </w:r>
      <w:proofErr w:type="spellEnd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>trên</w:t>
      </w:r>
      <w:proofErr w:type="spellEnd"/>
      <w:r w:rsidRPr="00EB729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 xml:space="preserve"> app Apec Finance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fr-BE"/>
        </w:rPr>
        <w:t>.</w:t>
      </w:r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(“</w:t>
      </w:r>
      <w:proofErr w:type="spellStart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Khoản</w:t>
      </w:r>
      <w:proofErr w:type="spellEnd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Vay</w:t>
      </w:r>
      <w:proofErr w:type="spellEnd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”, “</w:t>
      </w:r>
      <w:proofErr w:type="spellStart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Nợ</w:t>
      </w:r>
      <w:proofErr w:type="spellEnd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Gốc</w:t>
      </w:r>
      <w:proofErr w:type="spellEnd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”)</w:t>
      </w:r>
    </w:p>
    <w:p w14:paraId="572B89EA" w14:textId="77777777" w:rsidR="003B6051" w:rsidRPr="000F4D13" w:rsidRDefault="003B6051" w:rsidP="003B6051">
      <w:pPr>
        <w:autoSpaceDE w:val="0"/>
        <w:autoSpaceDN w:val="0"/>
        <w:adjustRightInd w:val="0"/>
        <w:spacing w:before="80" w:after="80" w:line="360" w:lineRule="auto"/>
        <w:jc w:val="both"/>
        <w:rPr>
          <w:rFonts w:ascii="Times New Roman" w:eastAsia="Times New Roman" w:hAnsi="Times New Roman" w:cs="Times New Roman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1.2.     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3C56B4F1" w14:textId="77777777" w:rsidR="003B6051" w:rsidRPr="001E6354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1E6354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là</w:t>
      </w:r>
      <w:r w:rsidRPr="00EB7298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kỳ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hạn</w:t>
      </w:r>
      <w:proofErr w:type="spellEnd"/>
      <w:r w:rsidRPr="00EB7298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theo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lựa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chọn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của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bên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B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tương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ứng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với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từng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sản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phẩm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tài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chính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trên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app Apec Finance.</w:t>
      </w:r>
    </w:p>
    <w:p w14:paraId="656860B5" w14:textId="319372B1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1.3.      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Phục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kinh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A; (ii)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Bổ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sung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nguồn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vốn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(iii)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 w:rsidR="001003ED" w:rsidRPr="004351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52F3D1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1.4.      Phương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Công ty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Cổ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Apec Finance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Thông tin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96080A1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Ngân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thụ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hưởng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BIDV CN Hà Thành </w:t>
      </w:r>
    </w:p>
    <w:p w14:paraId="463362F3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Tài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963366 +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CMND/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CCCD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khách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</w:p>
    <w:p w14:paraId="3C67E28A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1.5.      Tài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Apec Finance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Công ty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Cổ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Apec Finance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Tài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6A8EF0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ĐIỀU 2. LÃI SUẤT </w:t>
      </w:r>
    </w:p>
    <w:p w14:paraId="2AFA7FFB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2.1.     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Trong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mức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lãi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suất</w:t>
      </w:r>
      <w:proofErr w:type="spellEnd"/>
      <w:r w:rsidRPr="00EB7298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bên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B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cho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bên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A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vay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theo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lựa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chọn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của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bên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B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tương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ứng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với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tính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chất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các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sản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phẩm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tài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chính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trên</w:t>
      </w:r>
      <w:proofErr w:type="spellEnd"/>
      <w:r w:rsidRPr="00EB7298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app Apec Finance</w:t>
      </w:r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670C7E26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2.2.      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100%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55059F5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thoả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Lục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Trả Nợ. </w:t>
      </w:r>
    </w:p>
    <w:p w14:paraId="56980A42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2.3.      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Trường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100%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1CE624A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2.4.      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365 (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trăm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sáu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mươi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năm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59D8255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ĐIỀU 3. TRẢ NỢ GỐC, LÃI TIỀN VAY</w:t>
      </w:r>
    </w:p>
    <w:p w14:paraId="069DBB5E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3.1.      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6C29B95F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vòng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03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Hạn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B96282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3.2.      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E04C568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815F8C0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03 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tháng</w:t>
      </w:r>
      <w:proofErr w:type="spellEnd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lần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(“</w:t>
      </w:r>
      <w:proofErr w:type="spellStart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Kỳ</w:t>
      </w:r>
      <w:proofErr w:type="spellEnd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Thanh </w:t>
      </w:r>
      <w:proofErr w:type="spellStart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Toán</w:t>
      </w:r>
      <w:proofErr w:type="spellEnd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Lãi</w:t>
      </w:r>
      <w:proofErr w:type="spellEnd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Tiền</w:t>
      </w:r>
      <w:proofErr w:type="spellEnd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Vay</w:t>
      </w:r>
      <w:proofErr w:type="spellEnd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”)</w:t>
      </w: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</w:p>
    <w:p w14:paraId="5DF4D303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Trong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vòng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03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cuối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cùng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Thanh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Vay. </w:t>
      </w:r>
    </w:p>
    <w:p w14:paraId="144FFE32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3.3.      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Tiền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BD7916A" w14:textId="77777777" w:rsidR="003B6051" w:rsidRPr="000F4D13" w:rsidRDefault="003B6051" w:rsidP="003B6051">
      <w:pPr>
        <w:autoSpaceDE w:val="0"/>
        <w:autoSpaceDN w:val="0"/>
        <w:adjustRightInd w:val="0"/>
        <w:spacing w:before="80" w:after="80" w:line="360" w:lineRule="auto"/>
        <w:jc w:val="both"/>
        <w:rPr>
          <w:rFonts w:ascii="Times New Roman" w:eastAsia="Times New Roman" w:hAnsi="Times New Roman" w:cs="Times New Roman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a.        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77F273C2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2B4FDB07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Lãi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trên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Dự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trong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= (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Dư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trong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(x)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số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trong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chưa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(x)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Suất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Cho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Trong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)/365 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ngày</w:t>
      </w:r>
      <w:proofErr w:type="spellEnd"/>
    </w:p>
    <w:p w14:paraId="319277A2" w14:textId="77777777" w:rsidR="003B6051" w:rsidRDefault="003B6051" w:rsidP="003B6051">
      <w:pPr>
        <w:autoSpaceDE w:val="0"/>
        <w:autoSpaceDN w:val="0"/>
        <w:adjustRightInd w:val="0"/>
        <w:spacing w:before="80" w:after="8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 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B043E64" w14:textId="77777777" w:rsidR="003B6051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4CDA798A" w14:textId="77777777" w:rsidR="003B6051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Gốc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= 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Gốc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(x)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2.2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 (x)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Gốc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Quá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)/365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ngày</w:t>
      </w:r>
      <w:proofErr w:type="spellEnd"/>
    </w:p>
    <w:p w14:paraId="74757C98" w14:textId="77777777" w:rsidR="003B6051" w:rsidRDefault="003B6051" w:rsidP="003B6051">
      <w:pPr>
        <w:autoSpaceDE w:val="0"/>
        <w:autoSpaceDN w:val="0"/>
        <w:adjustRightInd w:val="0"/>
        <w:spacing w:before="80" w:after="8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 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A39CEC6" w14:textId="77777777" w:rsidR="003B6051" w:rsidRDefault="003B6051" w:rsidP="003B605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76BE6FFF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(x)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2.3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 (x)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)/365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ngày</w:t>
      </w:r>
      <w:proofErr w:type="spellEnd"/>
    </w:p>
    <w:p w14:paraId="02DB8353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3.4.      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cuối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cùng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trùng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lễ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Tết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kề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Lễ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Tết. </w:t>
      </w:r>
    </w:p>
    <w:p w14:paraId="3A49BA08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3.5.      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39728533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kề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cuối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cùng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trừ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trả nợ. </w:t>
      </w:r>
    </w:p>
    <w:p w14:paraId="796CBA29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3.6.      Phương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B2E9F6B" w14:textId="6B3724A9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proofErr w:type="spellEnd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>ủy</w:t>
      </w:r>
      <w:proofErr w:type="spellEnd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="001003E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Apec Finance.</w:t>
      </w:r>
    </w:p>
    <w:p w14:paraId="26A6B4B3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ĐIỀU 4. TẤT TOÁN KHOẢN VAY TRƯỚC HẠN</w:t>
      </w:r>
    </w:p>
    <w:p w14:paraId="646EEEEC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4.1.      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quyền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yêu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Bên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toán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Vay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trước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hạn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mức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lãi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suất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bên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lựa</w:t>
      </w:r>
      <w:proofErr w:type="spellEnd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298">
        <w:rPr>
          <w:rFonts w:ascii="Times New Roman" w:hAnsi="Times New Roman" w:cs="Times New Roman"/>
          <w:color w:val="000000" w:themeColor="text1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D0C0E9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B6F48">
        <w:rPr>
          <w:rFonts w:ascii="Times New Roman" w:eastAsia="Times New Roman" w:hAnsi="Times New Roman" w:cs="Times New Roman"/>
          <w:color w:val="000000"/>
          <w:sz w:val="24"/>
          <w:szCs w:val="24"/>
        </w:rPr>
        <w:t>4.2.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Yêu</w:t>
      </w:r>
      <w:proofErr w:type="spellEnd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cầu</w:t>
      </w:r>
      <w:proofErr w:type="spellEnd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trước</w:t>
      </w:r>
      <w:proofErr w:type="spellEnd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hạn: </w:t>
      </w:r>
    </w:p>
    <w:p w14:paraId="798550B4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a.        “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Trước</w:t>
      </w:r>
      <w:proofErr w:type="spellEnd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”: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hai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sáu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hồ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từng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761416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      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thiện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hồ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̀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gửi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A.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sau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đây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gọi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là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“</w:t>
      </w:r>
      <w:proofErr w:type="spellStart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Giá</w:t>
      </w:r>
      <w:proofErr w:type="spellEnd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Trị</w:t>
      </w:r>
      <w:proofErr w:type="spellEnd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Tất </w:t>
      </w:r>
      <w:proofErr w:type="spellStart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Toán</w:t>
      </w:r>
      <w:proofErr w:type="spellEnd"/>
      <w:r w:rsidRPr="006416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”</w:t>
      </w:r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EED4BDB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      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Hồ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sơ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: 04 (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bốn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Nghị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Thanh Lý, 04 (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bốn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Biên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Thanh Lý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ban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8415C9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      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hồ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6447200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-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≥ 5.000.000.000 VND </w:t>
      </w:r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ằng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chữ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Năm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tỷ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đồng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vòng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05 </w:t>
      </w:r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năm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hồ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D62366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5.000.000.000 VND </w:t>
      </w:r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ằng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chữ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Năm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tỷ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đồng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vòng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03 </w:t>
      </w:r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</w:t>
      </w:r>
      <w:proofErr w:type="spellEnd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)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hồ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18B8C6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4.3.      Khi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chênh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lệch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4.1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khấu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trừ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chênh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lệch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3757106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ĐIỀU 5. QUYỀN VÀ NGHĨA VỤ CỦA BÊN A</w:t>
      </w:r>
    </w:p>
    <w:p w14:paraId="5B7DDF00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5.1.      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này.</w:t>
      </w:r>
    </w:p>
    <w:p w14:paraId="06E0EB74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5.2.      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3.3.b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3.3.c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Đồng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9877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B57C8E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5.3.      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thuận.</w:t>
      </w:r>
    </w:p>
    <w:p w14:paraId="3678555D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5.4.      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Pháp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vốn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16F9B57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5.5.      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nếu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có)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A7282D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5.6.      Thông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kịp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vốn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hưởng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Bên B. </w:t>
      </w:r>
    </w:p>
    <w:p w14:paraId="34BD42CE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5.7.      Khi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gửi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nghị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hoạch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ít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05 (</w:t>
      </w:r>
      <w:proofErr w:type="spellStart"/>
      <w:r w:rsidRPr="000F4D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năm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nghị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A.</w:t>
      </w:r>
    </w:p>
    <w:p w14:paraId="5BB8A76F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5.8.      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gửi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nghị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5.7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hồi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nghị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EB350CF" w14:textId="77777777" w:rsidR="001003ED" w:rsidRDefault="001003ED" w:rsidP="001003ED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5.9.     Trường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tùy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tặng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/….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tùy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2FE18D" w14:textId="77777777" w:rsidR="001003ED" w:rsidRDefault="001003ED" w:rsidP="001003ED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5.10.   Trường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7ECBB96" w14:textId="77777777" w:rsidR="001003ED" w:rsidRDefault="001003ED" w:rsidP="001003ED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5.11.   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khấu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TNCN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tỷ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B. </w:t>
      </w:r>
    </w:p>
    <w:p w14:paraId="5E3FE290" w14:textId="3FE52968" w:rsidR="003B6051" w:rsidRPr="000F4D13" w:rsidRDefault="001003ED" w:rsidP="001003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5.12.    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E39796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ĐIỀU 6. QUYỀN VÀ NGHĨA VỤ CỦA BÊN B</w:t>
      </w:r>
    </w:p>
    <w:p w14:paraId="5D3B3732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6.1.     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trách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này.</w:t>
      </w:r>
    </w:p>
    <w:p w14:paraId="43C173F9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6.2.    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nghị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F8AE621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6.3.    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thỏa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EAB758D" w14:textId="77777777" w:rsidR="003B6051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6.4.    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cam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tranh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ràng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AC3681" w14:textId="77777777" w:rsidR="001003ED" w:rsidRDefault="001003ED" w:rsidP="001003ED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6.5.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7B3D1A5" w14:textId="77777777" w:rsidR="001003ED" w:rsidRDefault="001003ED" w:rsidP="001003ED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       Trường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chênh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7E9E87" w14:textId="77777777" w:rsidR="001003ED" w:rsidRDefault="001003ED" w:rsidP="001003ED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lk15147450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      Trường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]: Phần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chênh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End w:id="1"/>
    </w:p>
    <w:p w14:paraId="3EE59439" w14:textId="3C9476FC" w:rsidR="001003ED" w:rsidRPr="000F4D13" w:rsidRDefault="001003ED" w:rsidP="001003ED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       Trường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]: 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C97BE9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ĐIỀU 7. CÁC ĐIỀU KHOẢN CHUNG</w:t>
      </w:r>
    </w:p>
    <w:p w14:paraId="16A383BF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7.1.    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Trường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nhượng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Hai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cùng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thỏa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1531FA" w14:textId="77777777" w:rsidR="001003ED" w:rsidRDefault="001003ED" w:rsidP="001003ED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7.2.    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Apec Finance.</w:t>
      </w:r>
    </w:p>
    <w:p w14:paraId="272B3078" w14:textId="77777777" w:rsidR="001003ED" w:rsidRDefault="001003ED" w:rsidP="001003ED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7.3.    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Pháp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EEF2DC1" w14:textId="77777777" w:rsidR="001003ED" w:rsidRDefault="001003ED" w:rsidP="001003ED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7.4.    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Vi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 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kia vi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BB2DDC" w14:textId="77777777" w:rsidR="001003ED" w:rsidRDefault="001003ED" w:rsidP="001003ED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7.5.    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đẳng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Tòa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Tòa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Pháp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DB4E94" w14:textId="77777777" w:rsidR="001003ED" w:rsidRDefault="001003ED" w:rsidP="001003ED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7.6.    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kia: Theo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B624EC4" w14:textId="77777777" w:rsidR="001003ED" w:rsidRDefault="001003ED" w:rsidP="001003ED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7.7.    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6574AE96" w14:textId="77777777" w:rsidR="001003ED" w:rsidRDefault="001003ED" w:rsidP="001003E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85A9439" w14:textId="77777777" w:rsidR="001003ED" w:rsidRDefault="001003ED" w:rsidP="001003E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bưu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521CF89" w14:textId="55F51F7B" w:rsidR="003B6051" w:rsidRPr="000F4D13" w:rsidRDefault="001003ED" w:rsidP="001003E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B6051"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23AB63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ĐIỀU 8. HIỆU LỰC CỦA HỢP ĐỒNG</w:t>
      </w:r>
    </w:p>
    <w:p w14:paraId="3C72CF07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8.1.    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xong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nếu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có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Hai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thoả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7D261F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8.2.    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Các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kèm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Hợp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2C404A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8.3.    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thế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hủy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mọi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nghị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lạc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thỏa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nếu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có</w:t>
      </w:r>
      <w:proofErr w:type="spellEnd"/>
      <w:r w:rsidRPr="00641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dù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nói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BAB263B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8.4.    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bổ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sung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Hai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thỏa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Hai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bổ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sung,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lục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lục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tách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rời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này.</w:t>
      </w:r>
    </w:p>
    <w:p w14:paraId="4FE68CFC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8.5.    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Trường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vô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phán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vẫn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giữ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Các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bạc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thỏa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bổ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sung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BB7A6F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8.6.    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08 (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tám</w:t>
      </w:r>
      <w:proofErr w:type="spellEnd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</w:t>
      </w: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iều</w:t>
      </w:r>
      <w:proofErr w:type="spellEnd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proofErr w:type="spellEnd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giữ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hai</w:t>
      </w:r>
      <w:proofErr w:type="spellEnd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giữ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01 (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một</w:t>
      </w:r>
      <w:proofErr w:type="spellEnd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proofErr w:type="spellStart"/>
      <w:r w:rsidRPr="000F4D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54DAD3" w14:textId="77777777" w:rsidR="003B6051" w:rsidRPr="000F4D13" w:rsidRDefault="003B6051" w:rsidP="003B6051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8.7.    </w:t>
      </w:r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Các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rằng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nguyện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giả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ép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lừa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dối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đe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dọa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nhầm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lẫn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đọc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hiểu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cùng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0F4D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FF1DCC" w14:textId="56567D2A" w:rsidR="004B2524" w:rsidRDefault="004B2524" w:rsidP="001E4D6F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0596F42E" w14:textId="77777777" w:rsidR="00F91C0C" w:rsidRPr="001E4D6F" w:rsidRDefault="00F91C0C" w:rsidP="001E4D6F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145"/>
        <w:gridCol w:w="4382"/>
        <w:gridCol w:w="288"/>
      </w:tblGrid>
      <w:tr w:rsidR="00F15801" w14:paraId="5F654566" w14:textId="77777777" w:rsidTr="00F15801">
        <w:tc>
          <w:tcPr>
            <w:tcW w:w="4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67D39" w14:textId="3826D78D" w:rsidR="00F15801" w:rsidRDefault="004B2524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br w:type="page"/>
            </w:r>
            <w:r w:rsidR="00F158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ĐẠI DIỆN BÊN VAY</w:t>
            </w:r>
          </w:p>
          <w:p w14:paraId="065EC9E1" w14:textId="77777777" w:rsidR="00F15801" w:rsidRDefault="00F15801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vi-VN"/>
              </w:rPr>
              <w:t>(Ký, đóng dấu)</w:t>
            </w:r>
          </w:p>
        </w:tc>
        <w:tc>
          <w:tcPr>
            <w:tcW w:w="4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36BDD" w14:textId="77777777" w:rsidR="00F15801" w:rsidRDefault="00F15801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ĐẠI DIỆN BÊN CHO VAY</w:t>
            </w:r>
          </w:p>
          <w:p w14:paraId="4FFE0727" w14:textId="77777777" w:rsidR="00F15801" w:rsidRDefault="00F15801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vi-VN"/>
              </w:rPr>
              <w:t>(Ký và ghi rõ họ tên)</w:t>
            </w:r>
          </w:p>
        </w:tc>
      </w:tr>
      <w:tr w:rsidR="00F15801" w14:paraId="6165AEE3" w14:textId="77777777" w:rsidTr="00F15801">
        <w:tc>
          <w:tcPr>
            <w:tcW w:w="4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524A8" w14:textId="77777777" w:rsidR="00F15801" w:rsidRDefault="00F15801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bodSignatureUrl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533B0" w14:textId="77777777" w:rsidR="00F15801" w:rsidRDefault="00F15801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invSignatureUrl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  <w:p w14:paraId="2CFC2D61" w14:textId="5204E7FE" w:rsidR="00CD721F" w:rsidRPr="00CD721F" w:rsidRDefault="00CD721F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D721F">
              <w:rPr>
                <w:rFonts w:ascii="Times New Roman" w:hAnsi="Times New Roman" w:cs="Times New Roman"/>
                <w:b/>
                <w:color w:val="000000" w:themeColor="text1"/>
              </w:rPr>
              <w:t>{NAME}</w:t>
            </w:r>
          </w:p>
        </w:tc>
      </w:tr>
      <w:tr w:rsidR="00EB7298" w:rsidRPr="00EB7298" w14:paraId="1DFC4EF2" w14:textId="77777777" w:rsidTr="00F15801">
        <w:tblPrEx>
          <w:tblBorders>
            <w:top w:val="nil"/>
            <w:left w:val="nil"/>
            <w:bottom w:val="nil"/>
            <w:right w:val="nil"/>
          </w:tblBorders>
        </w:tblPrEx>
        <w:trPr>
          <w:gridAfter w:val="1"/>
          <w:wAfter w:w="288" w:type="dxa"/>
        </w:trPr>
        <w:tc>
          <w:tcPr>
            <w:tcW w:w="45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5F3AC" w14:textId="615D817A" w:rsidR="00285FFB" w:rsidRPr="00EB7298" w:rsidRDefault="00285FFB" w:rsidP="002F366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45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E269F" w14:textId="1817BA94" w:rsidR="00285FFB" w:rsidRPr="00EB7298" w:rsidRDefault="00285FFB" w:rsidP="002F3663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vi-VN"/>
              </w:rPr>
            </w:pPr>
          </w:p>
        </w:tc>
      </w:tr>
    </w:tbl>
    <w:p w14:paraId="736D61B1" w14:textId="77777777" w:rsidR="00285FFB" w:rsidRPr="00EB7298" w:rsidRDefault="00285FFB" w:rsidP="00285FFB">
      <w:pPr>
        <w:spacing w:before="80" w:after="8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vi-VN"/>
        </w:rPr>
      </w:pPr>
    </w:p>
    <w:p w14:paraId="0B420095" w14:textId="77777777" w:rsidR="003E26B9" w:rsidRPr="00EB7298" w:rsidRDefault="003E26B9">
      <w:pPr>
        <w:rPr>
          <w:rFonts w:ascii="Times New Roman" w:hAnsi="Times New Roman" w:cs="Times New Roman"/>
          <w:color w:val="000000" w:themeColor="text1"/>
          <w:lang w:val="vi-VN"/>
        </w:rPr>
      </w:pPr>
    </w:p>
    <w:sectPr w:rsidR="003E26B9" w:rsidRPr="00EB7298" w:rsidSect="00444D02">
      <w:footerReference w:type="default" r:id="rId8"/>
      <w:pgSz w:w="11907" w:h="16839" w:code="9"/>
      <w:pgMar w:top="1134" w:right="837" w:bottom="720" w:left="900" w:header="720" w:footer="2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ABBAF" w14:textId="77777777" w:rsidR="00CD1379" w:rsidRDefault="00CD1379" w:rsidP="00285FFB">
      <w:pPr>
        <w:spacing w:after="0" w:line="240" w:lineRule="auto"/>
      </w:pPr>
      <w:r>
        <w:separator/>
      </w:r>
    </w:p>
  </w:endnote>
  <w:endnote w:type="continuationSeparator" w:id="0">
    <w:p w14:paraId="131E4F38" w14:textId="77777777" w:rsidR="00CD1379" w:rsidRDefault="00CD1379" w:rsidP="0028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76391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E1D91" w14:textId="396B4B52" w:rsidR="002F3663" w:rsidRDefault="00C85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69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123F6" w14:textId="77777777" w:rsidR="002F3663" w:rsidRDefault="002F3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1D921" w14:textId="77777777" w:rsidR="00CD1379" w:rsidRDefault="00CD1379" w:rsidP="00285FFB">
      <w:pPr>
        <w:spacing w:after="0" w:line="240" w:lineRule="auto"/>
      </w:pPr>
      <w:r>
        <w:separator/>
      </w:r>
    </w:p>
  </w:footnote>
  <w:footnote w:type="continuationSeparator" w:id="0">
    <w:p w14:paraId="2B343947" w14:textId="77777777" w:rsidR="00CD1379" w:rsidRDefault="00CD1379" w:rsidP="00285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FF7"/>
    <w:multiLevelType w:val="multilevel"/>
    <w:tmpl w:val="6AC0AF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9F3A50"/>
    <w:multiLevelType w:val="hybridMultilevel"/>
    <w:tmpl w:val="A580A01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76401E"/>
    <w:multiLevelType w:val="hybridMultilevel"/>
    <w:tmpl w:val="68E23642"/>
    <w:lvl w:ilvl="0" w:tplc="CD48FCA8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6616C7"/>
    <w:multiLevelType w:val="hybridMultilevel"/>
    <w:tmpl w:val="EA822C16"/>
    <w:lvl w:ilvl="0" w:tplc="57E8DC0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6C6FFB"/>
    <w:multiLevelType w:val="hybridMultilevel"/>
    <w:tmpl w:val="6922A9D8"/>
    <w:lvl w:ilvl="0" w:tplc="461C129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E3A2D"/>
    <w:multiLevelType w:val="hybridMultilevel"/>
    <w:tmpl w:val="010A1E44"/>
    <w:lvl w:ilvl="0" w:tplc="70A604A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C7E4F"/>
    <w:multiLevelType w:val="hybridMultilevel"/>
    <w:tmpl w:val="12BE5D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116B7"/>
    <w:multiLevelType w:val="hybridMultilevel"/>
    <w:tmpl w:val="7320FF98"/>
    <w:lvl w:ilvl="0" w:tplc="F5C2A476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64F20"/>
    <w:multiLevelType w:val="hybridMultilevel"/>
    <w:tmpl w:val="91165D92"/>
    <w:lvl w:ilvl="0" w:tplc="25E4095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856AA"/>
    <w:multiLevelType w:val="hybridMultilevel"/>
    <w:tmpl w:val="FC8E98D2"/>
    <w:lvl w:ilvl="0" w:tplc="CD48FCA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B01E0B"/>
    <w:multiLevelType w:val="hybridMultilevel"/>
    <w:tmpl w:val="AAC6EDDA"/>
    <w:lvl w:ilvl="0" w:tplc="0E36790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C02E2"/>
    <w:multiLevelType w:val="multilevel"/>
    <w:tmpl w:val="EEEC614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34F720B"/>
    <w:multiLevelType w:val="hybridMultilevel"/>
    <w:tmpl w:val="CBF2A57C"/>
    <w:lvl w:ilvl="0" w:tplc="CD48F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F0842"/>
    <w:multiLevelType w:val="hybridMultilevel"/>
    <w:tmpl w:val="533A28C4"/>
    <w:lvl w:ilvl="0" w:tplc="CD48FC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9D4073C"/>
    <w:multiLevelType w:val="multilevel"/>
    <w:tmpl w:val="5AD40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i w:val="0"/>
      </w:rPr>
    </w:lvl>
  </w:abstractNum>
  <w:num w:numId="1" w16cid:durableId="878131799">
    <w:abstractNumId w:val="14"/>
  </w:num>
  <w:num w:numId="2" w16cid:durableId="148913371">
    <w:abstractNumId w:val="11"/>
  </w:num>
  <w:num w:numId="3" w16cid:durableId="928272283">
    <w:abstractNumId w:val="0"/>
  </w:num>
  <w:num w:numId="4" w16cid:durableId="856121204">
    <w:abstractNumId w:val="1"/>
  </w:num>
  <w:num w:numId="5" w16cid:durableId="573206678">
    <w:abstractNumId w:val="7"/>
  </w:num>
  <w:num w:numId="6" w16cid:durableId="235818590">
    <w:abstractNumId w:val="13"/>
  </w:num>
  <w:num w:numId="7" w16cid:durableId="1072194311">
    <w:abstractNumId w:val="2"/>
  </w:num>
  <w:num w:numId="8" w16cid:durableId="1516530302">
    <w:abstractNumId w:val="12"/>
  </w:num>
  <w:num w:numId="9" w16cid:durableId="780034371">
    <w:abstractNumId w:val="10"/>
  </w:num>
  <w:num w:numId="10" w16cid:durableId="805974550">
    <w:abstractNumId w:val="8"/>
  </w:num>
  <w:num w:numId="11" w16cid:durableId="1213081812">
    <w:abstractNumId w:val="9"/>
  </w:num>
  <w:num w:numId="12" w16cid:durableId="249199779">
    <w:abstractNumId w:val="5"/>
  </w:num>
  <w:num w:numId="13" w16cid:durableId="1103186891">
    <w:abstractNumId w:val="4"/>
  </w:num>
  <w:num w:numId="14" w16cid:durableId="1830513791">
    <w:abstractNumId w:val="6"/>
  </w:num>
  <w:num w:numId="15" w16cid:durableId="443692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FB"/>
    <w:rsid w:val="00007691"/>
    <w:rsid w:val="000200A9"/>
    <w:rsid w:val="00022C4E"/>
    <w:rsid w:val="00037681"/>
    <w:rsid w:val="00064DE3"/>
    <w:rsid w:val="00074DC5"/>
    <w:rsid w:val="0008582B"/>
    <w:rsid w:val="00095DA3"/>
    <w:rsid w:val="000C2431"/>
    <w:rsid w:val="000C285C"/>
    <w:rsid w:val="000F71F5"/>
    <w:rsid w:val="001003ED"/>
    <w:rsid w:val="001433CD"/>
    <w:rsid w:val="00143CC6"/>
    <w:rsid w:val="001864A5"/>
    <w:rsid w:val="0019448A"/>
    <w:rsid w:val="001D2689"/>
    <w:rsid w:val="001E4D6F"/>
    <w:rsid w:val="001F53BA"/>
    <w:rsid w:val="00201EF1"/>
    <w:rsid w:val="00204645"/>
    <w:rsid w:val="00205EBE"/>
    <w:rsid w:val="00211CC9"/>
    <w:rsid w:val="00252F60"/>
    <w:rsid w:val="00255454"/>
    <w:rsid w:val="00262D7C"/>
    <w:rsid w:val="00276EF9"/>
    <w:rsid w:val="00285FFB"/>
    <w:rsid w:val="00294794"/>
    <w:rsid w:val="002A1FCA"/>
    <w:rsid w:val="002A3933"/>
    <w:rsid w:val="002A3D88"/>
    <w:rsid w:val="002A6FB5"/>
    <w:rsid w:val="002C3786"/>
    <w:rsid w:val="002F3663"/>
    <w:rsid w:val="002F79D0"/>
    <w:rsid w:val="003205AC"/>
    <w:rsid w:val="00322B6C"/>
    <w:rsid w:val="0033781A"/>
    <w:rsid w:val="00344DE7"/>
    <w:rsid w:val="00351259"/>
    <w:rsid w:val="00373115"/>
    <w:rsid w:val="00375438"/>
    <w:rsid w:val="003B6051"/>
    <w:rsid w:val="003E26B9"/>
    <w:rsid w:val="003F166C"/>
    <w:rsid w:val="00406FA6"/>
    <w:rsid w:val="00415249"/>
    <w:rsid w:val="00421AD1"/>
    <w:rsid w:val="00444D02"/>
    <w:rsid w:val="004460AB"/>
    <w:rsid w:val="004B2524"/>
    <w:rsid w:val="004D2E60"/>
    <w:rsid w:val="004F0927"/>
    <w:rsid w:val="00507969"/>
    <w:rsid w:val="00512A69"/>
    <w:rsid w:val="00515CD0"/>
    <w:rsid w:val="00516E05"/>
    <w:rsid w:val="00546FE9"/>
    <w:rsid w:val="005544AE"/>
    <w:rsid w:val="0055562D"/>
    <w:rsid w:val="00566D53"/>
    <w:rsid w:val="0059285F"/>
    <w:rsid w:val="00652DCA"/>
    <w:rsid w:val="0068345E"/>
    <w:rsid w:val="00692F42"/>
    <w:rsid w:val="006971A6"/>
    <w:rsid w:val="006B3F2B"/>
    <w:rsid w:val="006E07EB"/>
    <w:rsid w:val="006F74E3"/>
    <w:rsid w:val="00703529"/>
    <w:rsid w:val="00712DEA"/>
    <w:rsid w:val="0071759C"/>
    <w:rsid w:val="00737CFD"/>
    <w:rsid w:val="00745019"/>
    <w:rsid w:val="00786994"/>
    <w:rsid w:val="00790CAF"/>
    <w:rsid w:val="007C0CB7"/>
    <w:rsid w:val="008068EB"/>
    <w:rsid w:val="008837F2"/>
    <w:rsid w:val="008975AF"/>
    <w:rsid w:val="008D33A1"/>
    <w:rsid w:val="009624F8"/>
    <w:rsid w:val="00972B89"/>
    <w:rsid w:val="009739EE"/>
    <w:rsid w:val="009836B1"/>
    <w:rsid w:val="009864E3"/>
    <w:rsid w:val="009A3A35"/>
    <w:rsid w:val="00A03AB9"/>
    <w:rsid w:val="00A42F09"/>
    <w:rsid w:val="00A456C9"/>
    <w:rsid w:val="00A51D76"/>
    <w:rsid w:val="00A5515C"/>
    <w:rsid w:val="00B06675"/>
    <w:rsid w:val="00B81514"/>
    <w:rsid w:val="00B84180"/>
    <w:rsid w:val="00B92064"/>
    <w:rsid w:val="00BD3CE4"/>
    <w:rsid w:val="00BE2A0C"/>
    <w:rsid w:val="00BE314A"/>
    <w:rsid w:val="00BE7FB8"/>
    <w:rsid w:val="00BF70A1"/>
    <w:rsid w:val="00C17838"/>
    <w:rsid w:val="00C21CD1"/>
    <w:rsid w:val="00C22789"/>
    <w:rsid w:val="00C57BE3"/>
    <w:rsid w:val="00C855F7"/>
    <w:rsid w:val="00CD1379"/>
    <w:rsid w:val="00CD6D1E"/>
    <w:rsid w:val="00CD721F"/>
    <w:rsid w:val="00D05588"/>
    <w:rsid w:val="00D1085D"/>
    <w:rsid w:val="00D14F64"/>
    <w:rsid w:val="00D15F69"/>
    <w:rsid w:val="00D25CE8"/>
    <w:rsid w:val="00D3746A"/>
    <w:rsid w:val="00D84542"/>
    <w:rsid w:val="00DA39F2"/>
    <w:rsid w:val="00DB15F6"/>
    <w:rsid w:val="00DF01B2"/>
    <w:rsid w:val="00E13E71"/>
    <w:rsid w:val="00E273A4"/>
    <w:rsid w:val="00E332F8"/>
    <w:rsid w:val="00E44DDB"/>
    <w:rsid w:val="00E93D54"/>
    <w:rsid w:val="00EB7298"/>
    <w:rsid w:val="00EE4C33"/>
    <w:rsid w:val="00F10270"/>
    <w:rsid w:val="00F15801"/>
    <w:rsid w:val="00F26577"/>
    <w:rsid w:val="00F626A7"/>
    <w:rsid w:val="00F91C0C"/>
    <w:rsid w:val="00FA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EAED5"/>
  <w15:docId w15:val="{30184B5B-F79E-4CDD-81DE-77858799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F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icture,1LU2,head 2"/>
    <w:basedOn w:val="Normal"/>
    <w:link w:val="ListParagraphChar"/>
    <w:uiPriority w:val="34"/>
    <w:qFormat/>
    <w:rsid w:val="00285FFB"/>
    <w:pPr>
      <w:ind w:left="720"/>
      <w:contextualSpacing/>
    </w:pPr>
  </w:style>
  <w:style w:type="table" w:styleId="TableGrid">
    <w:name w:val="Table Grid"/>
    <w:basedOn w:val="TableNormal"/>
    <w:uiPriority w:val="39"/>
    <w:rsid w:val="00285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8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FFB"/>
  </w:style>
  <w:style w:type="paragraph" w:styleId="FootnoteText">
    <w:name w:val="footnote text"/>
    <w:basedOn w:val="Normal"/>
    <w:link w:val="FootnoteTextChar"/>
    <w:uiPriority w:val="99"/>
    <w:semiHidden/>
    <w:unhideWhenUsed/>
    <w:rsid w:val="00285F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5F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5FFB"/>
    <w:rPr>
      <w:vertAlign w:val="superscript"/>
    </w:rPr>
  </w:style>
  <w:style w:type="character" w:customStyle="1" w:styleId="ListParagraphChar">
    <w:name w:val="List Paragraph Char"/>
    <w:aliases w:val="Picture Char,1LU2 Char,head 2 Char"/>
    <w:link w:val="ListParagraph"/>
    <w:uiPriority w:val="34"/>
    <w:rsid w:val="00285FFB"/>
  </w:style>
  <w:style w:type="paragraph" w:styleId="Header">
    <w:name w:val="header"/>
    <w:basedOn w:val="Normal"/>
    <w:link w:val="HeaderChar"/>
    <w:uiPriority w:val="99"/>
    <w:unhideWhenUsed/>
    <w:rsid w:val="0028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FFB"/>
  </w:style>
  <w:style w:type="character" w:styleId="CommentReference">
    <w:name w:val="annotation reference"/>
    <w:basedOn w:val="DefaultParagraphFont"/>
    <w:uiPriority w:val="99"/>
    <w:semiHidden/>
    <w:unhideWhenUsed/>
    <w:rsid w:val="00554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4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4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4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4A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E4C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777BA-6577-423E-93AE-3337C2F3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2305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Thị Chinh</dc:creator>
  <cp:lastModifiedBy>Phan Ngọc Minh Nguyễn</cp:lastModifiedBy>
  <cp:revision>46</cp:revision>
  <dcterms:created xsi:type="dcterms:W3CDTF">2022-06-30T10:41:00Z</dcterms:created>
  <dcterms:modified xsi:type="dcterms:W3CDTF">2023-11-22T06:40:00Z</dcterms:modified>
</cp:coreProperties>
</file>