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15" w:rsidRPr="00BE4215" w:rsidRDefault="00BE4215" w:rsidP="00BE4215">
      <w:pPr>
        <w:shd w:val="clear" w:color="auto" w:fill="FFFFFF"/>
        <w:spacing w:before="375"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</w:pPr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[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Hướng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dẫn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] Day trader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muốn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đơn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giản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hóa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giao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dịch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thì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làm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như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thế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 xml:space="preserve"> </w:t>
      </w:r>
      <w:proofErr w:type="spellStart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nào</w:t>
      </w:r>
      <w:proofErr w:type="spellEnd"/>
      <w:r w:rsidRPr="00BE4215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</w:rPr>
        <w:t>?</w:t>
      </w:r>
    </w:p>
    <w:p w:rsidR="00BE4215" w:rsidRDefault="00BE4215" w:rsidP="00BE4215"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khuyên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nhắc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pro-</w:t>
      </w:r>
      <w:hyperlink r:id="rId5" w:tgtFrame="_blank" w:tooltip="" w:history="1">
        <w:r>
          <w:rPr>
            <w:rStyle w:val="Hyperlink"/>
            <w:rFonts w:ascii="Helvetica" w:hAnsi="Helvetica" w:cs="Helvetica"/>
            <w:color w:val="176093"/>
            <w:sz w:val="26"/>
            <w:szCs w:val="26"/>
            <w:shd w:val="clear" w:color="auto" w:fill="FFFFFF"/>
          </w:rPr>
          <w:t>Trader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phức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tạp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bài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đưa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giúp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1.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Có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khu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vực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trading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gọn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gàng</w:t>
      </w:r>
      <w:proofErr w:type="spellEnd"/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đúng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dọn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dẹp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ngăn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nắp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bàn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bừa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bộn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nhãng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bực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bội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góp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hưởng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xấu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khoảng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10’ “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vục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trading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tâm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trạng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tốt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2.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Dọn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dẹp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máy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tính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của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bạn</w:t>
      </w:r>
      <w:proofErr w:type="spellEnd"/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thường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xuyên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Ví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dụ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sở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phim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HD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che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lúc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click buy/sell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lag.</w:t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shd w:val="clear" w:color="auto" w:fill="FFFFFF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086225" cy="5867400"/>
            <wp:effectExtent l="0" t="0" r="9525" b="0"/>
            <wp:docPr id="1" name="Picture 1" descr="huong-dan-day-trader-muon-don-gian-hoa-giao-dich-thi-lam-nhu-the-nao-traderviet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ong-dan-day-trader-muon-don-gian-hoa-giao-dich-thi-lam-nhu-the-nao-traderviet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(Just for fun!)</w:t>
      </w:r>
      <w:r>
        <w:rPr>
          <w:rFonts w:ascii="Helvetica" w:hAnsi="Helvetica" w:cs="Helvetica"/>
          <w:color w:val="333333"/>
          <w:sz w:val="26"/>
          <w:szCs w:val="26"/>
        </w:rPr>
        <w:t>​</w:t>
      </w:r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cạnh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tốc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thiện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suất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3.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Loại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bỏ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bớt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indicator</w:t>
      </w:r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chuyên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môn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rồi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lâu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hẳn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nhớ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lastRenderedPageBreak/>
        <w:t>hớn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hở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bắt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hyperlink r:id="rId7" w:tgtFrame="_blank" w:tooltip="" w:history="1">
        <w:r>
          <w:rPr>
            <w:rStyle w:val="Hyperlink"/>
            <w:rFonts w:ascii="Helvetica" w:hAnsi="Helvetica" w:cs="Helvetica"/>
            <w:color w:val="176093"/>
            <w:sz w:val="26"/>
            <w:szCs w:val="26"/>
            <w:shd w:val="clear" w:color="auto" w:fill="FFFFFF"/>
          </w:rPr>
          <w:t>indicator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“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gắn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chart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khăn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nhìn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phạm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lỗi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lầm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kiểu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newbies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giữ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báo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nền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tảng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"https://traderviet.com/threads/phan-tich-ky-thuat.421/" \o ""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>phân</w:t>
      </w:r>
      <w:proofErr w:type="spellEnd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>tích</w:t>
      </w:r>
      <w:proofErr w:type="spellEnd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>kỹ</w:t>
      </w:r>
      <w:proofErr w:type="spellEnd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176093"/>
          <w:sz w:val="26"/>
          <w:szCs w:val="26"/>
          <w:shd w:val="clear" w:color="auto" w:fill="FFFFFF"/>
        </w:rPr>
        <w:t>thuật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hyperlink r:id="rId8" w:tgtFrame="_blank" w:tooltip="" w:history="1">
        <w:r>
          <w:rPr>
            <w:rStyle w:val="Hyperlink"/>
            <w:rFonts w:ascii="Helvetica" w:hAnsi="Helvetica" w:cs="Helvetica"/>
            <w:color w:val="176093"/>
            <w:sz w:val="26"/>
            <w:szCs w:val="26"/>
            <w:shd w:val="clear" w:color="auto" w:fill="FFFFFF"/>
          </w:rPr>
          <w:t>indicator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đánh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nhìn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hành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4.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Loại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bỏ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những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“news feed”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khi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giao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dịch</w:t>
      </w:r>
      <w:proofErr w:type="spellEnd"/>
    </w:p>
    <w:p w:rsidR="00A02C5E" w:rsidRDefault="00BE4215" w:rsidP="00BE4215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News feed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tức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tức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báo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biết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tốt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tắt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BE4215" w:rsidRDefault="00BE4215" w:rsidP="00BE4215"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chiến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lúc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Hầu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hết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chiến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ngắn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tránh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đấy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5. “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Tất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tay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một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lần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thôi</w:t>
      </w:r>
      <w:proofErr w:type="spellEnd"/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lầm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khuyên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all-in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tài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khoản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về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pháp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giọt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chắc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đúng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thoát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bảo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toàn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nhuận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thức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giúp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kiếm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bỏ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thị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Cố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tay</w:t>
      </w:r>
      <w:proofErr w:type="spellEnd"/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lastRenderedPageBreak/>
        <w:t xml:space="preserve">6.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Chọn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lựa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“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tuyệt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chiêu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>”</w:t>
      </w:r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lựa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chiến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day trading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ưng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luyện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Đừng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chiến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ít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chiến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đấu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binh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khí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giỏi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thôi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, </w:t>
      </w:r>
      <w:hyperlink r:id="rId9" w:tgtFrame="_blank" w:tooltip="" w:history="1">
        <w:r>
          <w:rPr>
            <w:rStyle w:val="Hyperlink"/>
            <w:rFonts w:ascii="Helvetica" w:hAnsi="Helvetica" w:cs="Helvetica"/>
            <w:color w:val="176093"/>
            <w:shd w:val="clear" w:color="auto" w:fill="FFFFFF"/>
          </w:rPr>
          <w:t>Trader</w:t>
        </w:r>
      </w:hyperlink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tương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vậy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7.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Giao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dịch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với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một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khung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thời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gian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duy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nhất</w:t>
      </w:r>
      <w:proofErr w:type="spellEnd"/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thay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lớn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/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lân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cận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hỗ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tuy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đặt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cố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ở 1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toán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rủi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quen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shd w:val="clear" w:color="auto" w:fill="FFFFFF"/>
        <w:jc w:val="center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5715000" cy="3857625"/>
            <wp:effectExtent l="0" t="0" r="0" b="9525"/>
            <wp:docPr id="2" name="Picture 2" descr="huong-dan-day-trader-muon-don-gian-hoa-giao-dich-thi-lam-nhu-the-nao-traderviet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ong-dan-day-trader-muon-don-gian-hoa-giao-dich-thi-lam-nhu-the-nao-traderviet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6"/>
          <w:szCs w:val="26"/>
        </w:rPr>
        <w:t> ​</w:t>
      </w:r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8.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Giao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dịch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với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một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loại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hàng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hóa</w:t>
      </w:r>
      <w:proofErr w:type="spellEnd"/>
    </w:p>
    <w:p w:rsidR="00BE4215" w:rsidRDefault="00BE4215" w:rsidP="00BE4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trader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nhau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tiền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tệ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dầu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rồi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hội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kèm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rủi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ro.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giúp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hiểu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hàng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nhầm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lẫn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toán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</w:p>
    <w:p w:rsidR="00BE4215" w:rsidRDefault="00BE4215" w:rsidP="00BE4215">
      <w:pPr>
        <w:pStyle w:val="Heading2"/>
        <w:shd w:val="clear" w:color="auto" w:fill="FFFFFF"/>
        <w:spacing w:before="0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9.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Làm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quen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với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việc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chờ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2"/>
          <w:szCs w:val="32"/>
        </w:rPr>
        <w:t>đợi</w:t>
      </w:r>
      <w:proofErr w:type="spellEnd"/>
    </w:p>
    <w:p w:rsidR="00BE4215" w:rsidRDefault="00BE4215" w:rsidP="00BE4215"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lời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khuyên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khả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năng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tần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suất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lệnh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giảm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xuống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tuy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chất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sẽ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bù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đắp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Kẻ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săn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chờ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mồi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nếu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muốn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làm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mồi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học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chờ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lưu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đều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Hãy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áp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hóa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giao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dịch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nhé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!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Happy trading,</w:t>
      </w:r>
      <w:bookmarkStart w:id="0" w:name="_GoBack"/>
      <w:bookmarkEnd w:id="0"/>
    </w:p>
    <w:sectPr w:rsidR="00BE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15"/>
    <w:rsid w:val="00A02C5E"/>
    <w:rsid w:val="00B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E42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E42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erviet.com/forums/lap-trinh-mql-expert-advisor-indicator.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derviet.com/forums/lap-trinh-mql-expert-advisor-indicator.13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aderviet.com/threads/trader-la-gi-nhiem-vu-cua-trader-la-gi-co-cac-kieu-trader-nao.163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raderviet.com/threads/trader-la-gi-nhiem-vu-cua-trader-la-gi-co-cac-kieu-trader-nao.16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2018-04-12T10:32:00Z</dcterms:created>
  <dcterms:modified xsi:type="dcterms:W3CDTF">2018-04-12T10:35:00Z</dcterms:modified>
</cp:coreProperties>
</file>