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127"/>
        <w:gridCol w:w="973"/>
        <w:gridCol w:w="3170"/>
      </w:tblGrid>
      <w:tr w:rsidR="00B90505" w:rsidRPr="00EE4F3F" w:rsidTr="003326F4">
        <w:tc>
          <w:tcPr>
            <w:tcW w:w="4248" w:type="dxa"/>
            <w:shd w:val="clear" w:color="auto" w:fill="BFBFBF" w:themeFill="background1" w:themeFillShade="BF"/>
          </w:tcPr>
          <w:p w:rsidR="00B90505" w:rsidRPr="00EE4F3F" w:rsidRDefault="00B90505" w:rsidP="00B905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Tên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Use-Case</w:t>
            </w: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Huỷ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990" w:type="dxa"/>
            <w:shd w:val="clear" w:color="auto" w:fill="BFBFBF" w:themeFill="background1" w:themeFillShade="BF"/>
          </w:tcPr>
          <w:p w:rsidR="00B90505" w:rsidRPr="00EE4F3F" w:rsidRDefault="00B90505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ID</w:t>
            </w: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3258" w:type="dxa"/>
            <w:shd w:val="clear" w:color="auto" w:fill="BFBFBF" w:themeFill="background1" w:themeFillShade="BF"/>
          </w:tcPr>
          <w:p w:rsidR="00B90505" w:rsidRPr="00EE4F3F" w:rsidRDefault="00B90505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Mức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quan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trong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Cao</w:t>
            </w:r>
          </w:p>
        </w:tc>
      </w:tr>
      <w:tr w:rsidR="00B90505" w:rsidRPr="00EE4F3F" w:rsidTr="003326F4">
        <w:tc>
          <w:tcPr>
            <w:tcW w:w="4248" w:type="dxa"/>
            <w:shd w:val="clear" w:color="auto" w:fill="BFBFBF" w:themeFill="background1" w:themeFillShade="BF"/>
          </w:tcPr>
          <w:p w:rsidR="00B90505" w:rsidRPr="00EE4F3F" w:rsidRDefault="00B90505" w:rsidP="00FD73D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Tác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nhân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chính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4248" w:type="dxa"/>
            <w:gridSpan w:val="2"/>
            <w:shd w:val="clear" w:color="auto" w:fill="BFBFBF" w:themeFill="background1" w:themeFillShade="BF"/>
          </w:tcPr>
          <w:p w:rsidR="00B90505" w:rsidRPr="00EE4F3F" w:rsidRDefault="00B90505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Loại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Use-Case</w:t>
            </w: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B90505" w:rsidRPr="00EE4F3F" w:rsidTr="003326F4">
        <w:tc>
          <w:tcPr>
            <w:tcW w:w="8496" w:type="dxa"/>
            <w:gridSpan w:val="3"/>
            <w:shd w:val="clear" w:color="auto" w:fill="BFBFBF" w:themeFill="background1" w:themeFillShade="BF"/>
          </w:tcPr>
          <w:p w:rsidR="00B90505" w:rsidRDefault="00B90505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Người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liên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quan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và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công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việc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quan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tâm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D73D1" w:rsidRPr="00EE4F3F" w:rsidRDefault="00B90505" w:rsidP="007024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="00FD73D1">
              <w:rPr>
                <w:rFonts w:ascii="Times New Roman" w:hAnsi="Times New Roman" w:cs="Times New Roman"/>
                <w:sz w:val="20"/>
                <w:szCs w:val="20"/>
              </w:rPr>
              <w:t>muốn</w:t>
            </w:r>
            <w:proofErr w:type="spellEnd"/>
            <w:r w:rsidR="00FD73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D73D1">
              <w:rPr>
                <w:rFonts w:ascii="Times New Roman" w:hAnsi="Times New Roman" w:cs="Times New Roman"/>
                <w:sz w:val="20"/>
                <w:szCs w:val="20"/>
              </w:rPr>
              <w:t>huỷ</w:t>
            </w:r>
            <w:proofErr w:type="spellEnd"/>
            <w:r w:rsidR="00FD73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D73D1"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 w:rsidR="00FD73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D73D1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="00FD73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D73D1">
              <w:rPr>
                <w:rFonts w:ascii="Times New Roman" w:hAnsi="Times New Roman" w:cs="Times New Roman"/>
                <w:sz w:val="20"/>
                <w:szCs w:val="20"/>
              </w:rPr>
              <w:t>đã</w:t>
            </w:r>
            <w:proofErr w:type="spellEnd"/>
            <w:r w:rsidR="00FD73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D73D1">
              <w:rPr>
                <w:rFonts w:ascii="Times New Roman" w:hAnsi="Times New Roman" w:cs="Times New Roman"/>
                <w:sz w:val="20"/>
                <w:szCs w:val="20"/>
              </w:rPr>
              <w:t>đặt</w:t>
            </w:r>
            <w:bookmarkStart w:id="0" w:name="_GoBack"/>
            <w:bookmarkEnd w:id="0"/>
            <w:proofErr w:type="spellEnd"/>
          </w:p>
        </w:tc>
      </w:tr>
      <w:tr w:rsidR="00B90505" w:rsidRPr="00EE4F3F" w:rsidTr="003326F4">
        <w:tc>
          <w:tcPr>
            <w:tcW w:w="8496" w:type="dxa"/>
            <w:gridSpan w:val="3"/>
            <w:shd w:val="clear" w:color="auto" w:fill="BFBFBF" w:themeFill="background1" w:themeFillShade="BF"/>
          </w:tcPr>
          <w:p w:rsidR="00B90505" w:rsidRPr="00EE4F3F" w:rsidRDefault="00B90505" w:rsidP="00FD73D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Mô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tả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tóm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tắt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Use-case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D73D1">
              <w:rPr>
                <w:rFonts w:ascii="Times New Roman" w:hAnsi="Times New Roman" w:cs="Times New Roman"/>
                <w:sz w:val="20"/>
                <w:szCs w:val="20"/>
              </w:rPr>
              <w:t>huỷ</w:t>
            </w:r>
            <w:proofErr w:type="spellEnd"/>
            <w:r w:rsidR="00FD73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D73D1"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 w:rsidR="00FD73D1">
              <w:rPr>
                <w:rFonts w:ascii="Times New Roman" w:hAnsi="Times New Roman" w:cs="Times New Roman"/>
                <w:sz w:val="20"/>
                <w:szCs w:val="20"/>
              </w:rPr>
              <w:t xml:space="preserve"> hang </w:t>
            </w:r>
            <w:proofErr w:type="spellStart"/>
            <w:r w:rsidR="00FD73D1">
              <w:rPr>
                <w:rFonts w:ascii="Times New Roman" w:hAnsi="Times New Roman" w:cs="Times New Roman"/>
                <w:sz w:val="20"/>
                <w:szCs w:val="20"/>
              </w:rPr>
              <w:t>đã</w:t>
            </w:r>
            <w:proofErr w:type="spellEnd"/>
            <w:r w:rsidR="00FD73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D73D1">
              <w:rPr>
                <w:rFonts w:ascii="Times New Roman" w:hAnsi="Times New Roman" w:cs="Times New Roman"/>
                <w:sz w:val="20"/>
                <w:szCs w:val="20"/>
              </w:rPr>
              <w:t>đặt</w:t>
            </w:r>
            <w:proofErr w:type="spellEnd"/>
            <w:r w:rsidR="00FD73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D73D1">
              <w:rPr>
                <w:rFonts w:ascii="Times New Roman" w:hAnsi="Times New Roman" w:cs="Times New Roman"/>
                <w:sz w:val="20"/>
                <w:szCs w:val="20"/>
              </w:rPr>
              <w:t>trước</w:t>
            </w:r>
            <w:proofErr w:type="spellEnd"/>
            <w:r w:rsidR="00FD73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D73D1">
              <w:rPr>
                <w:rFonts w:ascii="Times New Roman" w:hAnsi="Times New Roman" w:cs="Times New Roman"/>
                <w:sz w:val="20"/>
                <w:szCs w:val="20"/>
              </w:rPr>
              <w:t>đó</w:t>
            </w:r>
            <w:proofErr w:type="spellEnd"/>
            <w:r w:rsidR="00FD73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90505" w:rsidRPr="00EE4F3F" w:rsidTr="003326F4">
        <w:tc>
          <w:tcPr>
            <w:tcW w:w="8496" w:type="dxa"/>
            <w:gridSpan w:val="3"/>
            <w:shd w:val="clear" w:color="auto" w:fill="BFBFBF" w:themeFill="background1" w:themeFillShade="BF"/>
          </w:tcPr>
          <w:p w:rsidR="00B90505" w:rsidRPr="00EE4F3F" w:rsidRDefault="00B90505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Ràng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buộc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D73D1">
              <w:rPr>
                <w:rFonts w:ascii="Times New Roman" w:hAnsi="Times New Roman" w:cs="Times New Roman"/>
                <w:sz w:val="20"/>
                <w:szCs w:val="20"/>
              </w:rPr>
              <w:t>huỷ</w:t>
            </w:r>
            <w:proofErr w:type="spellEnd"/>
            <w:r w:rsidR="00FD73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D73D1"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 w:rsidR="00FD73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D73D1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="00FD73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D73D1">
              <w:rPr>
                <w:rFonts w:ascii="Times New Roman" w:hAnsi="Times New Roman" w:cs="Times New Roman"/>
                <w:sz w:val="20"/>
                <w:szCs w:val="20"/>
              </w:rPr>
              <w:t>đã</w:t>
            </w:r>
            <w:proofErr w:type="spellEnd"/>
            <w:r w:rsidR="00FD73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D73D1">
              <w:rPr>
                <w:rFonts w:ascii="Times New Roman" w:hAnsi="Times New Roman" w:cs="Times New Roman"/>
                <w:sz w:val="20"/>
                <w:szCs w:val="20"/>
              </w:rPr>
              <w:t>đặt</w:t>
            </w:r>
            <w:proofErr w:type="spellEnd"/>
          </w:p>
          <w:p w:rsidR="00B90505" w:rsidRPr="00EE4F3F" w:rsidRDefault="00B90505" w:rsidP="002B23A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Loại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2B23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90505" w:rsidRPr="00EE4F3F" w:rsidTr="003326F4">
        <w:tc>
          <w:tcPr>
            <w:tcW w:w="8496" w:type="dxa"/>
            <w:gridSpan w:val="3"/>
            <w:shd w:val="clear" w:color="auto" w:fill="BFBFBF" w:themeFill="background1" w:themeFillShade="BF"/>
          </w:tcPr>
          <w:p w:rsidR="00B90505" w:rsidRPr="00EE4F3F" w:rsidRDefault="00B90505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Các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mối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kết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hợp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B90505" w:rsidRPr="00EE4F3F" w:rsidRDefault="00B90505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Bao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quát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D73D1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="00FD73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D73D1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90505" w:rsidRPr="00EE4F3F" w:rsidRDefault="00B90505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Kết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hợp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90505" w:rsidRPr="00EE4F3F" w:rsidRDefault="00B90505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Mở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rộng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D73D1"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 w:rsidR="00FD73D1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FD73D1"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="00FD73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D73D1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90505" w:rsidRPr="00EE4F3F" w:rsidRDefault="00B90505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Tổng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quát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hóa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90505" w:rsidRPr="00EE4F3F" w:rsidTr="003326F4">
        <w:tc>
          <w:tcPr>
            <w:tcW w:w="8496" w:type="dxa"/>
            <w:gridSpan w:val="3"/>
            <w:shd w:val="clear" w:color="auto" w:fill="BFBFBF" w:themeFill="background1" w:themeFillShade="BF"/>
          </w:tcPr>
          <w:p w:rsidR="00B90505" w:rsidRDefault="00B90505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Các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dòng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sự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kiện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tổng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quát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chính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B90505" w:rsidRDefault="00B90505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</w:p>
          <w:p w:rsidR="00B90505" w:rsidRDefault="00B90505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  <w:p w:rsidR="00B90505" w:rsidRDefault="00B90505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huỷ</w:t>
            </w:r>
            <w:proofErr w:type="spellEnd"/>
          </w:p>
          <w:p w:rsidR="00B90505" w:rsidRDefault="00B90505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huỷ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="009D46A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D46AE" w:rsidRDefault="009D46AE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huỷ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:rsidR="007F76A6" w:rsidRDefault="009D46AE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B9050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="00B90505"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="00B905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90505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="00B905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90505"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proofErr w:type="spellEnd"/>
            <w:r w:rsidR="00B905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90505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="00B90505">
              <w:rPr>
                <w:rFonts w:ascii="Times New Roman" w:hAnsi="Times New Roman" w:cs="Times New Roman"/>
                <w:sz w:val="20"/>
                <w:szCs w:val="20"/>
              </w:rPr>
              <w:t xml:space="preserve"> do </w:t>
            </w:r>
            <w:proofErr w:type="spellStart"/>
            <w:r w:rsidR="00B90505">
              <w:rPr>
                <w:rFonts w:ascii="Times New Roman" w:hAnsi="Times New Roman" w:cs="Times New Roman"/>
                <w:sz w:val="20"/>
                <w:szCs w:val="20"/>
              </w:rPr>
              <w:t>huỷ</w:t>
            </w:r>
            <w:proofErr w:type="spellEnd"/>
            <w:r w:rsidR="007F76A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90505" w:rsidRDefault="007F76A6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huỷ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thì</w:t>
            </w:r>
            <w:proofErr w:type="spellEnd"/>
            <w:r w:rsidR="00B905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90505">
              <w:rPr>
                <w:rFonts w:ascii="Times New Roman" w:hAnsi="Times New Roman" w:cs="Times New Roman"/>
                <w:sz w:val="20"/>
                <w:szCs w:val="20"/>
              </w:rPr>
              <w:t>bấm</w:t>
            </w:r>
            <w:proofErr w:type="spellEnd"/>
            <w:r w:rsidR="00B905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90505">
              <w:rPr>
                <w:rFonts w:ascii="Times New Roman" w:hAnsi="Times New Roman" w:cs="Times New Roman"/>
                <w:sz w:val="20"/>
                <w:szCs w:val="20"/>
              </w:rPr>
              <w:t>xác</w:t>
            </w:r>
            <w:proofErr w:type="spellEnd"/>
            <w:r w:rsidR="00B905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90505">
              <w:rPr>
                <w:rFonts w:ascii="Times New Roman" w:hAnsi="Times New Roman" w:cs="Times New Roman"/>
                <w:sz w:val="20"/>
                <w:szCs w:val="20"/>
              </w:rPr>
              <w:t>nhận</w:t>
            </w:r>
            <w:proofErr w:type="spellEnd"/>
            <w:r w:rsidR="00B905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90505">
              <w:rPr>
                <w:rFonts w:ascii="Times New Roman" w:hAnsi="Times New Roman" w:cs="Times New Roman"/>
                <w:sz w:val="20"/>
                <w:szCs w:val="20"/>
              </w:rPr>
              <w:t>huỷ</w:t>
            </w:r>
            <w:proofErr w:type="spellEnd"/>
            <w:r w:rsidR="00B9050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90505" w:rsidRPr="00EE4F3F" w:rsidRDefault="007F76A6" w:rsidP="009D46A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B9050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="00B90505"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 w:rsidR="00B905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90505"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 w:rsidR="00B905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90505">
              <w:rPr>
                <w:rFonts w:ascii="Times New Roman" w:hAnsi="Times New Roman" w:cs="Times New Roman"/>
                <w:sz w:val="20"/>
                <w:szCs w:val="20"/>
              </w:rPr>
              <w:t>sẽ</w:t>
            </w:r>
            <w:proofErr w:type="spellEnd"/>
            <w:r w:rsidR="00B905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90505">
              <w:rPr>
                <w:rFonts w:ascii="Times New Roman" w:hAnsi="Times New Roman" w:cs="Times New Roman"/>
                <w:sz w:val="20"/>
                <w:szCs w:val="20"/>
              </w:rPr>
              <w:t>lưu</w:t>
            </w:r>
            <w:proofErr w:type="spellEnd"/>
            <w:r w:rsidR="00B905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90505">
              <w:rPr>
                <w:rFonts w:ascii="Times New Roman" w:hAnsi="Times New Roman" w:cs="Times New Roman"/>
                <w:sz w:val="20"/>
                <w:szCs w:val="20"/>
              </w:rPr>
              <w:t>lại</w:t>
            </w:r>
            <w:proofErr w:type="spellEnd"/>
            <w:r w:rsidR="00B905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90505"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 w:rsidR="00B90505">
              <w:rPr>
                <w:rFonts w:ascii="Times New Roman" w:hAnsi="Times New Roman" w:cs="Times New Roman"/>
                <w:sz w:val="20"/>
                <w:szCs w:val="20"/>
              </w:rPr>
              <w:t xml:space="preserve"> tin </w:t>
            </w:r>
            <w:proofErr w:type="spellStart"/>
            <w:r w:rsidR="009D46AE"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 w:rsidR="009D46A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D46AE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="009D46A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D46AE">
              <w:rPr>
                <w:rFonts w:ascii="Times New Roman" w:hAnsi="Times New Roman" w:cs="Times New Roman"/>
                <w:sz w:val="20"/>
                <w:szCs w:val="20"/>
              </w:rPr>
              <w:t>đã</w:t>
            </w:r>
            <w:proofErr w:type="spellEnd"/>
            <w:r w:rsidR="009D46A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D46AE">
              <w:rPr>
                <w:rFonts w:ascii="Times New Roman" w:hAnsi="Times New Roman" w:cs="Times New Roman"/>
                <w:sz w:val="20"/>
                <w:szCs w:val="20"/>
              </w:rPr>
              <w:t>huỷ</w:t>
            </w:r>
            <w:proofErr w:type="spellEnd"/>
            <w:r w:rsidR="00B9050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90505" w:rsidRPr="00EE4F3F" w:rsidTr="003326F4">
        <w:tc>
          <w:tcPr>
            <w:tcW w:w="8496" w:type="dxa"/>
            <w:gridSpan w:val="3"/>
            <w:shd w:val="clear" w:color="auto" w:fill="BFBFBF" w:themeFill="background1" w:themeFillShade="BF"/>
          </w:tcPr>
          <w:p w:rsidR="00B90505" w:rsidRDefault="00B90505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Các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dòng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sự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kiện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chi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tiết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chính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345893" w:rsidRDefault="00345893" w:rsidP="0034589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5.1.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huỷ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huỷ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95%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ngân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huỷ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huỷ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F76A6" w:rsidRPr="00EE4F3F" w:rsidRDefault="00345893" w:rsidP="0034589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5.2.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huỷ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90505" w:rsidRPr="00EE4F3F" w:rsidTr="003326F4">
        <w:tc>
          <w:tcPr>
            <w:tcW w:w="8496" w:type="dxa"/>
            <w:gridSpan w:val="3"/>
            <w:shd w:val="clear" w:color="auto" w:fill="BFBFBF" w:themeFill="background1" w:themeFillShade="BF"/>
          </w:tcPr>
          <w:p w:rsidR="00B90505" w:rsidRDefault="00B90505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Các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dòng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sự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kiện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ngoại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lệ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345893" w:rsidRDefault="00345893" w:rsidP="0034589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5.1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thôi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45893" w:rsidRDefault="00345893" w:rsidP="0034589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5.1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huỷ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nữa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90505" w:rsidRPr="00EE4F3F" w:rsidRDefault="00345893" w:rsidP="0034589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7b.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huỷ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30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giây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B12BB1" w:rsidRDefault="00B12BB1"/>
    <w:p w:rsidR="00FD73D1" w:rsidRDefault="00FD73D1"/>
    <w:p w:rsidR="00FD73D1" w:rsidRDefault="00FD73D1"/>
    <w:p w:rsidR="00FD73D1" w:rsidRDefault="00FD73D1"/>
    <w:tbl>
      <w:tblPr>
        <w:tblStyle w:val="TableGrid"/>
        <w:tblW w:w="0" w:type="auto"/>
        <w:tblInd w:w="10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127"/>
        <w:gridCol w:w="973"/>
        <w:gridCol w:w="3170"/>
      </w:tblGrid>
      <w:tr w:rsidR="00FD73D1" w:rsidRPr="00EE4F3F" w:rsidTr="003326F4">
        <w:tc>
          <w:tcPr>
            <w:tcW w:w="4248" w:type="dxa"/>
            <w:shd w:val="clear" w:color="auto" w:fill="BFBFBF" w:themeFill="background1" w:themeFillShade="BF"/>
          </w:tcPr>
          <w:p w:rsidR="00FD73D1" w:rsidRPr="00EE4F3F" w:rsidRDefault="00FD73D1" w:rsidP="00FD73D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lastRenderedPageBreak/>
              <w:t>Tên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Use-Case</w:t>
            </w: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990" w:type="dxa"/>
            <w:shd w:val="clear" w:color="auto" w:fill="BFBFBF" w:themeFill="background1" w:themeFillShade="BF"/>
          </w:tcPr>
          <w:p w:rsidR="00FD73D1" w:rsidRPr="00EE4F3F" w:rsidRDefault="00FD73D1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ID</w:t>
            </w: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3258" w:type="dxa"/>
            <w:shd w:val="clear" w:color="auto" w:fill="BFBFBF" w:themeFill="background1" w:themeFillShade="BF"/>
          </w:tcPr>
          <w:p w:rsidR="00FD73D1" w:rsidRPr="00EE4F3F" w:rsidRDefault="00FD73D1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Mức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quan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trong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Cao</w:t>
            </w:r>
          </w:p>
        </w:tc>
      </w:tr>
      <w:tr w:rsidR="00FD73D1" w:rsidRPr="00EE4F3F" w:rsidTr="003326F4">
        <w:tc>
          <w:tcPr>
            <w:tcW w:w="4248" w:type="dxa"/>
            <w:shd w:val="clear" w:color="auto" w:fill="BFBFBF" w:themeFill="background1" w:themeFillShade="BF"/>
          </w:tcPr>
          <w:p w:rsidR="00FD73D1" w:rsidRPr="00EE4F3F" w:rsidRDefault="00FD73D1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Tác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nhân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chính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4248" w:type="dxa"/>
            <w:gridSpan w:val="2"/>
            <w:shd w:val="clear" w:color="auto" w:fill="BFBFBF" w:themeFill="background1" w:themeFillShade="BF"/>
          </w:tcPr>
          <w:p w:rsidR="00FD73D1" w:rsidRPr="00EE4F3F" w:rsidRDefault="00FD73D1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Loại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Use-Case</w:t>
            </w: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FD73D1" w:rsidRPr="00EE4F3F" w:rsidTr="003326F4">
        <w:tc>
          <w:tcPr>
            <w:tcW w:w="8496" w:type="dxa"/>
            <w:gridSpan w:val="3"/>
            <w:shd w:val="clear" w:color="auto" w:fill="BFBFBF" w:themeFill="background1" w:themeFillShade="BF"/>
          </w:tcPr>
          <w:p w:rsidR="00FD73D1" w:rsidRDefault="00FD73D1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Người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liên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quan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và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công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việc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quan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tâm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D73D1" w:rsidRDefault="00FD73D1" w:rsidP="002B23A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23A4">
              <w:rPr>
                <w:rFonts w:ascii="Times New Roman" w:hAnsi="Times New Roman" w:cs="Times New Roman"/>
                <w:sz w:val="20"/>
                <w:szCs w:val="20"/>
              </w:rPr>
              <w:t>mua</w:t>
            </w:r>
            <w:proofErr w:type="spellEnd"/>
          </w:p>
          <w:p w:rsidR="002B23A4" w:rsidRDefault="002B23A4" w:rsidP="002B23A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NVCSKH: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702442" w:rsidRDefault="00702442" w:rsidP="002B23A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Bưu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  <w:p w:rsidR="00702442" w:rsidRPr="00EE4F3F" w:rsidRDefault="00702442" w:rsidP="002B23A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D73D1" w:rsidRPr="00EE4F3F" w:rsidTr="003326F4">
        <w:tc>
          <w:tcPr>
            <w:tcW w:w="8496" w:type="dxa"/>
            <w:gridSpan w:val="3"/>
            <w:shd w:val="clear" w:color="auto" w:fill="BFBFBF" w:themeFill="background1" w:themeFillShade="BF"/>
          </w:tcPr>
          <w:p w:rsidR="00FD73D1" w:rsidRPr="00EE4F3F" w:rsidRDefault="00FD73D1" w:rsidP="002B23A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Mô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tả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tóm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tắt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Use-case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23A4"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 w:rsidR="002B23A4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="002B23A4"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="002B23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23A4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="002B23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23A4">
              <w:rPr>
                <w:rFonts w:ascii="Times New Roman" w:hAnsi="Times New Roman" w:cs="Times New Roman"/>
                <w:sz w:val="20"/>
                <w:szCs w:val="20"/>
              </w:rPr>
              <w:t>mà</w:t>
            </w:r>
            <w:proofErr w:type="spellEnd"/>
            <w:r w:rsidR="002B23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23A4"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="002B23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23A4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="002B23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23A4">
              <w:rPr>
                <w:rFonts w:ascii="Times New Roman" w:hAnsi="Times New Roman" w:cs="Times New Roman"/>
                <w:sz w:val="20"/>
                <w:szCs w:val="20"/>
              </w:rPr>
              <w:t>đã</w:t>
            </w:r>
            <w:proofErr w:type="spellEnd"/>
            <w:r w:rsidR="002B23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23A4">
              <w:rPr>
                <w:rFonts w:ascii="Times New Roman" w:hAnsi="Times New Roman" w:cs="Times New Roman"/>
                <w:sz w:val="20"/>
                <w:szCs w:val="20"/>
              </w:rPr>
              <w:t>mua</w:t>
            </w:r>
            <w:proofErr w:type="spellEnd"/>
            <w:r w:rsidR="002B23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23A4">
              <w:rPr>
                <w:rFonts w:ascii="Times New Roman" w:hAnsi="Times New Roman" w:cs="Times New Roman"/>
                <w:sz w:val="20"/>
                <w:szCs w:val="20"/>
              </w:rPr>
              <w:t>trước</w:t>
            </w:r>
            <w:proofErr w:type="spellEnd"/>
            <w:r w:rsidR="002B23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23A4">
              <w:rPr>
                <w:rFonts w:ascii="Times New Roman" w:hAnsi="Times New Roman" w:cs="Times New Roman"/>
                <w:sz w:val="20"/>
                <w:szCs w:val="20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D73D1" w:rsidRPr="00EE4F3F" w:rsidTr="003326F4">
        <w:tc>
          <w:tcPr>
            <w:tcW w:w="8496" w:type="dxa"/>
            <w:gridSpan w:val="3"/>
            <w:shd w:val="clear" w:color="auto" w:fill="BFBFBF" w:themeFill="background1" w:themeFillShade="BF"/>
          </w:tcPr>
          <w:p w:rsidR="00FD73D1" w:rsidRPr="00EE4F3F" w:rsidRDefault="00FD73D1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Ràng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buộc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23A4">
              <w:rPr>
                <w:rFonts w:ascii="Times New Roman" w:hAnsi="Times New Roman" w:cs="Times New Roman"/>
                <w:sz w:val="20"/>
                <w:szCs w:val="20"/>
              </w:rPr>
              <w:t>đỏi</w:t>
            </w:r>
            <w:proofErr w:type="spellEnd"/>
            <w:r w:rsidR="002B23A4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="002B23A4"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="002B23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23A4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="002B23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23A4">
              <w:rPr>
                <w:rFonts w:ascii="Times New Roman" w:hAnsi="Times New Roman" w:cs="Times New Roman"/>
                <w:sz w:val="20"/>
                <w:szCs w:val="20"/>
              </w:rPr>
              <w:t>đã</w:t>
            </w:r>
            <w:proofErr w:type="spellEnd"/>
            <w:r w:rsidR="002B23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23A4">
              <w:rPr>
                <w:rFonts w:ascii="Times New Roman" w:hAnsi="Times New Roman" w:cs="Times New Roman"/>
                <w:sz w:val="20"/>
                <w:szCs w:val="20"/>
              </w:rPr>
              <w:t>mua</w:t>
            </w:r>
            <w:proofErr w:type="spellEnd"/>
            <w:r w:rsidR="002B23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D73D1" w:rsidRPr="00EE4F3F" w:rsidRDefault="00FD73D1" w:rsidP="002B23A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Loại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FD73D1" w:rsidRPr="00EE4F3F" w:rsidTr="003326F4">
        <w:tc>
          <w:tcPr>
            <w:tcW w:w="8496" w:type="dxa"/>
            <w:gridSpan w:val="3"/>
            <w:shd w:val="clear" w:color="auto" w:fill="BFBFBF" w:themeFill="background1" w:themeFillShade="BF"/>
          </w:tcPr>
          <w:p w:rsidR="00FD73D1" w:rsidRPr="00EE4F3F" w:rsidRDefault="00FD73D1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Các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mối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kết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hợp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D73D1" w:rsidRPr="00EE4F3F" w:rsidRDefault="00FD73D1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Bao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quát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D73D1" w:rsidRPr="00EE4F3F" w:rsidRDefault="00FD73D1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Kết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hợp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D73D1" w:rsidRPr="00EE4F3F" w:rsidRDefault="00FD73D1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Mở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rộng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D73D1" w:rsidRPr="00EE4F3F" w:rsidRDefault="00FD73D1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4F3F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Tổng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quát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hóa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D73D1" w:rsidRPr="00EE4F3F" w:rsidTr="003326F4">
        <w:tc>
          <w:tcPr>
            <w:tcW w:w="8496" w:type="dxa"/>
            <w:gridSpan w:val="3"/>
            <w:shd w:val="clear" w:color="auto" w:fill="BFBFBF" w:themeFill="background1" w:themeFillShade="BF"/>
          </w:tcPr>
          <w:p w:rsidR="00FD73D1" w:rsidRDefault="00FD73D1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Các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dòng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sự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kiện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tổng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quát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chính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D73D1" w:rsidRDefault="00FD73D1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</w:p>
          <w:p w:rsidR="00FD73D1" w:rsidRDefault="00FD73D1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45893"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 w:rsidR="00345893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="00345893"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="003458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45893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để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đăng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kí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</w:p>
          <w:p w:rsidR="00FD73D1" w:rsidRDefault="00FD73D1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45893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="003458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45893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="003458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45893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="003458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45893">
              <w:rPr>
                <w:rFonts w:ascii="Times New Roman" w:hAnsi="Times New Roman" w:cs="Times New Roman"/>
                <w:sz w:val="20"/>
                <w:szCs w:val="20"/>
              </w:rPr>
              <w:t>muốn</w:t>
            </w:r>
            <w:proofErr w:type="spellEnd"/>
            <w:r w:rsidR="003458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45893"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 w:rsidR="00345893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="00345893"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</w:p>
          <w:p w:rsidR="00FD73D1" w:rsidRDefault="00FD73D1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những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muốn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</w:p>
          <w:p w:rsidR="002113DB" w:rsidRDefault="002113DB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</w:p>
          <w:p w:rsidR="002113DB" w:rsidRDefault="002113DB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</w:p>
          <w:p w:rsidR="002113DB" w:rsidRDefault="002113DB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="00A526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52602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="00A526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52602">
              <w:rPr>
                <w:rFonts w:ascii="Times New Roman" w:hAnsi="Times New Roman" w:cs="Times New Roman"/>
                <w:sz w:val="20"/>
                <w:szCs w:val="20"/>
              </w:rPr>
              <w:t>phù</w:t>
            </w:r>
            <w:proofErr w:type="spellEnd"/>
            <w:r w:rsidR="00A526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52602">
              <w:rPr>
                <w:rFonts w:ascii="Times New Roman" w:hAnsi="Times New Roman" w:cs="Times New Roman"/>
                <w:sz w:val="20"/>
                <w:szCs w:val="20"/>
              </w:rPr>
              <w:t>hợp</w:t>
            </w:r>
            <w:proofErr w:type="spellEnd"/>
            <w:r w:rsidR="00A526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52602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="00A526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52602">
              <w:rPr>
                <w:rFonts w:ascii="Times New Roman" w:hAnsi="Times New Roman" w:cs="Times New Roman"/>
                <w:sz w:val="20"/>
                <w:szCs w:val="20"/>
              </w:rPr>
              <w:t>chính</w:t>
            </w:r>
            <w:proofErr w:type="spellEnd"/>
            <w:r w:rsidR="00A526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52602">
              <w:rPr>
                <w:rFonts w:ascii="Times New Roman" w:hAnsi="Times New Roman" w:cs="Times New Roman"/>
                <w:sz w:val="20"/>
                <w:szCs w:val="20"/>
              </w:rPr>
              <w:t>sách</w:t>
            </w:r>
            <w:proofErr w:type="spellEnd"/>
            <w:r w:rsidR="00A526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52602"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 w:rsidR="00A52602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="00A52602"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="00A526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52602"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="00A526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52602">
              <w:rPr>
                <w:rFonts w:ascii="Times New Roman" w:hAnsi="Times New Roman" w:cs="Times New Roman"/>
                <w:sz w:val="20"/>
                <w:szCs w:val="20"/>
              </w:rPr>
              <w:t>cửa</w:t>
            </w:r>
            <w:proofErr w:type="spellEnd"/>
            <w:r w:rsidR="00A526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52602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="00A52602">
              <w:rPr>
                <w:rFonts w:ascii="Times New Roman" w:hAnsi="Times New Roman" w:cs="Times New Roman"/>
                <w:sz w:val="20"/>
                <w:szCs w:val="20"/>
              </w:rPr>
              <w:t xml:space="preserve"> hay </w:t>
            </w:r>
            <w:proofErr w:type="spellStart"/>
            <w:r w:rsidR="00A52602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="00A5260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2113DB" w:rsidRDefault="00C279C4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sẽ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gửi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email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xác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nhận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kèm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theo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chính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sách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cửa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đến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D73D1" w:rsidRDefault="00C279C4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FD73D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xác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nhận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2113DB" w:rsidRDefault="00C279C4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mang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muốn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kèm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bản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sao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hoá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đến</w:t>
            </w:r>
            <w:proofErr w:type="spellEnd"/>
            <w:proofErr w:type="gram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bưu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để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chuyển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lại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cho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cty</w:t>
            </w:r>
            <w:proofErr w:type="spellEnd"/>
            <w:r w:rsidR="002113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D73D1" w:rsidRDefault="00A52602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279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FD73D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NVCSKH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gởi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A52602" w:rsidRDefault="00A52602" w:rsidP="00A526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279C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A52602" w:rsidRPr="00EE4F3F" w:rsidRDefault="00A52602" w:rsidP="00A5260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279C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D73D1" w:rsidRPr="00EE4F3F" w:rsidRDefault="00FD73D1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D73D1" w:rsidRPr="00EE4F3F" w:rsidTr="003326F4">
        <w:tc>
          <w:tcPr>
            <w:tcW w:w="8496" w:type="dxa"/>
            <w:gridSpan w:val="3"/>
            <w:shd w:val="clear" w:color="auto" w:fill="BFBFBF" w:themeFill="background1" w:themeFillShade="BF"/>
          </w:tcPr>
          <w:p w:rsidR="00FD73D1" w:rsidRDefault="00FD73D1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Các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dòng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sự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kiện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chi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tiết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chính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D73D1" w:rsidRDefault="00C279C4" w:rsidP="002B23A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C279C4" w:rsidRDefault="00C279C4" w:rsidP="002B23A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</w:p>
          <w:p w:rsidR="00C279C4" w:rsidRDefault="00C279C4" w:rsidP="002B23A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chênh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lệch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279C4" w:rsidRPr="00EE4F3F" w:rsidRDefault="00C279C4" w:rsidP="002B23A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trừ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D73D1" w:rsidRPr="00EE4F3F" w:rsidTr="003326F4">
        <w:tc>
          <w:tcPr>
            <w:tcW w:w="8496" w:type="dxa"/>
            <w:gridSpan w:val="3"/>
            <w:shd w:val="clear" w:color="auto" w:fill="BFBFBF" w:themeFill="background1" w:themeFillShade="BF"/>
          </w:tcPr>
          <w:p w:rsidR="00FD73D1" w:rsidRDefault="00FD73D1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lastRenderedPageBreak/>
              <w:t>Các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dòng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sự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kiện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ngoại</w:t>
            </w:r>
            <w:proofErr w:type="spellEnd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 xml:space="preserve"> </w:t>
            </w:r>
            <w:proofErr w:type="spellStart"/>
            <w:r w:rsidRPr="00EE4F3F">
              <w:rPr>
                <w:rFonts w:ascii="Times New Roman" w:hAnsi="Times New Roman" w:cs="Times New Roman"/>
                <w:color w:val="8496B0" w:themeColor="text2" w:themeTint="99"/>
                <w:sz w:val="20"/>
                <w:szCs w:val="20"/>
              </w:rPr>
              <w:t>lệ</w:t>
            </w:r>
            <w:proofErr w:type="spellEnd"/>
            <w:r w:rsidRPr="00EE4F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D73D1" w:rsidRDefault="00C279C4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Nếu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như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thời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điểm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đăng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kí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quá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thời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hạn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mà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cửa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cho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phép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thì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sẽ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báo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cho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biết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thể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vì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quá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hạn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="0070244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02442" w:rsidRDefault="00702442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9.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24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huỷ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mail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02442" w:rsidRDefault="00702442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mail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huỷ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mail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02442" w:rsidRPr="00EE4F3F" w:rsidRDefault="00702442" w:rsidP="003326F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D73D1" w:rsidRDefault="00FD73D1"/>
    <w:sectPr w:rsidR="00FD7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505"/>
    <w:rsid w:val="002113DB"/>
    <w:rsid w:val="002B23A4"/>
    <w:rsid w:val="00345893"/>
    <w:rsid w:val="00702442"/>
    <w:rsid w:val="007F76A6"/>
    <w:rsid w:val="009D46AE"/>
    <w:rsid w:val="00A52602"/>
    <w:rsid w:val="00B12BB1"/>
    <w:rsid w:val="00B90505"/>
    <w:rsid w:val="00C279C4"/>
    <w:rsid w:val="00FD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F47C3-35C7-4587-9FA1-B4C46AEE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50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505"/>
    <w:pPr>
      <w:ind w:left="720"/>
      <w:contextualSpacing/>
    </w:pPr>
  </w:style>
  <w:style w:type="table" w:styleId="TableGrid">
    <w:name w:val="Table Grid"/>
    <w:basedOn w:val="TableNormal"/>
    <w:uiPriority w:val="59"/>
    <w:rsid w:val="00B90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SI</dc:creator>
  <cp:keywords/>
  <dc:description/>
  <cp:lastModifiedBy>THANH SI</cp:lastModifiedBy>
  <cp:revision>1</cp:revision>
  <dcterms:created xsi:type="dcterms:W3CDTF">2015-10-03T08:13:00Z</dcterms:created>
  <dcterms:modified xsi:type="dcterms:W3CDTF">2015-10-03T09:53:00Z</dcterms:modified>
</cp:coreProperties>
</file>