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8708" w14:textId="2CA457C4" w:rsidR="00AF6CC8" w:rsidRPr="00E3459B" w:rsidRDefault="00AF6CC8" w:rsidP="00AF6CC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E3459B">
        <w:rPr>
          <w:rFonts w:ascii="Times New Roman" w:hAnsi="Times New Roman" w:cs="Times New Roman"/>
          <w:b/>
          <w:bCs/>
          <w:sz w:val="30"/>
          <w:szCs w:val="30"/>
        </w:rPr>
        <w:t>P</w:t>
      </w:r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HƯƠNG PHÁP HỌC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MÁY</w:t>
      </w:r>
      <w:proofErr w:type="spellEnd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 MACHINE LEARNING TRONG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CHẤM</w:t>
      </w:r>
      <w:proofErr w:type="spellEnd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ĐIỂM</w:t>
      </w:r>
      <w:proofErr w:type="spellEnd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THẺ</w:t>
      </w:r>
      <w:proofErr w:type="spellEnd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TÍN</w:t>
      </w:r>
      <w:proofErr w:type="spellEnd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KHÁCH</w:t>
      </w:r>
      <w:proofErr w:type="spellEnd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b/>
          <w:bCs/>
          <w:sz w:val="30"/>
          <w:szCs w:val="30"/>
        </w:rPr>
        <w:t>HÀNG</w:t>
      </w:r>
      <w:proofErr w:type="spellEnd"/>
    </w:p>
    <w:p w14:paraId="6552D5BE" w14:textId="7DF6EB94" w:rsidR="00AF6CC8" w:rsidRDefault="00AF6CC8" w:rsidP="002D3964">
      <w:pPr>
        <w:spacing w:line="360" w:lineRule="auto"/>
        <w:ind w:firstLine="357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AF6CC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Tóm</w:t>
      </w:r>
      <w:proofErr w:type="spellEnd"/>
      <w:r w:rsidRPr="00AF6CC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tắt</w:t>
      </w:r>
      <w:proofErr w:type="spellEnd"/>
      <w:r w:rsidRPr="00AF6CC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quản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rủi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ro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trọng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xếp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hạng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chìa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khóa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vay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. Trong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cạnh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tranh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khốc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liệt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tồn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tại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lợi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nhuận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>..</w:t>
      </w:r>
      <w:proofErr w:type="gram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tốt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góp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làm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vay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tốt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vay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yếu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tố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cạnh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tranh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tồn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tại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lợi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nhuận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. Các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góp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cải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tiến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đáng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kể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loại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đồng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thời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giảm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thiểu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rủi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ro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báo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đưa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đang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tổ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;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đưa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ra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thử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Kaggle-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miễn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phí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nghiên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cứu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khoa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loại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. Công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tiến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lực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mạnh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mẽ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mở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rộng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tiếp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xây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dựng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ngành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an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toàn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quả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quá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khứ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vững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vàng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chúng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hướng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lai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đầy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tiềm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AF6CC8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14:paraId="4A36CB42" w14:textId="32B26A9D" w:rsidR="00AF6CC8" w:rsidRPr="00AF6CC8" w:rsidRDefault="00AF6CC8" w:rsidP="00AF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6CC8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AF6C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AF6CC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</w:p>
    <w:p w14:paraId="79012534" w14:textId="53CE7B45" w:rsidR="00AF6CC8" w:rsidRPr="00AF6CC8" w:rsidRDefault="00AF6CC8" w:rsidP="00AF6CC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>.</w:t>
      </w:r>
    </w:p>
    <w:p w14:paraId="3BFD3979" w14:textId="00A555E2" w:rsidR="00AF6CC8" w:rsidRPr="00AF6CC8" w:rsidRDefault="00AF6CC8" w:rsidP="00AF6CC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F6CC8">
        <w:rPr>
          <w:rFonts w:ascii="Times New Roman" w:hAnsi="Times New Roman" w:cs="Times New Roman"/>
          <w:sz w:val="28"/>
          <w:szCs w:val="28"/>
        </w:rPr>
        <w:lastRenderedPageBreak/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r w:rsidR="00F21C7D" w:rsidRPr="00AF6CC8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="00F21C7D" w:rsidRPr="00AF6C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21C7D"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ngụ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phầm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Fair Isaac Corporation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1950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FICO.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FICO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850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250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900,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FICO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>.</w:t>
      </w:r>
    </w:p>
    <w:p w14:paraId="7C929AEA" w14:textId="77777777" w:rsidR="00AF6CC8" w:rsidRDefault="00AF6CC8" w:rsidP="00AF6CC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F6CC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trú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sắm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P2P,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lãi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F6CC8">
        <w:rPr>
          <w:rFonts w:ascii="Times New Roman" w:hAnsi="Times New Roman" w:cs="Times New Roman"/>
          <w:sz w:val="28"/>
          <w:szCs w:val="28"/>
        </w:rPr>
        <w:t>.</w:t>
      </w:r>
    </w:p>
    <w:p w14:paraId="3D5EC32C" w14:textId="48BD286E" w:rsidR="00AF6CC8" w:rsidRPr="00AF6CC8" w:rsidRDefault="00AF6CC8" w:rsidP="00AF6C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6CC8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AF6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AF6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F6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6CC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</w:p>
    <w:p w14:paraId="336BCB67" w14:textId="4B257978" w:rsidR="00AF6CC8" w:rsidRPr="00AF6CC8" w:rsidRDefault="00AF6CC8" w:rsidP="00AF6CC8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F6CC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phớt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lờ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ro.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lastRenderedPageBreak/>
        <w:t>pháp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6CC8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>.</w:t>
      </w:r>
    </w:p>
    <w:p w14:paraId="0E1C9B87" w14:textId="30EE9EAA" w:rsidR="00AF6CC8" w:rsidRPr="00AF6CC8" w:rsidRDefault="00AF6CC8" w:rsidP="00AF6CC8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K-Nearest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Neighbour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>, Support Vector Machine (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>.</w:t>
      </w:r>
    </w:p>
    <w:p w14:paraId="302D960D" w14:textId="3D92FDF5" w:rsidR="00AF6CC8" w:rsidRPr="00AF6CC8" w:rsidRDefault="00AF6CC8" w:rsidP="00AF6CC8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Kaggle -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>.</w:t>
      </w:r>
    </w:p>
    <w:p w14:paraId="5FE2446A" w14:textId="77777777" w:rsidR="00AF6CC8" w:rsidRDefault="00AF6CC8" w:rsidP="00AF6C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6CC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6CC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F6CC8">
        <w:rPr>
          <w:rFonts w:ascii="Times New Roman" w:hAnsi="Times New Roman" w:cs="Times New Roman"/>
          <w:sz w:val="26"/>
          <w:szCs w:val="26"/>
        </w:rPr>
        <w:t>.</w:t>
      </w:r>
    </w:p>
    <w:p w14:paraId="5BBF1B35" w14:textId="77777777" w:rsidR="002D3964" w:rsidRDefault="002D396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8F6045E" w14:textId="1B7467CE" w:rsidR="00626A62" w:rsidRDefault="00626A62" w:rsidP="00626A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26A6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Các </w:t>
      </w:r>
      <w:proofErr w:type="spellStart"/>
      <w:r w:rsidRPr="00626A62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626A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A62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626A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A6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626A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6A6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</w:p>
    <w:p w14:paraId="7F0FB351" w14:textId="01EFE652" w:rsidR="002D3964" w:rsidRPr="002D3964" w:rsidRDefault="002D3964" w:rsidP="00281E7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"Phương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,"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“Experimental analysis of machine learning methods for credit score classification”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The International Journal of Logistics Management.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Diwakar Tripathi, Damodar Reddy Edla,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Annushree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Bablani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, Alok Kumar Shukla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B. Ramachandra Reddy.</w:t>
      </w:r>
      <w:r w:rsidR="00281E72">
        <w:rPr>
          <w:rFonts w:ascii="Times New Roman" w:hAnsi="Times New Roman" w:cs="Times New Roman"/>
          <w:sz w:val="26"/>
          <w:szCs w:val="26"/>
        </w:rPr>
        <w:t xml:space="preserve"> </w:t>
      </w:r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281E72" w:rsidRPr="00281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E72" w:rsidRPr="00281E72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281E7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642D8E" w14:textId="77777777" w:rsidR="007F6AA1" w:rsidRDefault="002D3964" w:rsidP="002D396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D3964">
        <w:rPr>
          <w:rFonts w:ascii="Times New Roman" w:hAnsi="Times New Roman" w:cs="Times New Roman"/>
          <w:sz w:val="26"/>
          <w:szCs w:val="26"/>
        </w:rPr>
        <w:t xml:space="preserve">Amitha Mathew (2021)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Mathew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>.</w:t>
      </w:r>
      <w:r w:rsidRPr="002D3964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Amitha Mathew (2021)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Mathew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R.K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Choudhary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K.S. Chaudhary (2019)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(ANN)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ANN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566055" w14:textId="77777777" w:rsidR="007F6AA1" w:rsidRDefault="002D3964" w:rsidP="002D396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Y. Zhang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Y. Wang (2020)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vector (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móng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N.N. Mishra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S.K. Singh (2021)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RL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RL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D6A91C" w14:textId="58C277B2" w:rsidR="007F6AA1" w:rsidRDefault="002D3964" w:rsidP="002D396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D3964">
        <w:rPr>
          <w:rFonts w:ascii="Times New Roman" w:hAnsi="Times New Roman" w:cs="Times New Roman"/>
          <w:sz w:val="26"/>
          <w:szCs w:val="26"/>
        </w:rPr>
        <w:lastRenderedPageBreak/>
        <w:t xml:space="preserve">H.H. Nguyen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T.T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Nguyen (2022)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(Ensemble Learning).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K.M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Hossain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M.A. Chowdhury (2023)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(Big Data).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Big Data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7F6AA1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r w:rsidR="007F6AA1">
        <w:rPr>
          <w:rFonts w:ascii="Times New Roman" w:hAnsi="Times New Roman" w:cs="Times New Roman"/>
          <w:sz w:val="26"/>
          <w:szCs w:val="26"/>
        </w:rPr>
        <w:t>.</w:t>
      </w:r>
      <w:hyperlink r:id="rId5" w:history="1">
        <w:r w:rsidR="007F6AA1" w:rsidRPr="00C83539">
          <w:rPr>
            <w:rStyle w:val="Hyperlink"/>
            <w:rFonts w:ascii="Times New Roman" w:hAnsi="Times New Roman" w:cs="Times New Roman"/>
            <w:sz w:val="26"/>
            <w:szCs w:val="26"/>
          </w:rPr>
          <w:t>https</w:t>
        </w:r>
        <w:proofErr w:type="spellEnd"/>
        <w:r w:rsidR="007F6AA1" w:rsidRPr="00C83539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="007F6AA1" w:rsidRPr="00C83539">
          <w:rPr>
            <w:rStyle w:val="Hyperlink"/>
            <w:rFonts w:ascii="Times New Roman" w:hAnsi="Times New Roman" w:cs="Times New Roman"/>
            <w:sz w:val="26"/>
            <w:szCs w:val="26"/>
          </w:rPr>
          <w:t>ieeexplore.ieee.org</w:t>
        </w:r>
        <w:proofErr w:type="spellEnd"/>
        <w:r w:rsidR="007F6AA1" w:rsidRPr="00C83539">
          <w:rPr>
            <w:rStyle w:val="Hyperlink"/>
            <w:rFonts w:ascii="Times New Roman" w:hAnsi="Times New Roman" w:cs="Times New Roman"/>
            <w:sz w:val="26"/>
            <w:szCs w:val="26"/>
          </w:rPr>
          <w:t>/document/9757498</w:t>
        </w:r>
      </w:hyperlink>
      <w:r w:rsidR="00E3459B">
        <w:rPr>
          <w:rFonts w:ascii="Times New Roman" w:hAnsi="Times New Roman" w:cs="Times New Roman"/>
          <w:sz w:val="26"/>
          <w:szCs w:val="26"/>
        </w:rPr>
        <w:t xml:space="preserve">; </w:t>
      </w:r>
      <w:r w:rsidR="00E3459B" w:rsidRPr="00E3459B">
        <w:rPr>
          <w:rFonts w:ascii="Times New Roman" w:hAnsi="Times New Roman" w:cs="Times New Roman"/>
          <w:sz w:val="26"/>
          <w:szCs w:val="26"/>
        </w:rPr>
        <w:t xml:space="preserve">Trường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459B" w:rsidRPr="00E3459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3459B" w:rsidRPr="00E3459B">
        <w:rPr>
          <w:rFonts w:ascii="Times New Roman" w:hAnsi="Times New Roman" w:cs="Times New Roman"/>
          <w:sz w:val="26"/>
          <w:szCs w:val="26"/>
        </w:rPr>
        <w:t xml:space="preserve"> Thái Nguyên</w:t>
      </w:r>
    </w:p>
    <w:p w14:paraId="18155BAA" w14:textId="4ABA72E5" w:rsidR="002D3964" w:rsidRPr="002D3964" w:rsidRDefault="002D3964" w:rsidP="002D396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H.A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Awad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A.A. El-Sherbini (2023)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(Interpretable Machine Learning).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>.</w:t>
      </w:r>
    </w:p>
    <w:p w14:paraId="7332E24B" w14:textId="3DB0DF4B" w:rsidR="002D3964" w:rsidRDefault="002D3964" w:rsidP="002D3964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Kaggle.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>, support vector machine (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D3964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vinh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3964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2D3964">
        <w:rPr>
          <w:rFonts w:ascii="Times New Roman" w:hAnsi="Times New Roman" w:cs="Times New Roman"/>
          <w:sz w:val="26"/>
          <w:szCs w:val="26"/>
        </w:rPr>
        <w:t>.</w:t>
      </w:r>
    </w:p>
    <w:p w14:paraId="7662FCEA" w14:textId="01F0D41F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2. Các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chấm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tín</w:t>
      </w:r>
      <w:proofErr w:type="spellEnd"/>
      <w:r w:rsidRPr="00151F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7EF0350F" w14:textId="0AB4A9E0" w:rsid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lastRenderedPageBreak/>
        <w:t>thể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:</w:t>
      </w:r>
    </w:p>
    <w:p w14:paraId="3689FAB3" w14:textId="078E3B2D" w:rsidR="00151FD9" w:rsidRDefault="00151FD9" w:rsidP="00151FD9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 K </w:t>
      </w:r>
      <w:proofErr w:type="spellStart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(K-Nearest Neighbors - KNN)</w:t>
      </w:r>
    </w:p>
    <w:p w14:paraId="33234196" w14:textId="59C99259" w:rsidR="00151FD9" w:rsidRPr="00151FD9" w:rsidRDefault="00151FD9" w:rsidP="00151FD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 xml:space="preserve">K-Nearest Neighbors algorithm (K-NN)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Data Mining. K-NN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(Query point)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Training Data.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. K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Euclidean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.</w:t>
      </w:r>
    </w:p>
    <w:p w14:paraId="6A97E963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151FD9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151FD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151FD9">
        <w:rPr>
          <w:rFonts w:ascii="Times New Roman" w:hAnsi="Times New Roman" w:cs="Times New Roman"/>
          <w:i/>
          <w:iCs/>
          <w:sz w:val="26"/>
          <w:szCs w:val="26"/>
        </w:rPr>
        <w:t xml:space="preserve"> K-NN </w:t>
      </w:r>
      <w:proofErr w:type="spellStart"/>
      <w:r w:rsidRPr="00151FD9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151FD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i/>
          <w:iCs/>
          <w:sz w:val="26"/>
          <w:szCs w:val="26"/>
        </w:rPr>
        <w:t>tả</w:t>
      </w:r>
      <w:proofErr w:type="spellEnd"/>
      <w:r w:rsidRPr="00151FD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151FD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 w:rsidRPr="00151FD9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60E16942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>1.    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K (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)</w:t>
      </w:r>
    </w:p>
    <w:p w14:paraId="428FF134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>2.    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(Query Point)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training data (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Euclidean)</w:t>
      </w:r>
    </w:p>
    <w:p w14:paraId="272524C5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>3.    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Query Point</w:t>
      </w:r>
    </w:p>
    <w:p w14:paraId="57005AFA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>4.    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43AF189D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>5.    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Query Point</w:t>
      </w:r>
    </w:p>
    <w:p w14:paraId="2F50192D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K-NN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.</w:t>
      </w:r>
    </w:p>
    <w:p w14:paraId="2EE29A88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, training Data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(+)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(-),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(Query point)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(hay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Query point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. Nói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Query Point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(+) hay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(-)</w:t>
      </w:r>
    </w:p>
    <w:p w14:paraId="464F1C50" w14:textId="2644B070" w:rsidR="00151FD9" w:rsidRPr="00151FD9" w:rsidRDefault="00151FD9" w:rsidP="00151FD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5545A8" wp14:editId="25BB875D">
            <wp:extent cx="3450590" cy="2465070"/>
            <wp:effectExtent l="0" t="0" r="0" b="0"/>
            <wp:docPr id="2079033186" name="Picture 1" descr="A diagram of a circl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3186" name="Picture 1" descr="A diagram of a circle with red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F8C9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:</w:t>
      </w:r>
    </w:p>
    <w:p w14:paraId="213E1B0D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 xml:space="preserve">1-Nearest </w:t>
      </w:r>
      <w:proofErr w:type="gramStart"/>
      <w:r w:rsidRPr="00151FD9">
        <w:rPr>
          <w:rFonts w:ascii="Times New Roman" w:hAnsi="Times New Roman" w:cs="Times New Roman"/>
          <w:sz w:val="26"/>
          <w:szCs w:val="26"/>
        </w:rPr>
        <w:t>neighbor :</w:t>
      </w:r>
      <w:proofErr w:type="gram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+ (Query Point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+)</w:t>
      </w:r>
    </w:p>
    <w:p w14:paraId="66A08801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 xml:space="preserve">2-Nearest </w:t>
      </w:r>
      <w:proofErr w:type="gramStart"/>
      <w:r w:rsidRPr="00151FD9">
        <w:rPr>
          <w:rFonts w:ascii="Times New Roman" w:hAnsi="Times New Roman" w:cs="Times New Roman"/>
          <w:sz w:val="26"/>
          <w:szCs w:val="26"/>
        </w:rPr>
        <w:t>neighbors :</w:t>
      </w:r>
      <w:proofErr w:type="gram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Query Point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– (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kia)</w:t>
      </w:r>
    </w:p>
    <w:p w14:paraId="378E76BD" w14:textId="77777777" w:rsidR="00151FD9" w:rsidRDefault="00151FD9" w:rsidP="00151F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1FD9">
        <w:rPr>
          <w:rFonts w:ascii="Times New Roman" w:hAnsi="Times New Roman" w:cs="Times New Roman"/>
          <w:sz w:val="26"/>
          <w:szCs w:val="26"/>
        </w:rPr>
        <w:t xml:space="preserve">5-Nearest </w:t>
      </w:r>
      <w:proofErr w:type="gramStart"/>
      <w:r w:rsidRPr="00151FD9">
        <w:rPr>
          <w:rFonts w:ascii="Times New Roman" w:hAnsi="Times New Roman" w:cs="Times New Roman"/>
          <w:sz w:val="26"/>
          <w:szCs w:val="26"/>
        </w:rPr>
        <w:t>neighbors :</w:t>
      </w:r>
      <w:proofErr w:type="gram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- (Query Point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51FD9">
        <w:rPr>
          <w:rFonts w:ascii="Times New Roman" w:hAnsi="Times New Roman" w:cs="Times New Roman"/>
          <w:sz w:val="26"/>
          <w:szCs w:val="26"/>
        </w:rPr>
        <w:t>).</w:t>
      </w:r>
    </w:p>
    <w:p w14:paraId="16E3C337" w14:textId="5E1E7381" w:rsidR="00151FD9" w:rsidRDefault="00151FD9" w:rsidP="00151FD9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 </w:t>
      </w:r>
      <w:proofErr w:type="spellStart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Cây</w:t>
      </w:r>
      <w:proofErr w:type="spellEnd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quyết</w:t>
      </w:r>
      <w:proofErr w:type="spellEnd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151FD9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</w:p>
    <w:p w14:paraId="249C32AB" w14:textId="77777777" w:rsidR="00F21C7D" w:rsidRPr="00F21C7D" w:rsidRDefault="00F21C7D" w:rsidP="00F21C7D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"https://vi.wikipedia.org/wiki/M%C3%A1y_h%E1%BB%8Dc" \o "Máy học"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máy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học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predictive model</w:t>
      </w:r>
      <w:r w:rsidRPr="00F21C7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internal node</w:t>
      </w:r>
      <w:r w:rsidRPr="00F21C7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175086BE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sz w:val="26"/>
          <w:szCs w:val="26"/>
        </w:rPr>
        <w:lastRenderedPageBreak/>
        <w:t xml:space="preserve">Học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"https://vi.wikipedia.org/wiki/Khai_ph%C3%A1_d%E1%BB%AF_li%E1%BB%87u" \o "Khai phá dữ liệu"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khai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phá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21C7D">
        <w:rPr>
          <w:rFonts w:ascii="Times New Roman" w:hAnsi="Times New Roman" w:cs="Times New Roman"/>
          <w:sz w:val="26"/>
          <w:szCs w:val="26"/>
        </w:rPr>
        <w:t xml:space="preserve">1].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chia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"https://vi.wikipedia.org/wiki/T%E1%BA%ADp_h%E1%BB%A3p" \o "Tập hợp"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tập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hợp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[1].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"https://vi.wikipedia.org/wiki/%C4%90%E1%BB%87_quy" \o "Đệ quy"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đệ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quy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"https://vi.wikipedia.org/w/index.php?title=R%E1%BB%ABng_ng%E1%BA%ABu_nhi%C3%AAn&amp;action=edit&amp;redlink=1" \o "Rừng ngẫu nhiên (trang không tồn tại)"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rừng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ngẫu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nhiên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random forest</w:t>
      </w:r>
      <w:r w:rsidRPr="00F21C7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074DD87B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"https://vi.wikipedia.org/wiki/X%C3%A1c_su%E1%BA%A5t_c%C3%B3_%C4%91i%E1%BB%81u_ki%E1%BB%87n" \o "Xác suất có điều kiện"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xác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suất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kiện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507695AA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70587053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:</w:t>
      </w:r>
    </w:p>
    <w:p w14:paraId="0BDA0AA1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i/>
          <w:iCs/>
          <w:sz w:val="26"/>
          <w:szCs w:val="26"/>
        </w:rPr>
        <w:t>(x, y) = (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F21C7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proofErr w:type="spellEnd"/>
      <w:r w:rsidRPr="00F21C7D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F21C7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proofErr w:type="spellEnd"/>
      <w:r w:rsidRPr="00F21C7D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F21C7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proofErr w:type="spellEnd"/>
      <w:r w:rsidRPr="00F21C7D">
        <w:rPr>
          <w:rFonts w:ascii="Times New Roman" w:hAnsi="Times New Roman" w:cs="Times New Roman"/>
          <w:i/>
          <w:iCs/>
          <w:sz w:val="26"/>
          <w:szCs w:val="26"/>
        </w:rPr>
        <w:t xml:space="preserve">..., 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F21C7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k</w:t>
      </w:r>
      <w:proofErr w:type="spellEnd"/>
      <w:r w:rsidRPr="00F21C7D">
        <w:rPr>
          <w:rFonts w:ascii="Times New Roman" w:hAnsi="Times New Roman" w:cs="Times New Roman"/>
          <w:i/>
          <w:iCs/>
          <w:sz w:val="26"/>
          <w:szCs w:val="26"/>
        </w:rPr>
        <w:t>, y)</w:t>
      </w:r>
    </w:p>
    <w:p w14:paraId="46D67A4F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dependant</w:t>
      </w:r>
      <w:proofErr w:type="spellEnd"/>
      <w:r w:rsidRPr="00F21C7D">
        <w:rPr>
          <w:rFonts w:ascii="Times New Roman" w:hAnsi="Times New Roman" w:cs="Times New Roman"/>
          <w:i/>
          <w:iCs/>
          <w:sz w:val="26"/>
          <w:szCs w:val="26"/>
        </w:rPr>
        <w:t xml:space="preserve"> variable</w:t>
      </w:r>
      <w:r w:rsidRPr="00F21C7D">
        <w:rPr>
          <w:rFonts w:ascii="Times New Roman" w:hAnsi="Times New Roman" w:cs="Times New Roman"/>
          <w:sz w:val="26"/>
          <w:szCs w:val="26"/>
        </w:rPr>
        <w:t>)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F21C7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1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F21C7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2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F21C7D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3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D1F0EE7" w14:textId="0762659B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8428F" w:rsidRPr="00F21C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8B8478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:</w:t>
      </w:r>
    </w:p>
    <w:p w14:paraId="5265AD2F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Regression tree</w:t>
      </w:r>
      <w:r w:rsidRPr="00F21C7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"https://vi.wikipedia.org/wiki/S%E1%BB%91_th%E1%BB%B1c" \o "Số thực"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thực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)</w:t>
      </w:r>
    </w:p>
    <w:p w14:paraId="21B1C9C1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Classification tree</w:t>
      </w:r>
      <w:r w:rsidRPr="00F21C7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).</w:t>
      </w:r>
    </w:p>
    <w:p w14:paraId="3C95B73F" w14:textId="6B85AA78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A3C653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sz w:val="26"/>
          <w:szCs w:val="26"/>
        </w:rPr>
        <w:lastRenderedPageBreak/>
        <w:t xml:space="preserve">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:</w:t>
      </w:r>
    </w:p>
    <w:p w14:paraId="63FC4135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sz w:val="26"/>
          <w:szCs w:val="26"/>
        </w:rPr>
        <w:t xml:space="preserve">David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Anh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rắc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5F5E6D09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David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4489E9DB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:</w:t>
      </w:r>
    </w:p>
    <w:p w14:paraId="79DD4C80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outlook</w:t>
      </w:r>
      <w:r w:rsidRPr="00F21C7D">
        <w:rPr>
          <w:rFonts w:ascii="Times New Roman" w:hAnsi="Times New Roman" w:cs="Times New Roman"/>
          <w:sz w:val="26"/>
          <w:szCs w:val="26"/>
        </w:rPr>
        <w:t>) (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sunny</w:t>
      </w:r>
      <w:r w:rsidRPr="00F21C7D">
        <w:rPr>
          <w:rFonts w:ascii="Times New Roman" w:hAnsi="Times New Roman" w:cs="Times New Roman"/>
          <w:sz w:val="26"/>
          <w:szCs w:val="26"/>
        </w:rPr>
        <w:t>),</w:t>
      </w:r>
    </w:p>
    <w:p w14:paraId="39CCB174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David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7CC078CB" w14:textId="1AD3CCC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E44675" wp14:editId="08A41C06">
            <wp:extent cx="5716905" cy="4285615"/>
            <wp:effectExtent l="0" t="0" r="0" b="0"/>
            <wp:docPr id="269022947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F2C9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David,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7CFD10B6" w14:textId="1DC10F19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6FE9F8" wp14:editId="14691115">
            <wp:extent cx="5462270" cy="3848735"/>
            <wp:effectExtent l="0" t="0" r="0" b="0"/>
            <wp:docPr id="1701338540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1486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5A5B1CA3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74668FC0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"https://vi.wikipedia.org/wiki/Nh%C3%B3m_con" \o "Nhóm con"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nhóm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con</w:t>
      </w:r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70%.</w:t>
      </w:r>
    </w:p>
    <w:p w14:paraId="1DA5A03A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ta chia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7600A510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David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golf,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11C94868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6041F749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CART (Classification and Regression Trees).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"https://vi.wikipedia.org/wiki/B%C3%ACnh_ph%C6%B0%C6%A1ng" \o "Bình phương"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bình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0)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5DB8A7D3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{1, </w:t>
      </w:r>
      <w:proofErr w:type="gramStart"/>
      <w:r w:rsidRPr="00F21C7D">
        <w:rPr>
          <w:rFonts w:ascii="Times New Roman" w:hAnsi="Times New Roman" w:cs="Times New Roman"/>
          <w:sz w:val="26"/>
          <w:szCs w:val="26"/>
        </w:rPr>
        <w:t>2,...</w:t>
      </w:r>
      <w:proofErr w:type="gramEnd"/>
      <w:r w:rsidRPr="00F21C7D">
        <w:rPr>
          <w:rFonts w:ascii="Times New Roman" w:hAnsi="Times New Roman" w:cs="Times New Roman"/>
          <w:sz w:val="26"/>
          <w:szCs w:val="26"/>
        </w:rPr>
        <w:t>,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F21C7D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f(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i,j</w:t>
      </w:r>
      <w:proofErr w:type="spellEnd"/>
      <w:r w:rsidRPr="00F21C7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j</w:t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Nghĩa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f(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i,j</w:t>
      </w:r>
      <w:proofErr w:type="spellEnd"/>
      <w:r w:rsidRPr="00F21C7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F21C7D">
        <w:rPr>
          <w:rFonts w:ascii="Times New Roman" w:hAnsi="Times New Roman" w:cs="Times New Roman"/>
          <w:sz w:val="26"/>
          <w:szCs w:val="26"/>
        </w:rPr>
        <w:t>=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j</w:t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i/>
          <w:iCs/>
          <w:sz w:val="26"/>
          <w:szCs w:val="26"/>
        </w:rPr>
        <w:t>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7AEBD3AB" w14:textId="6EB6ED88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ahoma" w:hAnsi="Tahoma" w:cs="Tahoma"/>
          <w:vanish/>
          <w:sz w:val="26"/>
          <w:szCs w:val="26"/>
        </w:rPr>
        <w:t>��</w:t>
      </w:r>
      <w:r w:rsidRPr="00F21C7D">
        <w:rPr>
          <w:rFonts w:ascii="Times New Roman" w:hAnsi="Times New Roman" w:cs="Times New Roman"/>
          <w:vanish/>
          <w:sz w:val="26"/>
          <w:szCs w:val="26"/>
        </w:rPr>
        <w:t>(</w:t>
      </w:r>
      <w:r w:rsidRPr="00F21C7D">
        <w:rPr>
          <w:rFonts w:ascii="Tahoma" w:hAnsi="Tahoma" w:cs="Tahoma"/>
          <w:vanish/>
          <w:sz w:val="26"/>
          <w:szCs w:val="26"/>
        </w:rPr>
        <w:t>�</w:t>
      </w:r>
      <w:r w:rsidRPr="00F21C7D">
        <w:rPr>
          <w:rFonts w:ascii="Times New Roman" w:hAnsi="Times New Roman" w:cs="Times New Roman"/>
          <w:vanish/>
          <w:sz w:val="26"/>
          <w:szCs w:val="26"/>
        </w:rPr>
        <w:t>)=1−∑</w:t>
      </w:r>
      <w:r w:rsidRPr="00F21C7D">
        <w:rPr>
          <w:rFonts w:ascii="Tahoma" w:hAnsi="Tahoma" w:cs="Tahoma"/>
          <w:vanish/>
          <w:sz w:val="26"/>
          <w:szCs w:val="26"/>
        </w:rPr>
        <w:t>�</w:t>
      </w:r>
      <w:r w:rsidRPr="00F21C7D">
        <w:rPr>
          <w:rFonts w:ascii="Times New Roman" w:hAnsi="Times New Roman" w:cs="Times New Roman"/>
          <w:vanish/>
          <w:sz w:val="26"/>
          <w:szCs w:val="26"/>
        </w:rPr>
        <w:t>=1</w:t>
      </w:r>
      <w:r w:rsidRPr="00F21C7D">
        <w:rPr>
          <w:rFonts w:ascii="Tahoma" w:hAnsi="Tahoma" w:cs="Tahoma"/>
          <w:vanish/>
          <w:sz w:val="26"/>
          <w:szCs w:val="26"/>
        </w:rPr>
        <w:t>��</w:t>
      </w:r>
      <w:r w:rsidRPr="00F21C7D">
        <w:rPr>
          <w:rFonts w:ascii="Times New Roman" w:hAnsi="Times New Roman" w:cs="Times New Roman"/>
          <w:vanish/>
          <w:sz w:val="26"/>
          <w:szCs w:val="26"/>
        </w:rPr>
        <w:t>(</w:t>
      </w:r>
      <w:r w:rsidRPr="00F21C7D">
        <w:rPr>
          <w:rFonts w:ascii="Tahoma" w:hAnsi="Tahoma" w:cs="Tahoma"/>
          <w:vanish/>
          <w:sz w:val="26"/>
          <w:szCs w:val="26"/>
        </w:rPr>
        <w:t>�</w:t>
      </w:r>
      <w:r w:rsidRPr="00F21C7D">
        <w:rPr>
          <w:rFonts w:ascii="Times New Roman" w:hAnsi="Times New Roman" w:cs="Times New Roman"/>
          <w:vanish/>
          <w:sz w:val="26"/>
          <w:szCs w:val="26"/>
        </w:rPr>
        <w:t>,</w:t>
      </w:r>
      <w:r w:rsidRPr="00F21C7D">
        <w:rPr>
          <w:rFonts w:ascii="Tahoma" w:hAnsi="Tahoma" w:cs="Tahoma"/>
          <w:vanish/>
          <w:sz w:val="26"/>
          <w:szCs w:val="26"/>
        </w:rPr>
        <w:t>�</w:t>
      </w:r>
      <w:r w:rsidRPr="00F21C7D">
        <w:rPr>
          <w:rFonts w:ascii="Times New Roman" w:hAnsi="Times New Roman" w:cs="Times New Roman"/>
          <w:vanish/>
          <w:sz w:val="26"/>
          <w:szCs w:val="26"/>
        </w:rPr>
        <w:t>)2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"https://vi.wikipedia.org/w/index.php?title=Thu%E1%BA%ADt_to%C3%A1n_ID3&amp;action=edit&amp;redlink=1" \o "Thuật toán ID3 (trang không tồn tại)"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ID3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"https://vi.wikipedia.org/w/index.php?title=Thu%E1%BA%ADt_to%C3%A1n_C4.5&amp;action=edit&amp;redlink=1" \o "Thuật toán C4.5 (trang không tồn tại)"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C4.5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C5.0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hyperlink r:id="rId11" w:tooltip="Entropy" w:history="1">
        <w:r w:rsidRPr="00F21C7D">
          <w:rPr>
            <w:rStyle w:val="Hyperlink"/>
            <w:rFonts w:ascii="Times New Roman" w:hAnsi="Times New Roman" w:cs="Times New Roman"/>
            <w:sz w:val="26"/>
            <w:szCs w:val="26"/>
          </w:rPr>
          <w:t>entropy</w:t>
        </w:r>
      </w:hyperlink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"https://vi.wikipedia.org/wiki/L%C3%BD_thuy%E1%BA%BFt_th%C3%B4ng_tin" \o "Lý thuyết thông tin"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lý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thuyết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thông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tin</w:t>
      </w:r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information theory</w:t>
      </w:r>
      <w:r w:rsidRPr="00F21C7D">
        <w:rPr>
          <w:rFonts w:ascii="Times New Roman" w:hAnsi="Times New Roman" w:cs="Times New Roman"/>
          <w:sz w:val="26"/>
          <w:szCs w:val="26"/>
        </w:rPr>
        <w:t>).</w:t>
      </w:r>
    </w:p>
    <w:p w14:paraId="3B673437" w14:textId="623C8AAF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014AF528" w14:textId="77777777" w:rsidR="00F21C7D" w:rsidRPr="00F21C7D" w:rsidRDefault="00F21C7D" w:rsidP="00F21C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C7D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"https://vi.wikipedia.org/wiki/Khai_ph%C3%A1_d%E1%BB%AF_li%E1%BB%87u" \o "Khai phá dữ liệu"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khai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phá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:</w:t>
      </w:r>
    </w:p>
    <w:p w14:paraId="33ABA479" w14:textId="77777777" w:rsidR="00F21C7D" w:rsidRPr="00F21C7D" w:rsidRDefault="00F21C7D" w:rsidP="00F21C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5AD17E7D" w14:textId="77777777" w:rsidR="00F21C7D" w:rsidRPr="00F21C7D" w:rsidRDefault="00F21C7D" w:rsidP="00F21C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"https://vi.wikipedia.org/wiki/Chu%E1%BA%A9n_h%C3%B3a_d%E1%BB%AF_li%E1%BB%87u" \o "Chuẩn hóa dữ liệu"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chuẩn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hóa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(</w:t>
      </w:r>
      <w:r w:rsidRPr="00F21C7D">
        <w:rPr>
          <w:rFonts w:ascii="Times New Roman" w:hAnsi="Times New Roman" w:cs="Times New Roman"/>
          <w:i/>
          <w:iCs/>
          <w:sz w:val="26"/>
          <w:szCs w:val="26"/>
        </w:rPr>
        <w:t>dummy variable</w:t>
      </w:r>
      <w:r w:rsidRPr="00F21C7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31EE6028" w14:textId="77777777" w:rsidR="00F21C7D" w:rsidRPr="00F21C7D" w:rsidRDefault="00F21C7D" w:rsidP="00F21C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 Các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"https://vi.wikipedia.org/wiki/M%E1%BA%A1ng_n%C6%A1-ron" \o "Mạng nơ-ron"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mạng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nơ-ron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20EBBF7E" w14:textId="77777777" w:rsidR="00F21C7D" w:rsidRPr="00F21C7D" w:rsidRDefault="00F21C7D" w:rsidP="00F21C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logic Boolean.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0F1DF9E7" w14:textId="77777777" w:rsidR="00F21C7D" w:rsidRPr="00F21C7D" w:rsidRDefault="00F21C7D" w:rsidP="00F21C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0C08BE15" w14:textId="77777777" w:rsidR="00F21C7D" w:rsidRPr="00F21C7D" w:rsidRDefault="00F21C7D" w:rsidP="00F21C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"https://vi.wikipedia.org/wiki/M%C3%A1y_t%C3%ADnh_c%C3%A1_nh%C3%A2n" \o "Máy tính cá nhân"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máy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tính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cá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nhân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fldChar w:fldCharType="begin"/>
      </w:r>
      <w:r w:rsidRPr="00F21C7D">
        <w:rPr>
          <w:rFonts w:ascii="Times New Roman" w:hAnsi="Times New Roman" w:cs="Times New Roman"/>
          <w:sz w:val="26"/>
          <w:szCs w:val="26"/>
        </w:rPr>
        <w:instrText>HYPERLINK "https://vi.wikipedia.org/wiki/D%E1%BB%AF_li%E1%BB%87u_l%E1%BB%9Bn" \o "Dữ liệu lớn"</w:instrText>
      </w:r>
      <w:r w:rsidRPr="00F21C7D">
        <w:rPr>
          <w:rFonts w:ascii="Times New Roman" w:hAnsi="Times New Roman" w:cs="Times New Roman"/>
          <w:sz w:val="26"/>
          <w:szCs w:val="26"/>
        </w:rPr>
      </w:r>
      <w:r w:rsidRPr="00F21C7D">
        <w:rPr>
          <w:rFonts w:ascii="Times New Roman" w:hAnsi="Times New Roman" w:cs="Times New Roman"/>
          <w:sz w:val="26"/>
          <w:szCs w:val="26"/>
        </w:rPr>
        <w:fldChar w:fldCharType="separate"/>
      </w:r>
      <w:r w:rsidRPr="00F21C7D">
        <w:rPr>
          <w:rStyle w:val="Hyperlink"/>
          <w:rFonts w:ascii="Times New Roman" w:hAnsi="Times New Roman" w:cs="Times New Roman"/>
          <w:sz w:val="26"/>
          <w:szCs w:val="26"/>
        </w:rPr>
        <w:t>dữ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liệu</w:t>
      </w:r>
      <w:proofErr w:type="spellEnd"/>
      <w:r w:rsidRPr="00F21C7D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Style w:val="Hyperlink"/>
          <w:rFonts w:ascii="Times New Roman" w:hAnsi="Times New Roman" w:cs="Times New Roman"/>
          <w:sz w:val="26"/>
          <w:szCs w:val="26"/>
        </w:rPr>
        <w:t>lớn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fldChar w:fldCharType="end"/>
      </w:r>
      <w:r w:rsidRPr="00F21C7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C7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1C7D">
        <w:rPr>
          <w:rFonts w:ascii="Times New Roman" w:hAnsi="Times New Roman" w:cs="Times New Roman"/>
          <w:sz w:val="26"/>
          <w:szCs w:val="26"/>
        </w:rPr>
        <w:t>.</w:t>
      </w:r>
    </w:p>
    <w:p w14:paraId="685B7434" w14:textId="77777777" w:rsidR="00F21C7D" w:rsidRPr="00151FD9" w:rsidRDefault="00F21C7D" w:rsidP="00151FD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23C5FA" w14:textId="77777777" w:rsidR="00151FD9" w:rsidRPr="00151FD9" w:rsidRDefault="00151FD9" w:rsidP="00151FD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0531B" w14:textId="77777777" w:rsidR="002D3964" w:rsidRPr="002D3964" w:rsidRDefault="002D3964" w:rsidP="002D396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9EF0DE" w14:textId="77777777" w:rsidR="002D3964" w:rsidRPr="002D3964" w:rsidRDefault="002D3964" w:rsidP="002D396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679298" w14:textId="77777777" w:rsidR="00AF6CC8" w:rsidRPr="00AF6CC8" w:rsidRDefault="00AF6CC8" w:rsidP="00AF6CC8">
      <w:pPr>
        <w:rPr>
          <w:rFonts w:ascii="Times New Roman" w:hAnsi="Times New Roman" w:cs="Times New Roman"/>
          <w:sz w:val="26"/>
          <w:szCs w:val="26"/>
        </w:rPr>
      </w:pPr>
    </w:p>
    <w:p w14:paraId="4E6F7CE7" w14:textId="77777777" w:rsidR="00AF6CC8" w:rsidRPr="00AF6CC8" w:rsidRDefault="00AF6CC8" w:rsidP="00AF6CC8">
      <w:pPr>
        <w:rPr>
          <w:rFonts w:ascii="Times New Roman" w:hAnsi="Times New Roman" w:cs="Times New Roman"/>
          <w:sz w:val="26"/>
          <w:szCs w:val="26"/>
        </w:rPr>
      </w:pPr>
    </w:p>
    <w:p w14:paraId="26177FCA" w14:textId="77777777" w:rsidR="00AF6CC8" w:rsidRPr="00AF6CC8" w:rsidRDefault="00AF6CC8" w:rsidP="00AF6CC8">
      <w:pPr>
        <w:rPr>
          <w:rFonts w:ascii="Times New Roman" w:hAnsi="Times New Roman" w:cs="Times New Roman"/>
          <w:sz w:val="26"/>
          <w:szCs w:val="26"/>
        </w:rPr>
      </w:pPr>
    </w:p>
    <w:p w14:paraId="6E8E2200" w14:textId="77777777" w:rsidR="00AF6CC8" w:rsidRPr="00AF6CC8" w:rsidRDefault="00AF6CC8" w:rsidP="00AF6CC8">
      <w:pPr>
        <w:rPr>
          <w:rFonts w:ascii="Times New Roman" w:hAnsi="Times New Roman" w:cs="Times New Roman"/>
          <w:sz w:val="26"/>
          <w:szCs w:val="26"/>
        </w:rPr>
      </w:pPr>
    </w:p>
    <w:p w14:paraId="228D769C" w14:textId="77777777" w:rsidR="00AF6CC8" w:rsidRPr="00AF6CC8" w:rsidRDefault="00AF6CC8" w:rsidP="00AF6CC8">
      <w:pPr>
        <w:rPr>
          <w:rFonts w:ascii="Times New Roman" w:hAnsi="Times New Roman" w:cs="Times New Roman"/>
          <w:sz w:val="26"/>
          <w:szCs w:val="26"/>
        </w:rPr>
      </w:pPr>
    </w:p>
    <w:p w14:paraId="415CF248" w14:textId="77777777" w:rsidR="005414FC" w:rsidRDefault="005414FC"/>
    <w:sectPr w:rsidR="0054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3828"/>
    <w:multiLevelType w:val="multilevel"/>
    <w:tmpl w:val="0966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848C8"/>
    <w:multiLevelType w:val="hybridMultilevel"/>
    <w:tmpl w:val="C8F05E28"/>
    <w:lvl w:ilvl="0" w:tplc="D5583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239254">
    <w:abstractNumId w:val="1"/>
  </w:num>
  <w:num w:numId="2" w16cid:durableId="79871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CC8"/>
    <w:rsid w:val="00151FD9"/>
    <w:rsid w:val="00281E72"/>
    <w:rsid w:val="002D3964"/>
    <w:rsid w:val="00303B45"/>
    <w:rsid w:val="004B0546"/>
    <w:rsid w:val="004B6501"/>
    <w:rsid w:val="005414FC"/>
    <w:rsid w:val="00626A62"/>
    <w:rsid w:val="0068428F"/>
    <w:rsid w:val="007F6AA1"/>
    <w:rsid w:val="009E0BD0"/>
    <w:rsid w:val="00AF6CC8"/>
    <w:rsid w:val="00C13F43"/>
    <w:rsid w:val="00D02E06"/>
    <w:rsid w:val="00D77B19"/>
    <w:rsid w:val="00E3459B"/>
    <w:rsid w:val="00F2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1B4"/>
  <w15:chartTrackingRefBased/>
  <w15:docId w15:val="{11DBF846-8ED7-40AE-8BBB-F783453D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513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0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823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7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52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7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97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T%E1%BA%ADp_tin:Golf_datase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i.wikipedia.org/wiki/Entropy" TargetMode="External"/><Relationship Id="rId5" Type="http://schemas.openxmlformats.org/officeDocument/2006/relationships/hyperlink" Target="https://ieeexplore.ieee.org/document/975749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T%E1%BA%ADp_tin:Decision_tree_mode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13</Pages>
  <Words>3060</Words>
  <Characters>17443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Béooooooooooooo</dc:creator>
  <cp:keywords/>
  <dc:description/>
  <cp:lastModifiedBy>Dũng Béooooooooooooo</cp:lastModifiedBy>
  <cp:revision>5</cp:revision>
  <dcterms:created xsi:type="dcterms:W3CDTF">2024-01-30T01:04:00Z</dcterms:created>
  <dcterms:modified xsi:type="dcterms:W3CDTF">2024-02-22T09:48:00Z</dcterms:modified>
</cp:coreProperties>
</file>