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2970"/>
        <w:gridCol w:w="2880"/>
        <w:gridCol w:w="3150"/>
      </w:tblGrid>
      <w:tr w:rsidR="009A025C" w:rsidTr="006C01CA">
        <w:trPr>
          <w:trHeight w:val="620"/>
        </w:trPr>
        <w:tc>
          <w:tcPr>
            <w:tcW w:w="810" w:type="dxa"/>
          </w:tcPr>
          <w:p w:rsidR="009A025C" w:rsidRDefault="009A025C" w:rsidP="009A025C">
            <w:pPr>
              <w:jc w:val="center"/>
            </w:pPr>
          </w:p>
        </w:tc>
        <w:tc>
          <w:tcPr>
            <w:tcW w:w="2970" w:type="dxa"/>
            <w:shd w:val="clear" w:color="auto" w:fill="BDD6EE" w:themeFill="accent1" w:themeFillTint="66"/>
          </w:tcPr>
          <w:p w:rsidR="009A025C" w:rsidRDefault="009A025C" w:rsidP="009A025C">
            <w:pPr>
              <w:jc w:val="center"/>
            </w:pPr>
            <w:r>
              <w:t xml:space="preserve">Pin </w:t>
            </w:r>
            <w:proofErr w:type="spellStart"/>
            <w:r>
              <w:t>Lipo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9A025C" w:rsidRDefault="009A025C" w:rsidP="009A025C">
            <w:pPr>
              <w:jc w:val="center"/>
            </w:pPr>
            <w:r>
              <w:t xml:space="preserve">Pin </w:t>
            </w:r>
            <w:proofErr w:type="spellStart"/>
            <w:r>
              <w:t>dẹp</w:t>
            </w:r>
            <w:proofErr w:type="spellEnd"/>
            <w:r>
              <w:t>(CR)</w:t>
            </w:r>
          </w:p>
        </w:tc>
        <w:tc>
          <w:tcPr>
            <w:tcW w:w="3150" w:type="dxa"/>
            <w:shd w:val="clear" w:color="auto" w:fill="BDD6EE" w:themeFill="accent1" w:themeFillTint="66"/>
          </w:tcPr>
          <w:p w:rsidR="009A025C" w:rsidRDefault="009A025C" w:rsidP="009A025C">
            <w:pPr>
              <w:jc w:val="center"/>
            </w:pPr>
            <w:r>
              <w:t>Pin lithium ion</w:t>
            </w:r>
            <w:r w:rsidR="00E35ABB">
              <w:t>(pin 18650)</w:t>
            </w:r>
          </w:p>
        </w:tc>
      </w:tr>
      <w:tr w:rsidR="009A025C" w:rsidTr="006C01CA">
        <w:tc>
          <w:tcPr>
            <w:tcW w:w="810" w:type="dxa"/>
          </w:tcPr>
          <w:p w:rsidR="009A025C" w:rsidRDefault="009A025C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2970" w:type="dxa"/>
          </w:tcPr>
          <w:p w:rsidR="009A025C" w:rsidRDefault="009A025C" w:rsidP="009A025C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E51720B" wp14:editId="6590C09F">
                  <wp:extent cx="1348740" cy="1473980"/>
                  <wp:effectExtent l="0" t="0" r="3810" b="0"/>
                  <wp:docPr id="3" name="Picture 3" descr="Pin lipo 2000mAh 3.7v | Shopee Việt 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n lipo 2000mAh 3.7v | Shopee Việt N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47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:rsidR="009A025C" w:rsidRDefault="009A025C" w:rsidP="007A15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3A8F8A" wp14:editId="4AA1A408">
                  <wp:extent cx="1493520" cy="1217565"/>
                  <wp:effectExtent l="0" t="0" r="0" b="1905"/>
                  <wp:docPr id="1" name="Picture 1" descr="Pin cúc áo CR2032 Panasonic Lithium 3V vỉ 1 viên – Pin Panason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cúc áo CR2032 Panasonic Lithium 3V vỉ 1 viên – Pin Panason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78" cy="126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9A025C" w:rsidRDefault="009A025C" w:rsidP="007A15A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71060" cy="1290320"/>
                  <wp:effectExtent l="0" t="0" r="635" b="5080"/>
                  <wp:docPr id="4" name="Picture 4" descr="https://www.thegioiic.com/upload/large/414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thegioiic.com/upload/large/414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243" cy="1331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25C" w:rsidTr="006C01CA">
        <w:tc>
          <w:tcPr>
            <w:tcW w:w="810" w:type="dxa"/>
          </w:tcPr>
          <w:p w:rsidR="009A025C" w:rsidRDefault="009A025C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970" w:type="dxa"/>
          </w:tcPr>
          <w:p w:rsidR="009A025C" w:rsidRDefault="00FF2BA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 w:rsidR="00E35ABB">
              <w:t>: 3.7 - 4.2V</w:t>
            </w:r>
          </w:p>
          <w:p w:rsidR="00971988" w:rsidRDefault="00971988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thiểu</w:t>
            </w:r>
            <w:proofErr w:type="spellEnd"/>
            <w:r>
              <w:t>(</w:t>
            </w:r>
            <w:proofErr w:type="gramEnd"/>
            <w:r>
              <w:t>cut off): 3V</w:t>
            </w:r>
          </w:p>
          <w:p w:rsidR="00E35ABB" w:rsidRDefault="00E35ABB" w:rsidP="00E35ABB">
            <w:pPr>
              <w:pStyle w:val="ListParagraph"/>
              <w:numPr>
                <w:ilvl w:val="0"/>
                <w:numId w:val="2"/>
              </w:numPr>
            </w:pPr>
            <w:r>
              <w:t>Dung lượng:</w:t>
            </w:r>
            <w:r w:rsidR="006C01CA">
              <w:t xml:space="preserve">2000 </w:t>
            </w:r>
            <w:proofErr w:type="spellStart"/>
            <w:r w:rsidR="006C01CA">
              <w:t>mAh</w:t>
            </w:r>
            <w:proofErr w:type="spellEnd"/>
          </w:p>
          <w:p w:rsidR="00E35ABB" w:rsidRDefault="00E35AB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 w:rsidR="007A15AB">
              <w:t xml:space="preserve">: 34.5x52(mm) – </w:t>
            </w:r>
            <w:proofErr w:type="spellStart"/>
            <w:r w:rsidR="007A15AB">
              <w:t>dày</w:t>
            </w:r>
            <w:proofErr w:type="spellEnd"/>
            <w:r w:rsidR="007A15AB">
              <w:t xml:space="preserve"> 10.2mm</w:t>
            </w:r>
          </w:p>
          <w:p w:rsidR="00C57555" w:rsidRDefault="00C57555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lượng</w:t>
            </w:r>
            <w:proofErr w:type="spellEnd"/>
            <w:r>
              <w:t>:</w:t>
            </w:r>
            <w:r w:rsidR="007A15AB">
              <w:t>~</w:t>
            </w:r>
            <w:proofErr w:type="gramEnd"/>
            <w:r w:rsidR="007A15AB">
              <w:t xml:space="preserve"> 36g</w:t>
            </w:r>
          </w:p>
          <w:p w:rsidR="00C57555" w:rsidRDefault="007A15A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sạc</w:t>
            </w:r>
            <w:proofErr w:type="spellEnd"/>
            <w:r>
              <w:t xml:space="preserve">: 0.5C – 1C </w:t>
            </w:r>
          </w:p>
          <w:p w:rsidR="007A15AB" w:rsidRDefault="007A15A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>: 0.2C – 1C</w:t>
            </w:r>
          </w:p>
          <w:p w:rsidR="007A15AB" w:rsidRDefault="007A15A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  <w:r w:rsidR="006C01CA">
              <w:t>: 300 -</w:t>
            </w:r>
            <w:r>
              <w:t xml:space="preserve"> 500 </w:t>
            </w:r>
            <w:proofErr w:type="spellStart"/>
            <w:r w:rsidR="00971988">
              <w:t>lần</w:t>
            </w:r>
            <w:proofErr w:type="spellEnd"/>
            <w:r w:rsidR="006C01CA">
              <w:t xml:space="preserve"> </w:t>
            </w:r>
            <w:proofErr w:type="spellStart"/>
            <w:r w:rsidR="006C01CA">
              <w:t>sạc</w:t>
            </w:r>
            <w:proofErr w:type="spellEnd"/>
            <w:r w:rsidR="00971988">
              <w:t xml:space="preserve"> </w:t>
            </w:r>
            <w:proofErr w:type="spellStart"/>
            <w:r w:rsidR="00971988">
              <w:t>xả</w:t>
            </w:r>
            <w:proofErr w:type="spellEnd"/>
            <w:r w:rsidR="00971988">
              <w:t xml:space="preserve"> </w:t>
            </w:r>
            <w:proofErr w:type="gramStart"/>
            <w:r w:rsidR="00971988">
              <w:t xml:space="preserve">( </w:t>
            </w:r>
            <w:proofErr w:type="spellStart"/>
            <w:r w:rsidR="00971988">
              <w:t>khoảng</w:t>
            </w:r>
            <w:proofErr w:type="spellEnd"/>
            <w:proofErr w:type="gramEnd"/>
            <w:r w:rsidR="00971988">
              <w:t xml:space="preserve"> 2 - 3 </w:t>
            </w:r>
            <w:proofErr w:type="spellStart"/>
            <w:r w:rsidR="00971988">
              <w:t>năm</w:t>
            </w:r>
            <w:proofErr w:type="spellEnd"/>
            <w:r w:rsidR="00971988">
              <w:t>)</w:t>
            </w:r>
          </w:p>
          <w:p w:rsidR="007A15AB" w:rsidRDefault="007A15A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sạc</w:t>
            </w:r>
            <w:proofErr w:type="spellEnd"/>
            <w:r>
              <w:t>: 10~45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℃</w:t>
            </w:r>
          </w:p>
          <w:p w:rsidR="006C01CA" w:rsidRPr="006C01CA" w:rsidRDefault="006C01CA" w:rsidP="006C01C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>: -20~60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℃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: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- </w:t>
            </w:r>
            <w:r w:rsidR="00971988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10 ~ 40</w:t>
            </w:r>
            <w:r w:rsidRPr="006C01CA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℃</w:t>
            </w:r>
          </w:p>
        </w:tc>
        <w:tc>
          <w:tcPr>
            <w:tcW w:w="2880" w:type="dxa"/>
          </w:tcPr>
          <w:p w:rsidR="009A025C" w:rsidRDefault="00E35AB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: </w:t>
            </w:r>
            <w:r w:rsidR="00C57555">
              <w:t xml:space="preserve">3 </w:t>
            </w:r>
            <w:r w:rsidR="00736A96">
              <w:t>V</w:t>
            </w:r>
          </w:p>
          <w:p w:rsidR="00E35ABB" w:rsidRDefault="00E35ABB" w:rsidP="00E35ABB">
            <w:pPr>
              <w:pStyle w:val="ListParagraph"/>
              <w:numPr>
                <w:ilvl w:val="0"/>
                <w:numId w:val="2"/>
              </w:numPr>
            </w:pPr>
            <w:r>
              <w:t xml:space="preserve">Dung </w:t>
            </w:r>
            <w:proofErr w:type="spellStart"/>
            <w:r>
              <w:t>lượng</w:t>
            </w:r>
            <w:proofErr w:type="spellEnd"/>
            <w:r w:rsidR="00C57555">
              <w:t xml:space="preserve">: 200 – 220 </w:t>
            </w:r>
            <w:proofErr w:type="spellStart"/>
            <w:r w:rsidR="00C57555">
              <w:t>mAh</w:t>
            </w:r>
            <w:proofErr w:type="spellEnd"/>
          </w:p>
          <w:p w:rsidR="00C57555" w:rsidRDefault="00C57555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 20 x 3.2</w:t>
            </w:r>
            <w:r w:rsidR="007A15AB">
              <w:t>(</w:t>
            </w:r>
            <w:r>
              <w:t>mm</w:t>
            </w:r>
            <w:r w:rsidR="007A15AB">
              <w:t>)</w:t>
            </w:r>
          </w:p>
          <w:p w:rsidR="00C57555" w:rsidRDefault="00C57555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: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  <w:r>
              <w:t xml:space="preserve">: </w:t>
            </w:r>
            <w:r>
              <w:t xml:space="preserve">3 - 5 </w:t>
            </w:r>
            <w:proofErr w:type="spellStart"/>
            <w:r>
              <w:t>năm</w:t>
            </w:r>
            <w:proofErr w:type="spellEnd"/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:rsidR="006C01CA" w:rsidRDefault="006C01CA" w:rsidP="006C01CA">
            <w:pPr>
              <w:pStyle w:val="ListParagraph"/>
              <w:spacing w:after="160" w:line="259" w:lineRule="auto"/>
              <w:ind w:left="360"/>
            </w:pPr>
            <w:r>
              <w:t>-20~60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℃</w:t>
            </w:r>
          </w:p>
          <w:p w:rsidR="00971988" w:rsidRPr="00971988" w:rsidRDefault="006C01CA" w:rsidP="006C01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: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C01CA" w:rsidRDefault="006C01CA" w:rsidP="00971988">
            <w:pPr>
              <w:pStyle w:val="ListParagraph"/>
              <w:ind w:left="360"/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~ 30</w:t>
            </w:r>
            <w:r w:rsidRPr="006C01CA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 ℃</w:t>
            </w:r>
          </w:p>
        </w:tc>
        <w:tc>
          <w:tcPr>
            <w:tcW w:w="3150" w:type="dxa"/>
          </w:tcPr>
          <w:p w:rsidR="009A025C" w:rsidRDefault="00E35AB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Điện</w:t>
            </w:r>
            <w:proofErr w:type="spellEnd"/>
            <w:r>
              <w:t xml:space="preserve"> áp:3.7 - 4.2V</w:t>
            </w:r>
          </w:p>
          <w:p w:rsidR="00736A96" w:rsidRDefault="00736A96" w:rsidP="00736A96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thiểu</w:t>
            </w:r>
            <w:proofErr w:type="spellEnd"/>
            <w:r>
              <w:t>(</w:t>
            </w:r>
            <w:proofErr w:type="gramEnd"/>
            <w:r>
              <w:t>cut off): 3V</w:t>
            </w:r>
          </w:p>
          <w:p w:rsidR="00E35ABB" w:rsidRDefault="00E35ABB" w:rsidP="00E35ABB">
            <w:pPr>
              <w:pStyle w:val="ListParagraph"/>
              <w:numPr>
                <w:ilvl w:val="0"/>
                <w:numId w:val="2"/>
              </w:numPr>
            </w:pPr>
            <w:r>
              <w:t>Dung lượng:</w:t>
            </w:r>
            <w:r w:rsidR="006C01CA">
              <w:t>2000</w:t>
            </w:r>
            <w:r>
              <w:t xml:space="preserve"> </w:t>
            </w:r>
            <w:proofErr w:type="spellStart"/>
            <w:r>
              <w:t>mAh</w:t>
            </w:r>
            <w:proofErr w:type="spellEnd"/>
          </w:p>
          <w:p w:rsidR="00E35ABB" w:rsidRDefault="00E35ABB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</w:t>
            </w:r>
            <w:r w:rsidR="006C01CA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r w:rsidR="006C01CA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64.7×18.4mm</w:t>
            </w:r>
          </w:p>
          <w:p w:rsidR="00C57555" w:rsidRDefault="00C57555" w:rsidP="00E35AB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: </w:t>
            </w:r>
            <w:r w:rsidR="007A15AB">
              <w:t>~</w:t>
            </w:r>
            <w:r>
              <w:t>34g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sạ</w:t>
            </w:r>
            <w:r w:rsidR="00971988">
              <w:t>c</w:t>
            </w:r>
            <w:proofErr w:type="spellEnd"/>
            <w:r w:rsidR="00971988">
              <w:t>: 0.2</w:t>
            </w:r>
            <w:r>
              <w:t>C –</w:t>
            </w:r>
            <w:r w:rsidR="00971988">
              <w:t xml:space="preserve"> 0.5</w:t>
            </w:r>
            <w:r>
              <w:t xml:space="preserve">C 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>: 0.2C –</w:t>
            </w:r>
            <w:r w:rsidR="00971988">
              <w:t xml:space="preserve"> 3</w:t>
            </w:r>
            <w:r>
              <w:t>C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thọ</w:t>
            </w:r>
            <w:proofErr w:type="spellEnd"/>
            <w:r>
              <w:t xml:space="preserve">: </w:t>
            </w:r>
            <w:proofErr w:type="spellStart"/>
            <w:r w:rsidR="00971988">
              <w:t>khoảng</w:t>
            </w:r>
            <w:proofErr w:type="spellEnd"/>
            <w:r w:rsidR="00971988">
              <w:t xml:space="preserve"> 300 -500 </w:t>
            </w:r>
            <w:proofErr w:type="spellStart"/>
            <w:r w:rsidR="00971988">
              <w:t>lần</w:t>
            </w:r>
            <w:proofErr w:type="spellEnd"/>
            <w:r w:rsidR="00971988">
              <w:t xml:space="preserve"> </w:t>
            </w:r>
            <w:proofErr w:type="spellStart"/>
            <w:r w:rsidR="00971988">
              <w:t>sạc</w:t>
            </w:r>
            <w:proofErr w:type="spellEnd"/>
            <w:r w:rsidR="00971988">
              <w:t xml:space="preserve"> </w:t>
            </w:r>
            <w:proofErr w:type="spellStart"/>
            <w:r w:rsidR="00971988">
              <w:t>xả</w:t>
            </w:r>
            <w:proofErr w:type="spellEnd"/>
            <w:r w:rsidR="00971988">
              <w:t xml:space="preserve"> </w:t>
            </w:r>
            <w:proofErr w:type="gramStart"/>
            <w:r w:rsidR="00971988">
              <w:t xml:space="preserve">( </w:t>
            </w:r>
            <w:proofErr w:type="spellStart"/>
            <w:r w:rsidR="00971988">
              <w:t>khoảng</w:t>
            </w:r>
            <w:proofErr w:type="spellEnd"/>
            <w:proofErr w:type="gramEnd"/>
            <w:r w:rsidR="00971988">
              <w:t xml:space="preserve"> 2 – 3 </w:t>
            </w:r>
            <w:proofErr w:type="spellStart"/>
            <w:r w:rsidR="00971988">
              <w:t>năm</w:t>
            </w:r>
            <w:proofErr w:type="spellEnd"/>
            <w:r w:rsidR="00971988">
              <w:t>)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: 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sạ</w:t>
            </w:r>
            <w:r w:rsidR="00971988">
              <w:t>c</w:t>
            </w:r>
            <w:proofErr w:type="spellEnd"/>
            <w:r w:rsidR="00971988">
              <w:t xml:space="preserve">: </w:t>
            </w:r>
            <w:r>
              <w:t>0~45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℃</w:t>
            </w:r>
          </w:p>
          <w:p w:rsidR="006C01CA" w:rsidRPr="006C01CA" w:rsidRDefault="006C01CA" w:rsidP="006C01CA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>: -20~60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℃</w:t>
            </w:r>
          </w:p>
          <w:p w:rsidR="006C01CA" w:rsidRDefault="006C01CA" w:rsidP="006C01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>: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- </w:t>
            </w:r>
            <w:r w:rsidRPr="006C01CA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20 ~ 35 ℃</w:t>
            </w:r>
          </w:p>
        </w:tc>
      </w:tr>
      <w:tr w:rsidR="009A025C" w:rsidTr="006C01CA">
        <w:tc>
          <w:tcPr>
            <w:tcW w:w="810" w:type="dxa"/>
          </w:tcPr>
          <w:p w:rsidR="009A025C" w:rsidRDefault="00C57555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pin</w:t>
            </w:r>
          </w:p>
        </w:tc>
        <w:tc>
          <w:tcPr>
            <w:tcW w:w="2970" w:type="dxa"/>
          </w:tcPr>
          <w:p w:rsidR="009A025C" w:rsidRDefault="007A15AB">
            <w:hyperlink r:id="rId8" w:history="1">
              <w:r w:rsidRPr="00557663">
                <w:rPr>
                  <w:rStyle w:val="Hyperlink"/>
                </w:rPr>
                <w:t>https://www.vatsbattery.com/product/rechargeable-battery-103450-3-7v-2000mah-prismatic-lipo-battery/</w:t>
              </w:r>
            </w:hyperlink>
          </w:p>
          <w:p w:rsidR="007A15AB" w:rsidRDefault="007A15AB"/>
        </w:tc>
        <w:tc>
          <w:tcPr>
            <w:tcW w:w="2880" w:type="dxa"/>
          </w:tcPr>
          <w:p w:rsidR="009A025C" w:rsidRDefault="00C57555">
            <w:hyperlink r:id="rId9" w:history="1">
              <w:r w:rsidRPr="00557663">
                <w:rPr>
                  <w:rStyle w:val="Hyperlink"/>
                </w:rPr>
                <w:t>https://www.mouser.com/catalog/additional/Adafruit_3262.pdf</w:t>
              </w:r>
            </w:hyperlink>
          </w:p>
          <w:p w:rsidR="00C57555" w:rsidRDefault="00C57555">
            <w:hyperlink r:id="rId10" w:history="1">
              <w:r w:rsidRPr="00557663">
                <w:rPr>
                  <w:rStyle w:val="Hyperlink"/>
                </w:rPr>
                <w:t>http://robocon.vn/detail/ppkp137-pin-cr2032-sony-lithium-pin-cmos-3v.html</w:t>
              </w:r>
            </w:hyperlink>
          </w:p>
          <w:p w:rsidR="00C57555" w:rsidRDefault="00C57555"/>
        </w:tc>
        <w:tc>
          <w:tcPr>
            <w:tcW w:w="3150" w:type="dxa"/>
          </w:tcPr>
          <w:p w:rsidR="009A025C" w:rsidRDefault="00736A96">
            <w:hyperlink r:id="rId11" w:history="1">
              <w:r w:rsidRPr="00557663">
                <w:rPr>
                  <w:rStyle w:val="Hyperlink"/>
                </w:rPr>
                <w:t>http://sa.tipa.eu/datasheet/04250300-datasheet-en.pdf</w:t>
              </w:r>
            </w:hyperlink>
          </w:p>
          <w:p w:rsidR="00736A96" w:rsidRDefault="00736A96"/>
        </w:tc>
      </w:tr>
    </w:tbl>
    <w:p w:rsidR="000D363B" w:rsidRDefault="000C64B8"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C-rate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(C)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is defined as </w:t>
      </w:r>
      <w:r>
        <w:rPr>
          <w:rFonts w:ascii="Arial" w:hAnsi="Arial" w:cs="Arial"/>
          <w:color w:val="040C28"/>
          <w:sz w:val="33"/>
          <w:szCs w:val="33"/>
        </w:rPr>
        <w:t>the charge / discharge current divided by the nominally rated battery capacity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For exampl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e, a 5000 mA charge on a 2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500 </w:t>
      </w:r>
      <w:proofErr w:type="spell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mAh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rated battery would be a 2C rate.</w:t>
      </w:r>
    </w:p>
    <w:p w:rsidR="00736A96" w:rsidRDefault="00736A96"/>
    <w:p w:rsidR="00736A96" w:rsidRDefault="00736A96"/>
    <w:p w:rsidR="00736A96" w:rsidRDefault="00736A96"/>
    <w:p w:rsidR="00736A96" w:rsidRDefault="00736A96"/>
    <w:p w:rsidR="00736A96" w:rsidRDefault="00736A96"/>
    <w:p w:rsidR="00736A96" w:rsidRDefault="00736A96"/>
    <w:p w:rsidR="00736A96" w:rsidRDefault="00736A96"/>
    <w:p w:rsidR="00736A96" w:rsidRDefault="00736A96">
      <w:proofErr w:type="spellStart"/>
      <w:r>
        <w:t>Mạch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xả</w:t>
      </w:r>
      <w:proofErr w:type="spellEnd"/>
      <w:r>
        <w:t xml:space="preserve"> pin:</w:t>
      </w:r>
    </w:p>
    <w:p w:rsidR="00736A96" w:rsidRDefault="00736A96" w:rsidP="00736A96">
      <w:pPr>
        <w:jc w:val="center"/>
      </w:pPr>
      <w:r>
        <w:rPr>
          <w:noProof/>
        </w:rPr>
        <w:drawing>
          <wp:inline distT="0" distB="0" distL="0" distR="0">
            <wp:extent cx="5943600" cy="3663635"/>
            <wp:effectExtent l="0" t="0" r="0" b="0"/>
            <wp:docPr id="6" name="Picture 6" descr="https://nshopvn.com/wp-content/uploads/2023/01/so-do-chan-mach-sac-xa-pin-18650-cong-type-c-co-den-bao-j9p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shopvn.com/wp-content/uploads/2023/01/so-do-chan-mach-sac-xa-pin-18650-cong-type-c-co-den-bao-j9p7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96" w:rsidRDefault="00484489" w:rsidP="000C64B8">
      <w:pPr>
        <w:rPr>
          <w:rFonts w:ascii="Times New Roman" w:hAnsi="Times New Roman" w:cs="Times New Roman"/>
          <w:sz w:val="28"/>
          <w:szCs w:val="28"/>
        </w:rPr>
      </w:pPr>
      <w:r w:rsidRPr="00484489">
        <w:rPr>
          <w:rFonts w:ascii="Times New Roman" w:hAnsi="Times New Roman" w:cs="Times New Roman"/>
          <w:sz w:val="28"/>
          <w:szCs w:val="28"/>
        </w:rPr>
        <w:t xml:space="preserve">PCB: </w:t>
      </w:r>
    </w:p>
    <w:p w:rsidR="00942741" w:rsidRDefault="00942741" w:rsidP="000C64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bookmarkStart w:id="0" w:name="_GoBack"/>
      <w:bookmarkEnd w:id="0"/>
    </w:p>
    <w:p w:rsidR="00942741" w:rsidRPr="00484489" w:rsidRDefault="00942741" w:rsidP="000C64B8">
      <w:pPr>
        <w:rPr>
          <w:rFonts w:ascii="Times New Roman" w:hAnsi="Times New Roman" w:cs="Times New Roman"/>
          <w:sz w:val="28"/>
          <w:szCs w:val="28"/>
        </w:rPr>
      </w:pPr>
      <w:r w:rsidRPr="009427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550CA6" wp14:editId="1B683139">
            <wp:extent cx="5943600" cy="3978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  <w:r w:rsidRPr="00484489">
        <w:rPr>
          <w:rFonts w:ascii="Times New Roman" w:hAnsi="Times New Roman" w:cs="Times New Roman"/>
          <w:sz w:val="28"/>
          <w:szCs w:val="28"/>
        </w:rPr>
        <w:t>Pros/cons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484489">
        <w:rPr>
          <w:rFonts w:ascii="Times New Roman" w:hAnsi="Times New Roman" w:cs="Times New Roman"/>
          <w:sz w:val="28"/>
          <w:szCs w:val="28"/>
        </w:rPr>
        <w:t>utorouter</w:t>
      </w:r>
      <w:proofErr w:type="spellEnd"/>
      <w:r w:rsidRPr="00484489">
        <w:rPr>
          <w:rFonts w:ascii="Times New Roman" w:hAnsi="Times New Roman" w:cs="Times New Roman"/>
          <w:sz w:val="28"/>
          <w:szCs w:val="28"/>
        </w:rPr>
        <w:t>:</w:t>
      </w:r>
    </w:p>
    <w:p w:rsidR="00484489" w:rsidRPr="00484489" w:rsidRDefault="00484489" w:rsidP="00484489">
      <w:pPr>
        <w:numPr>
          <w:ilvl w:val="0"/>
          <w:numId w:val="5"/>
        </w:numPr>
        <w:spacing w:after="100" w:afterAutospacing="1" w:line="240" w:lineRule="auto"/>
        <w:ind w:left="0"/>
        <w:rPr>
          <w:rFonts w:ascii="ArtifaktElement" w:eastAsia="Times New Roman" w:hAnsi="ArtifaktElement" w:cs="Times New Roman"/>
          <w:color w:val="212121"/>
          <w:sz w:val="30"/>
          <w:szCs w:val="30"/>
        </w:rPr>
      </w:pPr>
      <w:r w:rsidRPr="00484489">
        <w:rPr>
          <w:rFonts w:ascii="ArtifaktElement" w:eastAsia="Times New Roman" w:hAnsi="ArtifaktElement" w:cs="Times New Roman"/>
          <w:b/>
          <w:bCs/>
          <w:color w:val="212121"/>
          <w:sz w:val="30"/>
          <w:szCs w:val="30"/>
        </w:rPr>
        <w:t>Precision</w:t>
      </w:r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. You can use the </w:t>
      </w:r>
      <w:proofErr w:type="spellStart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>autorouter</w:t>
      </w:r>
      <w:proofErr w:type="spellEnd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 after you place all of your components to see what completion rating you get. If it’s below 85%, then this is an indication that you need to make some adjustments to your part placement.</w:t>
      </w:r>
    </w:p>
    <w:p w:rsidR="00484489" w:rsidRPr="00484489" w:rsidRDefault="00484489" w:rsidP="00484489">
      <w:pPr>
        <w:numPr>
          <w:ilvl w:val="0"/>
          <w:numId w:val="5"/>
        </w:numPr>
        <w:spacing w:beforeAutospacing="1" w:after="100" w:afterAutospacing="1" w:line="240" w:lineRule="auto"/>
        <w:ind w:left="0"/>
        <w:rPr>
          <w:rFonts w:ascii="ArtifaktElement" w:eastAsia="Times New Roman" w:hAnsi="ArtifaktElement" w:cs="Times New Roman"/>
          <w:color w:val="212121"/>
          <w:sz w:val="30"/>
          <w:szCs w:val="30"/>
        </w:rPr>
      </w:pPr>
      <w:r w:rsidRPr="00484489">
        <w:rPr>
          <w:rFonts w:ascii="ArtifaktElement" w:eastAsia="Times New Roman" w:hAnsi="ArtifaktElement" w:cs="Times New Roman"/>
          <w:b/>
          <w:bCs/>
          <w:color w:val="212121"/>
          <w:sz w:val="30"/>
          <w:szCs w:val="30"/>
        </w:rPr>
        <w:t>Bottlenecks</w:t>
      </w:r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. You can also use the </w:t>
      </w:r>
      <w:proofErr w:type="spellStart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>autorouter</w:t>
      </w:r>
      <w:proofErr w:type="spellEnd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 to discover bottlenecks and other critical connection points that you might not have seen during your component placement process.</w:t>
      </w:r>
    </w:p>
    <w:p w:rsidR="00484489" w:rsidRPr="00484489" w:rsidRDefault="00484489" w:rsidP="00484489">
      <w:pPr>
        <w:numPr>
          <w:ilvl w:val="0"/>
          <w:numId w:val="5"/>
        </w:numPr>
        <w:spacing w:beforeAutospacing="1" w:after="100" w:afterAutospacing="1" w:line="240" w:lineRule="auto"/>
        <w:ind w:left="0"/>
        <w:rPr>
          <w:rFonts w:ascii="ArtifaktElement" w:eastAsia="Times New Roman" w:hAnsi="ArtifaktElement" w:cs="Times New Roman"/>
          <w:color w:val="212121"/>
          <w:sz w:val="30"/>
          <w:szCs w:val="30"/>
        </w:rPr>
      </w:pPr>
      <w:r w:rsidRPr="00484489">
        <w:rPr>
          <w:rFonts w:ascii="ArtifaktElement" w:eastAsia="Times New Roman" w:hAnsi="ArtifaktElement" w:cs="Times New Roman"/>
          <w:b/>
          <w:bCs/>
          <w:color w:val="212121"/>
          <w:sz w:val="30"/>
          <w:szCs w:val="30"/>
        </w:rPr>
        <w:t>Inspiration</w:t>
      </w:r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. Lastly, you can use the </w:t>
      </w:r>
      <w:proofErr w:type="spellStart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>autorouter</w:t>
      </w:r>
      <w:proofErr w:type="spellEnd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 as a source of inspiration for how you might want to route some traces that you just can’t complete. A quick run through the </w:t>
      </w:r>
      <w:proofErr w:type="spellStart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>autorouter</w:t>
      </w:r>
      <w:proofErr w:type="spellEnd"/>
      <w:r w:rsidRPr="00484489">
        <w:rPr>
          <w:rFonts w:ascii="ArtifaktElement" w:eastAsia="Times New Roman" w:hAnsi="ArtifaktElement" w:cs="Times New Roman"/>
          <w:color w:val="212121"/>
          <w:sz w:val="30"/>
          <w:szCs w:val="30"/>
        </w:rPr>
        <w:t xml:space="preserve"> might show you a new path that you hadn’t considered before.</w:t>
      </w:r>
    </w:p>
    <w:p w:rsid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  <w:r w:rsidRPr="004844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210EF3" wp14:editId="4DD560B0">
            <wp:extent cx="5943600" cy="457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</w:p>
    <w:p w:rsid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57663">
          <w:rPr>
            <w:rStyle w:val="Hyperlink"/>
            <w:rFonts w:ascii="Times New Roman" w:hAnsi="Times New Roman" w:cs="Times New Roman"/>
            <w:sz w:val="28"/>
            <w:szCs w:val="28"/>
          </w:rPr>
          <w:t>https://uetpcb.com/pcb-layout-and-pcb-design/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489" w:rsidRPr="00484489" w:rsidRDefault="00484489" w:rsidP="000C64B8">
      <w:pPr>
        <w:rPr>
          <w:rFonts w:ascii="Times New Roman" w:hAnsi="Times New Roman" w:cs="Times New Roman"/>
          <w:sz w:val="28"/>
          <w:szCs w:val="28"/>
        </w:rPr>
      </w:pPr>
      <w:r w:rsidRPr="004844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FDB61" wp14:editId="5DDEC1EE">
            <wp:extent cx="5013960" cy="27204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461" cy="27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89" w:rsidRPr="0048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Eleme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E55B5"/>
    <w:multiLevelType w:val="hybridMultilevel"/>
    <w:tmpl w:val="77E4E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C54B9"/>
    <w:multiLevelType w:val="hybridMultilevel"/>
    <w:tmpl w:val="726AA862"/>
    <w:lvl w:ilvl="0" w:tplc="3F0AD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96D12"/>
    <w:multiLevelType w:val="hybridMultilevel"/>
    <w:tmpl w:val="5358C226"/>
    <w:lvl w:ilvl="0" w:tplc="5282AB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725DC8"/>
    <w:multiLevelType w:val="multilevel"/>
    <w:tmpl w:val="F55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8565C"/>
    <w:multiLevelType w:val="hybridMultilevel"/>
    <w:tmpl w:val="4F422962"/>
    <w:lvl w:ilvl="0" w:tplc="5282AB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C"/>
    <w:rsid w:val="000C64B8"/>
    <w:rsid w:val="000D363B"/>
    <w:rsid w:val="0034182E"/>
    <w:rsid w:val="00484489"/>
    <w:rsid w:val="006C01CA"/>
    <w:rsid w:val="00736A96"/>
    <w:rsid w:val="007A15AB"/>
    <w:rsid w:val="00942741"/>
    <w:rsid w:val="00971988"/>
    <w:rsid w:val="009A025C"/>
    <w:rsid w:val="00C57555"/>
    <w:rsid w:val="00E35ABB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513"/>
  <w15:chartTrackingRefBased/>
  <w15:docId w15:val="{D0F109D7-E336-4963-90DF-4F8ACB5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tsbattery.com/product/rechargeable-battery-103450-3-7v-2000mah-prismatic-lipo-battery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a.tipa.eu/datasheet/04250300-datasheet-en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etpcb.com/pcb-layout-and-pcb-design/" TargetMode="External"/><Relationship Id="rId10" Type="http://schemas.openxmlformats.org/officeDocument/2006/relationships/hyperlink" Target="http://robocon.vn/detail/ppkp137-pin-cr2032-sony-lithium-pin-cmos-3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ser.com/catalog/additional/Adafruit_3262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2023-03-26T20:40:00Z</dcterms:created>
  <dcterms:modified xsi:type="dcterms:W3CDTF">2023-03-26T23:06:00Z</dcterms:modified>
</cp:coreProperties>
</file>