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Times New Roman" w:cs="Times New Roman" w:eastAsia="Times New Roman" w:hAnsi="Times New Roman"/>
          <w:b/>
          <w:bCs/>
          <w:sz w:val="28"/>
          <w:szCs w:val="28"/>
        </w:rPr>
        <w:t xml:space="preserve">CÔNG TY TNHH GIẢI PHÁP KỸ THUẬT SÓNG VIỆT</w:t>
      </w:r>
    </w:p>
    <w:p>
      <w:pPr>
        <w:spacing w:after="1600" w:before="0"/>
        <w:jc w:val="center"/>
      </w:pPr>
      <w:r>
        <w:rPr>
          <w:rFonts w:ascii="Times New Roman" w:cs="Times New Roman" w:eastAsia="Times New Roman" w:hAnsi="Times New Roman"/>
          <w:b/>
          <w:bCs/>
          <w:i/>
          <w:iCs/>
          <w:color w:val="B23A48"/>
          <w:sz w:val="22"/>
          <w:szCs w:val="22"/>
        </w:rPr>
        <w:t xml:space="preserve">WE HAVE SOLUTIONS</w:t>
      </w:r>
    </w:p>
    <w:p>
      <w:pPr>
        <w:spacing w:after="200" w:before="0"/>
        <w:jc w:val="center"/>
      </w:pPr>
      <w:r>
        <w:rPr>
          <w:rFonts w:ascii="Times New Roman" w:cs="Times New Roman" w:eastAsia="Times New Roman" w:hAnsi="Times New Roman"/>
          <w:b/>
          <w:bCs/>
          <w:i w:val="false"/>
          <w:iCs w:val="false"/>
          <w:sz w:val="52"/>
          <w:szCs w:val="52"/>
        </w:rPr>
        <w:t xml:space="preserve">SỔ TAY QUY CHẾ CÔNG TY</w:t>
      </w:r>
    </w:p>
    <w:p>
      <w:pPr>
        <w:spacing w:after="2200" w:before="0"/>
        <w:jc w:val="center"/>
      </w:pPr>
      <w:r>
        <w:rPr>
          <w:rFonts w:ascii="Times New Roman" w:cs="Times New Roman" w:eastAsia="Times New Roman" w:hAnsi="Times New Roman"/>
          <w:b w:val="false"/>
          <w:bCs w:val="false"/>
          <w:i/>
          <w:iCs/>
          <w:sz w:val="24"/>
          <w:szCs w:val="24"/>
        </w:rPr>
        <w:t xml:space="preserve">(Tuyển tập các quy chế, chính sách, nội quy)</w:t>
      </w:r>
    </w:p>
    <w:p>
      <w:pPr>
        <w:spacing w:after="200" w:before="0"/>
        <w:jc w:val="center"/>
      </w:pPr>
      <w:r>
        <w:rPr>
          <w:rFonts w:ascii="Times New Roman" w:cs="Times New Roman" w:eastAsia="Times New Roman" w:hAnsi="Times New Roman"/>
          <w:b/>
          <w:bCs/>
          <w:i w:val="false"/>
          <w:iCs w:val="false"/>
          <w:sz w:val="28"/>
          <w:szCs w:val="28"/>
        </w:rPr>
        <w:t xml:space="preserve">Năm 2026</w:t>
      </w:r>
    </w:p>
    <w:p>
      <w:pPr>
        <w:spacing w:after="120" w:before="0"/>
        <w:jc w:val="center"/>
      </w:pPr>
      <w:r>
        <w:rPr>
          <w:rFonts w:ascii="Times New Roman" w:cs="Times New Roman" w:eastAsia="Times New Roman" w:hAnsi="Times New Roman"/>
          <w:b w:val="false"/>
          <w:bCs w:val="false"/>
          <w:i/>
          <w:iCs/>
          <w:color w:val="5B7186"/>
          <w:sz w:val="22"/>
          <w:szCs w:val="22"/>
        </w:rPr>
        <w:t xml:space="preserve">Lưu hành nội bộ</w:t>
      </w:r>
    </w:p>
    <w:p>
      <w:r>
        <w:br w:type="page"/>
      </w:r>
    </w:p>
    <w:p>
      <w:pPr>
        <w:spacing w:after="240" w:before="0"/>
        <w:jc w:val="center"/>
      </w:pPr>
      <w:r>
        <w:rPr>
          <w:rFonts w:ascii="Times New Roman" w:cs="Times New Roman" w:eastAsia="Times New Roman" w:hAnsi="Times New Roman"/>
          <w:b/>
          <w:bCs/>
          <w:i w:val="false"/>
          <w:iCs w:val="false"/>
          <w:sz w:val="32"/>
          <w:szCs w:val="32"/>
        </w:rPr>
        <w:t xml:space="preserve">MỤC LỤC</w:t>
      </w:r>
    </w:p>
    <w:tbl>
      <w:tblPr>
        <w:tblW w:type="auto" w:w="100"/>
        <w:tblBorders>
          <w:top w:val="none"/>
          <w:left w:val="none"/>
          <w:bottom w:val="none"/>
          <w:right w:val="none"/>
          <w:insideH w:val="none"/>
          <w:insideV w:val="none"/>
        </w:tblBorders>
      </w:tblPr>
      <w:tblGrid>
        <w:gridCol w:w="900"/>
        <w:gridCol w:w="1500"/>
        <w:gridCol w:w="7200"/>
      </w:tblGrid>
      <w:tr>
        <w:tc>
          <w:tcPr>
            <w:tcW w:type="dxa" w:w="9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b/>
                <w:bCs/>
                <w:sz w:val="24"/>
                <w:szCs w:val="24"/>
              </w:rPr>
              <w:t xml:space="preserve">01</w:t>
            </w:r>
          </w:p>
        </w:tc>
        <w:tc>
          <w:tcPr>
            <w:tcW w:type="dxa" w:w="15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color w:val="0E7C86"/>
                <w:sz w:val="22"/>
                <w:szCs w:val="22"/>
              </w:rPr>
              <w:t xml:space="preserve">POL-NQ</w:t>
            </w:r>
          </w:p>
        </w:tc>
        <w:tc>
          <w:tcPr>
            <w:tcW w:type="dxa" w:w="72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sz w:val="24"/>
                <w:szCs w:val="24"/>
              </w:rPr>
              <w:t xml:space="preserve">NỘI QUY LAO ĐỘNG</w:t>
            </w:r>
          </w:p>
        </w:tc>
      </w:tr>
      <w:tr>
        <w:tc>
          <w:tcPr>
            <w:tcW w:type="dxa" w:w="9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b/>
                <w:bCs/>
                <w:sz w:val="24"/>
                <w:szCs w:val="24"/>
              </w:rPr>
              <w:t xml:space="preserve">02</w:t>
            </w:r>
          </w:p>
        </w:tc>
        <w:tc>
          <w:tcPr>
            <w:tcW w:type="dxa" w:w="15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color w:val="0E7C86"/>
                <w:sz w:val="22"/>
                <w:szCs w:val="22"/>
              </w:rPr>
              <w:t xml:space="preserve">TBL</w:t>
            </w:r>
          </w:p>
        </w:tc>
        <w:tc>
          <w:tcPr>
            <w:tcW w:type="dxa" w:w="72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sz w:val="24"/>
                <w:szCs w:val="24"/>
              </w:rPr>
              <w:t xml:space="preserve">THANG LƯƠNG, BẢNG LƯƠNG</w:t>
            </w:r>
          </w:p>
        </w:tc>
      </w:tr>
      <w:tr>
        <w:tc>
          <w:tcPr>
            <w:tcW w:type="dxa" w:w="9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b/>
                <w:bCs/>
                <w:sz w:val="24"/>
                <w:szCs w:val="24"/>
              </w:rPr>
              <w:t xml:space="preserve">03</w:t>
            </w:r>
          </w:p>
        </w:tc>
        <w:tc>
          <w:tcPr>
            <w:tcW w:type="dxa" w:w="15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color w:val="0E7C86"/>
                <w:sz w:val="22"/>
                <w:szCs w:val="22"/>
              </w:rPr>
              <w:t xml:space="preserve">QCT</w:t>
            </w:r>
          </w:p>
        </w:tc>
        <w:tc>
          <w:tcPr>
            <w:tcW w:type="dxa" w:w="72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sz w:val="24"/>
                <w:szCs w:val="24"/>
              </w:rPr>
              <w:t xml:space="preserve">QUY CHẾ THƯỞNG</w:t>
            </w:r>
          </w:p>
        </w:tc>
      </w:tr>
      <w:tr>
        <w:tc>
          <w:tcPr>
            <w:tcW w:type="dxa" w:w="9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b/>
                <w:bCs/>
                <w:sz w:val="24"/>
                <w:szCs w:val="24"/>
              </w:rPr>
              <w:t xml:space="preserve">04</w:t>
            </w:r>
          </w:p>
        </w:tc>
        <w:tc>
          <w:tcPr>
            <w:tcW w:type="dxa" w:w="15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color w:val="0E7C86"/>
                <w:sz w:val="22"/>
                <w:szCs w:val="22"/>
              </w:rPr>
              <w:t xml:space="preserve">QCDC</w:t>
            </w:r>
          </w:p>
        </w:tc>
        <w:tc>
          <w:tcPr>
            <w:tcW w:type="dxa" w:w="72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sz w:val="24"/>
                <w:szCs w:val="24"/>
              </w:rPr>
              <w:t xml:space="preserve">QUY CHẾ DÂN CHỦ Ở CƠ SỞ TẠI NƠI LÀM VIỆC</w:t>
            </w:r>
          </w:p>
        </w:tc>
      </w:tr>
      <w:tr>
        <w:tc>
          <w:tcPr>
            <w:tcW w:type="dxa" w:w="9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b/>
                <w:bCs/>
                <w:sz w:val="24"/>
                <w:szCs w:val="24"/>
              </w:rPr>
              <w:t xml:space="preserve">05</w:t>
            </w:r>
          </w:p>
        </w:tc>
        <w:tc>
          <w:tcPr>
            <w:tcW w:type="dxa" w:w="15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color w:val="0E7C86"/>
                <w:sz w:val="22"/>
                <w:szCs w:val="22"/>
              </w:rPr>
              <w:t xml:space="preserve">ATVSLĐ</w:t>
            </w:r>
          </w:p>
        </w:tc>
        <w:tc>
          <w:tcPr>
            <w:tcW w:type="dxa" w:w="72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sz w:val="24"/>
                <w:szCs w:val="24"/>
              </w:rPr>
              <w:t xml:space="preserve">QUY CHẾ AN TOÀN, VỆ SINH LAO ĐỘNG</w:t>
            </w:r>
          </w:p>
        </w:tc>
      </w:tr>
      <w:tr>
        <w:tc>
          <w:tcPr>
            <w:tcW w:type="dxa" w:w="9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b/>
                <w:bCs/>
                <w:sz w:val="24"/>
                <w:szCs w:val="24"/>
              </w:rPr>
              <w:t xml:space="preserve">06</w:t>
            </w:r>
          </w:p>
        </w:tc>
        <w:tc>
          <w:tcPr>
            <w:tcW w:type="dxa" w:w="15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color w:val="0E7C86"/>
                <w:sz w:val="22"/>
                <w:szCs w:val="22"/>
              </w:rPr>
              <w:t xml:space="preserve">BVDLCN</w:t>
            </w:r>
          </w:p>
        </w:tc>
        <w:tc>
          <w:tcPr>
            <w:tcW w:type="dxa" w:w="72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sz w:val="24"/>
                <w:szCs w:val="24"/>
              </w:rPr>
              <w:t xml:space="preserve">CHÍNH SÁCH BẢO VỆ DỮ LIỆU CÁ NHÂN</w:t>
            </w:r>
          </w:p>
        </w:tc>
      </w:tr>
      <w:tr>
        <w:tc>
          <w:tcPr>
            <w:tcW w:type="dxa" w:w="9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b/>
                <w:bCs/>
                <w:sz w:val="24"/>
                <w:szCs w:val="24"/>
              </w:rPr>
              <w:t xml:space="preserve">07</w:t>
            </w:r>
          </w:p>
        </w:tc>
        <w:tc>
          <w:tcPr>
            <w:tcW w:type="dxa" w:w="15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color w:val="0E7C86"/>
                <w:sz w:val="22"/>
                <w:szCs w:val="22"/>
              </w:rPr>
              <w:t xml:space="preserve">CTP</w:t>
            </w:r>
          </w:p>
        </w:tc>
        <w:tc>
          <w:tcPr>
            <w:tcW w:type="dxa" w:w="72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sz w:val="24"/>
                <w:szCs w:val="24"/>
              </w:rPr>
              <w:t xml:space="preserve">QUY CHẾ CÔNG TÁC PHÍ VÀ ĐI CÔNG TRƯỜNG</w:t>
            </w:r>
          </w:p>
        </w:tc>
      </w:tr>
      <w:tr>
        <w:tc>
          <w:tcPr>
            <w:tcW w:type="dxa" w:w="9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b/>
                <w:bCs/>
                <w:sz w:val="24"/>
                <w:szCs w:val="24"/>
              </w:rPr>
              <w:t xml:space="preserve">08</w:t>
            </w:r>
          </w:p>
        </w:tc>
        <w:tc>
          <w:tcPr>
            <w:tcW w:type="dxa" w:w="15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color w:val="0E7C86"/>
                <w:sz w:val="22"/>
                <w:szCs w:val="22"/>
              </w:rPr>
              <w:t xml:space="preserve">UXLI</w:t>
            </w:r>
          </w:p>
        </w:tc>
        <w:tc>
          <w:tcPr>
            <w:tcW w:type="dxa" w:w="72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sz w:val="24"/>
                <w:szCs w:val="24"/>
              </w:rPr>
              <w:t xml:space="preserve">QUY TẮC ỨNG XỬ VÀ PHÒNG, CHỐNG XUNG ĐỘT LỢI ÍCH</w:t>
            </w:r>
          </w:p>
        </w:tc>
      </w:tr>
      <w:tr>
        <w:tc>
          <w:tcPr>
            <w:tcW w:type="dxa" w:w="9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b/>
                <w:bCs/>
                <w:sz w:val="24"/>
                <w:szCs w:val="24"/>
              </w:rPr>
              <w:t xml:space="preserve">09</w:t>
            </w:r>
          </w:p>
        </w:tc>
        <w:tc>
          <w:tcPr>
            <w:tcW w:type="dxa" w:w="15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color w:val="0E7C86"/>
                <w:sz w:val="22"/>
                <w:szCs w:val="22"/>
              </w:rPr>
              <w:t xml:space="preserve">PCPD</w:t>
            </w:r>
          </w:p>
        </w:tc>
        <w:tc>
          <w:tcPr>
            <w:tcW w:type="dxa" w:w="72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sz w:val="24"/>
                <w:szCs w:val="24"/>
              </w:rPr>
              <w:t xml:space="preserve">QUY CHẾ PHÂN CẤP, ỦY QUYỀN PHÊ DUYỆT</w:t>
            </w:r>
          </w:p>
        </w:tc>
      </w:tr>
      <w:tr>
        <w:tc>
          <w:tcPr>
            <w:tcW w:type="dxa" w:w="9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b/>
                <w:bCs/>
                <w:sz w:val="24"/>
                <w:szCs w:val="24"/>
              </w:rPr>
              <w:t xml:space="preserve">10</w:t>
            </w:r>
          </w:p>
        </w:tc>
        <w:tc>
          <w:tcPr>
            <w:tcW w:type="dxa" w:w="15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color w:val="0E7C86"/>
                <w:sz w:val="22"/>
                <w:szCs w:val="22"/>
              </w:rPr>
              <w:t xml:space="preserve">MHNCC</w:t>
            </w:r>
          </w:p>
        </w:tc>
        <w:tc>
          <w:tcPr>
            <w:tcW w:type="dxa" w:w="72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sz w:val="24"/>
                <w:szCs w:val="24"/>
              </w:rPr>
              <w:t xml:space="preserve">QUY CHẾ MUA HÀNG VÀ LỰA CHỌN NHÀ CUNG CẤP</w:t>
            </w:r>
          </w:p>
        </w:tc>
      </w:tr>
      <w:tr>
        <w:tc>
          <w:tcPr>
            <w:tcW w:type="dxa" w:w="9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b/>
                <w:bCs/>
                <w:sz w:val="24"/>
                <w:szCs w:val="24"/>
              </w:rPr>
              <w:t xml:space="preserve">11</w:t>
            </w:r>
          </w:p>
        </w:tc>
        <w:tc>
          <w:tcPr>
            <w:tcW w:type="dxa" w:w="15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color w:val="0E7C86"/>
                <w:sz w:val="22"/>
                <w:szCs w:val="22"/>
              </w:rPr>
              <w:t xml:space="preserve">QLDA</w:t>
            </w:r>
          </w:p>
        </w:tc>
        <w:tc>
          <w:tcPr>
            <w:tcW w:type="dxa" w:w="72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sz w:val="24"/>
                <w:szCs w:val="24"/>
              </w:rPr>
              <w:t xml:space="preserve">QUY CHẾ QUẢN LÝ DỰ ÁN, NGHIỆM THU VÀ BẢO HÀNH</w:t>
            </w:r>
          </w:p>
        </w:tc>
      </w:tr>
      <w:tr>
        <w:tc>
          <w:tcPr>
            <w:tcW w:type="dxa" w:w="9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b/>
                <w:bCs/>
                <w:sz w:val="24"/>
                <w:szCs w:val="24"/>
              </w:rPr>
              <w:t xml:space="preserve">12</w:t>
            </w:r>
          </w:p>
        </w:tc>
        <w:tc>
          <w:tcPr>
            <w:tcW w:type="dxa" w:w="15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color w:val="0E7C86"/>
                <w:sz w:val="22"/>
                <w:szCs w:val="22"/>
              </w:rPr>
              <w:t xml:space="preserve">CT</w:t>
            </w:r>
          </w:p>
        </w:tc>
        <w:tc>
          <w:tcPr>
            <w:tcW w:type="dxa" w:w="72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sz w:val="24"/>
                <w:szCs w:val="24"/>
              </w:rPr>
              <w:t xml:space="preserve">QUY CHẾ CHO THUÊ THIẾT BỊ, HỆ THỐNG XỬ LÝ</w:t>
            </w:r>
          </w:p>
        </w:tc>
      </w:tr>
      <w:tr>
        <w:tc>
          <w:tcPr>
            <w:tcW w:type="dxa" w:w="9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b/>
                <w:bCs/>
                <w:sz w:val="24"/>
                <w:szCs w:val="24"/>
              </w:rPr>
              <w:t xml:space="preserve">13</w:t>
            </w:r>
          </w:p>
        </w:tc>
        <w:tc>
          <w:tcPr>
            <w:tcW w:type="dxa" w:w="15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color w:val="0E7C86"/>
                <w:sz w:val="22"/>
                <w:szCs w:val="22"/>
              </w:rPr>
              <w:t xml:space="preserve">TDNV</w:t>
            </w:r>
          </w:p>
        </w:tc>
        <w:tc>
          <w:tcPr>
            <w:tcW w:type="dxa" w:w="72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sz w:val="24"/>
                <w:szCs w:val="24"/>
              </w:rPr>
              <w:t xml:space="preserve">QUY CHẾ TUYỂN DỤNG, TIẾP NHẬN VÀ NGHỈ VIỆC</w:t>
            </w:r>
          </w:p>
        </w:tc>
      </w:tr>
      <w:tr>
        <w:tc>
          <w:tcPr>
            <w:tcW w:type="dxa" w:w="9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b/>
                <w:bCs/>
                <w:sz w:val="24"/>
                <w:szCs w:val="24"/>
              </w:rPr>
              <w:t>14</w:t>
            </w:r>
          </w:p>
        </w:tc>
        <w:tc>
          <w:tcPr>
            <w:tcW w:type="dxa" w:w="15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b/>
                <w:bCs/>
                <w:color w:val="0E7C86"/>
                <w:sz w:val="22"/>
                <w:szCs w:val="22"/>
              </w:rPr>
              <w:t>CSTT</w:t>
            </w:r>
          </w:p>
        </w:tc>
        <w:tc>
          <w:tcPr>
            <w:tcW w:type="dxa" w:w="72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sz w:val="24"/>
                <w:szCs w:val="24"/>
              </w:rPr>
              <w:t>BỘ CHÍNH SÁCH TUÂN THỦ</w:t>
            </w:r>
          </w:p>
        </w:tc>
      </w:tr>
    </w:tbl>
    <w:p>
      <w:pPr>
        <w:spacing w:before="400"/>
        <w:jc w:val="both"/>
      </w:pPr>
      <w:r>
        <w:rPr>
          <w:rFonts w:ascii="Times New Roman" w:cs="Times New Roman" w:eastAsia="Times New Roman" w:hAnsi="Times New Roman"/>
          <w:i/>
          <w:iCs/>
          <w:color w:val="5B7186"/>
          <w:sz w:val="22"/>
          <w:szCs w:val="22"/>
        </w:rPr>
        <w:t xml:space="preserve">Ghi chú: Sổ tay này tập hợp toàn văn các quy chế, chính sách, nội quy của Công ty. Bản có hiệu lực pháp lý là bản do Giám đốc ký ban hành kèm quyết định tương ứng. Riêng Nội quy lao động (mục 01) có hiệu lực sau 15 ngày kể từ ngày cơ quan chuyên môn về lao động cấp tỉnh nhận đủ hồ sơ đăng ký.</w:t>
      </w:r>
    </w:p>
    <w:p>
      <w:r>
        <w:br w:type="page"/>
      </w:r>
    </w:p>
    <w:p>
      <w:pPr>
        <w:spacing w:after="0"/>
        <w:jc w:val="center"/>
      </w:pPr>
      <w:r>
        <w:rPr>
          <w:rFonts w:ascii="Times New Roman" w:cs="Times New Roman" w:eastAsia="Times New Roman" w:hAnsi="Times New Roman"/>
          <w:b/>
          <w:bCs/>
          <w:sz w:val="24"/>
          <w:szCs w:val="24"/>
        </w:rPr>
        <w:t xml:space="preserve">CÔNG TY TNHH GIẢI PHÁP KỸ THUẬT SÓNG VIỆT</w:t>
      </w:r>
    </w:p>
    <w:p>
      <w:pPr>
        <w:spacing w:after="60"/>
        <w:jc w:val="center"/>
      </w:pPr>
      <w:r>
        <w:rPr>
          <w:rFonts w:ascii="Times New Roman" w:cs="Times New Roman" w:eastAsia="Times New Roman" w:hAnsi="Times New Roman"/>
          <w:sz w:val="24"/>
          <w:szCs w:val="24"/>
        </w:rPr>
        <w:t xml:space="preserve">Số: ......../2026/NQLĐ-SV</w:t>
      </w:r>
    </w:p>
    <w:p>
      <w:pPr>
        <w:spacing w:after="0"/>
        <w:jc w:val="center"/>
      </w:pPr>
      <w:r>
        <w:rPr>
          <w:rFonts w:ascii="Times New Roman" w:cs="Times New Roman" w:eastAsia="Times New Roman" w:hAnsi="Times New Roman"/>
          <w:b/>
          <w:bCs/>
          <w:sz w:val="24"/>
          <w:szCs w:val="24"/>
        </w:rPr>
        <w:t xml:space="preserve">CỘNG HÒA XÃ HỘI CHỦ NGHĨA VIỆT NAM</w:t>
      </w:r>
    </w:p>
    <w:p>
      <w:pPr>
        <w:spacing w:after="240"/>
        <w:jc w:val="center"/>
      </w:pPr>
      <w:r>
        <w:rPr>
          <w:rFonts w:ascii="Times New Roman" w:cs="Times New Roman" w:eastAsia="Times New Roman" w:hAnsi="Times New Roman"/>
          <w:b/>
          <w:bCs/>
          <w:sz w:val="24"/>
          <w:szCs w:val="24"/>
        </w:rPr>
        <w:t xml:space="preserve">Độc lập – Tự do – Hạnh phúc</w:t>
      </w:r>
    </w:p>
    <w:p>
      <w:pPr>
        <w:spacing w:after="60"/>
        <w:jc w:val="center"/>
      </w:pPr>
      <w:r>
        <w:rPr>
          <w:rFonts w:ascii="Times New Roman" w:cs="Times New Roman" w:eastAsia="Times New Roman" w:hAnsi="Times New Roman"/>
          <w:b/>
          <w:bCs/>
          <w:sz w:val="34"/>
          <w:szCs w:val="34"/>
        </w:rPr>
        <w:t xml:space="preserve">NỘI QUY LAO ĐỘNG</w:t>
      </w:r>
    </w:p>
    <w:p>
      <w:pPr>
        <w:spacing w:after="240"/>
        <w:jc w:val="center"/>
      </w:pPr>
      <w:r>
        <w:rPr>
          <w:rFonts w:ascii="Times New Roman" w:cs="Times New Roman" w:eastAsia="Times New Roman" w:hAnsi="Times New Roman"/>
          <w:i/>
          <w:iCs/>
          <w:sz w:val="22"/>
          <w:szCs w:val="22"/>
        </w:rPr>
        <w:t xml:space="preserve">(Ban hành kèm theo Quyết định số ......../2026/QĐ-SV ngày ...... tháng ...... năm 2026 của Giám đốc Công ty TNHH Giải pháp Kỹ thuật Sóng Việt)</w:t>
      </w:r>
    </w:p>
    <w:p>
      <w:pPr>
        <w:spacing w:after="100" w:line="300"/>
        <w:jc w:val="both"/>
      </w:pPr>
      <w:r>
        <w:rPr>
          <w:rFonts w:ascii="Times New Roman" w:cs="Times New Roman" w:eastAsia="Times New Roman" w:hAnsi="Times New Roman"/>
          <w:b w:val="false"/>
          <w:bCs w:val="false"/>
          <w:i w:val="false"/>
          <w:iCs w:val="false"/>
          <w:sz w:val="24"/>
          <w:szCs w:val="24"/>
        </w:rPr>
        <w:t xml:space="preserve">- Căn cứ Bộ luật Lao động số 45/2019/QH14 ngày 20/11/2019;</w:t>
      </w:r>
    </w:p>
    <w:p>
      <w:pPr>
        <w:spacing w:after="100" w:line="300"/>
        <w:jc w:val="both"/>
      </w:pPr>
      <w:r>
        <w:rPr>
          <w:rFonts w:ascii="Times New Roman" w:cs="Times New Roman" w:eastAsia="Times New Roman" w:hAnsi="Times New Roman"/>
          <w:b w:val="false"/>
          <w:bCs w:val="false"/>
          <w:i w:val="false"/>
          <w:iCs w:val="false"/>
          <w:sz w:val="24"/>
          <w:szCs w:val="24"/>
        </w:rPr>
        <w:t xml:space="preserve">- Căn cứ Nghị định số 145/2020/NĐ-CP ngày 14/12/2020 của Chính phủ quy định chi tiết và hướng dẫn thi hành một số điều của Bộ luật Lao động về điều kiện lao động và quan hệ lao động;</w:t>
      </w:r>
    </w:p>
    <w:p>
      <w:pPr>
        <w:spacing w:after="100" w:line="300"/>
        <w:jc w:val="both"/>
      </w:pPr>
      <w:r>
        <w:rPr>
          <w:rFonts w:ascii="Times New Roman" w:cs="Times New Roman" w:eastAsia="Times New Roman" w:hAnsi="Times New Roman"/>
          <w:b w:val="false"/>
          <w:bCs w:val="false"/>
          <w:i w:val="false"/>
          <w:iCs w:val="false"/>
          <w:sz w:val="24"/>
          <w:szCs w:val="24"/>
        </w:rPr>
        <w:t xml:space="preserve">- Căn cứ Luật An toàn, vệ sinh lao động số 84/2015/QH13 ngày 25/6/2015 và các văn bản hướng dẫn thi hành;</w:t>
      </w:r>
    </w:p>
    <w:p>
      <w:pPr>
        <w:spacing w:after="100" w:line="300"/>
        <w:jc w:val="both"/>
      </w:pPr>
      <w:r>
        <w:rPr>
          <w:rFonts w:ascii="Times New Roman" w:cs="Times New Roman" w:eastAsia="Times New Roman" w:hAnsi="Times New Roman"/>
          <w:b w:val="false"/>
          <w:bCs w:val="false"/>
          <w:i w:val="false"/>
          <w:iCs w:val="false"/>
          <w:sz w:val="24"/>
          <w:szCs w:val="24"/>
        </w:rPr>
        <w:t xml:space="preserve">- Căn cứ Điều lệ tổ chức và hoạt động của Công ty TNHH Giải pháp Kỹ thuật Sóng Việt;</w:t>
      </w:r>
    </w:p>
    <w:p>
      <w:pPr>
        <w:spacing w:after="100" w:line="300"/>
        <w:jc w:val="both"/>
      </w:pPr>
      <w:r>
        <w:rPr>
          <w:rFonts w:ascii="Times New Roman" w:cs="Times New Roman" w:eastAsia="Times New Roman" w:hAnsi="Times New Roman"/>
          <w:b w:val="false"/>
          <w:bCs w:val="false"/>
          <w:i w:val="false"/>
          <w:iCs w:val="false"/>
          <w:sz w:val="24"/>
          <w:szCs w:val="24"/>
        </w:rPr>
        <w:t xml:space="preserve">- Sau khi tham khảo ý kiến của tổ chức đại diện người lao động tại cơ sở / đại diện tập thể người lao động,</w:t>
      </w:r>
    </w:p>
    <w:p>
      <w:pPr>
        <w:spacing w:after="100" w:line="300"/>
        <w:jc w:val="both"/>
      </w:pPr>
      <w:r>
        <w:rPr>
          <w:rFonts w:ascii="Times New Roman" w:cs="Times New Roman" w:eastAsia="Times New Roman" w:hAnsi="Times New Roman"/>
          <w:b/>
          <w:bCs/>
          <w:i w:val="false"/>
          <w:iCs w:val="false"/>
          <w:sz w:val="24"/>
          <w:szCs w:val="24"/>
        </w:rPr>
        <w:t xml:space="preserve">Giám đốc Công ty ban hành Nội quy lao động với các nội dung sau:</w:t>
      </w:r>
    </w:p>
    <w:p>
      <w:pPr>
        <w:spacing w:after="140" w:before="260"/>
        <w:jc w:val="center"/>
      </w:pPr>
      <w:r>
        <w:rPr>
          <w:rFonts w:ascii="Times New Roman" w:cs="Times New Roman" w:eastAsia="Times New Roman" w:hAnsi="Times New Roman"/>
          <w:b/>
          <w:bCs/>
          <w:sz w:val="26"/>
          <w:szCs w:val="26"/>
        </w:rPr>
        <w:t xml:space="preserve">CHƯƠNG I — NHỮNG QUY ĐỊNH CHUNG</w:t>
      </w:r>
    </w:p>
    <w:p>
      <w:pPr>
        <w:spacing w:after="80" w:before="140" w:line="300"/>
      </w:pPr>
      <w:r>
        <w:rPr>
          <w:rFonts w:ascii="Times New Roman" w:cs="Times New Roman" w:eastAsia="Times New Roman" w:hAnsi="Times New Roman"/>
          <w:b/>
          <w:bCs/>
          <w:sz w:val="24"/>
          <w:szCs w:val="24"/>
        </w:rPr>
        <w:t xml:space="preserve">Điều 1. Phạm vi và đối tượng áp dụng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Nội quy lao động này quy định về thời giờ làm việc, thời giờ nghỉ ngơi; trật tự tại nơi làm việc; an toàn, vệ sinh lao động; phòng, chống quấy rối tình dục tại nơi làm việc; bảo vệ tài sản và bí mật kinh doanh, bí mật công nghệ, sở hữu trí tuệ; trường hợp được tạm thời chuyển người lao động làm việc khác; các hành vi vi phạm kỷ luật lao động, hình thức xử lý kỷ luật lao động; trách nhiệm vật chất; người có thẩm quyền xử lý kỷ luật lao động.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Nội quy này áp dụng đối với toàn bộ người lao động làm việc tại Công ty TNHH Giải pháp Kỹ thuật Sóng Việt (sau đây gọi là “Công ty”) theo hợp đồng lao động, bao gồm cả người lao động thử việc, người lao động làm việc chưa đủ 12 tháng và người học nghề, tập nghề, thực tập sinh.</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Người lao động của nhà thầu, đối tác khi làm việc trong phạm vi công trường, kho, xưởng, văn phòng của Công ty phải chấp hành các quy định về trật tự nơi làm việc và an toàn, vệ sinh lao động tại Nội quy này.</w:t>
      </w:r>
    </w:p>
    <w:p>
      <w:pPr>
        <w:spacing w:after="80" w:before="140" w:line="300"/>
      </w:pPr>
      <w:r>
        <w:rPr>
          <w:rFonts w:ascii="Times New Roman" w:cs="Times New Roman" w:eastAsia="Times New Roman" w:hAnsi="Times New Roman"/>
          <w:b/>
          <w:bCs/>
          <w:sz w:val="24"/>
          <w:szCs w:val="24"/>
        </w:rPr>
        <w:t xml:space="preserve">Điều 2. Giải thích từ ngữ</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“NSDLĐ” là Công ty TNHH Giải pháp Kỹ thuật Sóng Việt, do Giám đốc là người đại diện theo pháp luật.</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“NLĐ” là người lao động làm việc cho Công ty theo hợp đồng lao động.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“Nơi làm việc” là bất kỳ địa điểm nào mà NLĐ thực tế làm việc theo thỏa thuận hoặc phân công, bao gồm văn phòng, kho, xưởng, công trường, trạm xử lý của khách hàng, địa điểm công tác và các địa điểm liên quan đến công việc do Công ty bố trí.</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4. “Hệ thống” là phần mềm quản trị hợp nhất SVWS và các công cụ công nghệ thông tin do Công ty trang bị.</w:t>
      </w:r>
    </w:p>
    <w:p>
      <w:pPr>
        <w:spacing w:after="80" w:before="140" w:line="300"/>
      </w:pPr>
      <w:r>
        <w:rPr>
          <w:rFonts w:ascii="Times New Roman" w:cs="Times New Roman" w:eastAsia="Times New Roman" w:hAnsi="Times New Roman"/>
          <w:b/>
          <w:bCs/>
          <w:sz w:val="24"/>
          <w:szCs w:val="24"/>
        </w:rPr>
        <w:t xml:space="preserve">Điều 3. Nguyên tắc chung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NLĐ có nghĩa vụ chấp hành Nội quy lao động, kỷ luật lao động, sự điều hành hợp pháp của NSDLĐ.</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NSDLĐ bảo đảm đối xử bình đẳng, không phân biệt đối xử về giới tính, dân tộc, tôn giáo, tình trạng hôn nhân, khuyết tật hoặc bất kỳ lý do nào khác trái pháp luật.</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Việc xử lý kỷ luật lao động chỉ được thực hiện đối với hành vi vi phạm đã được quy định tại Nội quy này và theo đúng trình tự pháp luật.</w:t>
      </w:r>
    </w:p>
    <w:p>
      <w:pPr>
        <w:spacing w:after="140" w:before="260"/>
        <w:jc w:val="center"/>
      </w:pPr>
      <w:r>
        <w:rPr>
          <w:rFonts w:ascii="Times New Roman" w:cs="Times New Roman" w:eastAsia="Times New Roman" w:hAnsi="Times New Roman"/>
          <w:b/>
          <w:bCs/>
          <w:sz w:val="26"/>
          <w:szCs w:val="26"/>
        </w:rPr>
        <w:t xml:space="preserve">CHƯƠNG II — THỜI GIỜ LÀM VIỆC, THỜI GIỜ NGHỈ NGƠI</w:t>
      </w:r>
    </w:p>
    <w:p>
      <w:pPr>
        <w:spacing w:after="80" w:before="140" w:line="300"/>
      </w:pPr>
      <w:r>
        <w:rPr>
          <w:rFonts w:ascii="Times New Roman" w:cs="Times New Roman" w:eastAsia="Times New Roman" w:hAnsi="Times New Roman"/>
          <w:b/>
          <w:bCs/>
          <w:sz w:val="24"/>
          <w:szCs w:val="24"/>
        </w:rPr>
        <w:t xml:space="preserve">Điều 4. Thời giờ làm việc bình thường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Thời giờ làm việc: 08 giờ/ngày, từ thứ Hai đến thứ Bảy, tối đa 48 giờ/tuần.</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Giờ làm việc: từ 08 giờ 30 đến 17 giờ 30; nghỉ giữa ca 60 phút (từ 12 giờ 00 đến 13 giờ 00) và được tính vào thời giờ làm việc theo quy định.</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Đối với NLĐ làm việc tại công trường, trạm xử lý của khách hàng hoặc theo ca, Trưởng bộ phận bố trí thời giờ làm việc phù hợp yêu cầu công việc nhưng không vượt quá giới hạn tại khoản 1 Điều này và phải thông báo trước cho NLĐ.</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4. NLĐ có mặt tại nơi làm việc đúng giờ và thực hiện chấm công trên Hệ thống. Việc chấm công hộ, nhờ người khác chấm công là hành vi gian dối và bị xử lý kỷ luật.</w:t>
      </w:r>
    </w:p>
    <w:p>
      <w:pPr>
        <w:spacing w:after="80" w:before="140" w:line="300"/>
      </w:pPr>
      <w:r>
        <w:rPr>
          <w:rFonts w:ascii="Times New Roman" w:cs="Times New Roman" w:eastAsia="Times New Roman" w:hAnsi="Times New Roman"/>
          <w:b/>
          <w:bCs/>
          <w:sz w:val="24"/>
          <w:szCs w:val="24"/>
        </w:rPr>
        <w:t xml:space="preserve">Điều 5. Làm thêm giờ</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Làm thêm giờ là thời giờ làm việc ngoài thời giờ làm việc bình thường quy định tại Điều 4.</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Công ty chỉ tổ chức làm thêm giờ khi có nhu cầu sản xuất, kinh doanh thực tế và phải được sự đồng ý của NLĐ, trừ các trường hợp NLĐ không được từ chối theo quy định của pháp luật.</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Giới hạn làm thêm giờ:</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a) Không quá 50% số giờ làm việc bình thường trong 01 ngày, tương ứng tối đa 04 giờ/ngày;</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b) Không quá 40 giờ trong 01 tháng;</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c) Không quá 200 giờ trong 01 năm. Trường hợp đặc biệt theo quy định của pháp luật có thể đến 300 giờ/năm nhưng phải được Giám đốc phê duyệt và thông báo cho cơ quan quản lý nhà nước về lao động cấp tỉnh;</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d) Không bố trí làm thêm giờ liên tục quá 04 ngày trong 01 tuần. NLĐ làm thêm vào ban đêm hoặc làm thêm kéo dài được nghỉ ít nhất 30 phút.</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4. Trình tự đăng ký và phê duyệt làm thêm giờ:</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a) NLĐ đăng ký làm thêm giờ trên Hệ thống ít nhất 24 giờ trước thời điểm làm thêm (trừ trường hợp khẩn cấp), nêu rõ lý do, thời gian bắt đầu – kết thúc, số giờ dự kiến và công việc cần hoàn thành;</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b) Trường hợp khẩn cấp, NLĐ báo cáo trực tiếp Giám đốc trước ít nhất 12 giờ để được phê duyệt;</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c) Cấp quản lý trực tiếp xem xét, phê duyệt hoặc từ chối trong vòng 12 giờ kể từ khi nhận đăng ký; trường hợp từ chối phải nêu rõ lý do;</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d) Trường hợp làm thêm vượt 40 giờ/tháng hoặc 200 giờ/năm phải được Giám đốc phê duyệt;</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đ) Chỉ thời gian làm thêm ĐÃ ĐƯỢC PHÊ DUYỆT mới được tính công và thanh toán tiền lương làm thêm giờ.</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5. Tiền lương làm thêm giờ được trả theo Điều 98 Bộ luật Lao động và Chính sách tiền lương của Công ty: ít nhất 150% vào ngày thường; 200% vào ngày nghỉ hằng tuần; 300% vào ngày nghỉ lễ, tết, ngày nghỉ có hưởng lương; làm việc vào ban đêm được trả thêm ít nhất 30% tiền lương của công việc làm vào ban ngày.</w:t>
      </w:r>
    </w:p>
    <w:p>
      <w:pPr>
        <w:spacing w:after="80" w:before="140" w:line="300"/>
      </w:pPr>
      <w:r>
        <w:rPr>
          <w:rFonts w:ascii="Times New Roman" w:cs="Times New Roman" w:eastAsia="Times New Roman" w:hAnsi="Times New Roman"/>
          <w:b/>
          <w:bCs/>
          <w:sz w:val="24"/>
          <w:szCs w:val="24"/>
        </w:rPr>
        <w:t xml:space="preserve">Điều 6. Nghỉ hằng tuần và nghỉ lễ, tết</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NLĐ được nghỉ hằng tuần 01 ngày vào Chủ nhật, bảo đảm ít nhất 24 giờ liên tục.</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NLĐ được nghỉ làm việc, hưởng nguyên lương trong các ngày lễ, tết theo quy định tại Điều 112 Bộ luật Lao động (11 ngày/năm). Lao động là người nước ngoài được nghỉ thêm 01 ngày Tết cổ truyền dân tộc và 01 ngày Quốc khánh của nước họ.</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Trường hợp ngày nghỉ hằng tuần trùng ngày nghỉ lễ, tết thì NLĐ được nghỉ bù vào ngày làm việc kế tiếp.</w:t>
      </w:r>
    </w:p>
    <w:p>
      <w:pPr>
        <w:spacing w:after="80" w:before="140" w:line="300"/>
      </w:pPr>
      <w:r>
        <w:rPr>
          <w:rFonts w:ascii="Times New Roman" w:cs="Times New Roman" w:eastAsia="Times New Roman" w:hAnsi="Times New Roman"/>
          <w:b/>
          <w:bCs/>
          <w:sz w:val="24"/>
          <w:szCs w:val="24"/>
        </w:rPr>
        <w:t xml:space="preserve">Điều 7. Nghỉ hằng năm (nghỉ phép)</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NLĐ làm việc đủ 12 tháng cho Công ty được nghỉ hằng năm hưởng nguyên lương:</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a) 12 ngày làm việc đối với người làm công việc trong điều kiện bình thường;</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b) 14 ngày làm việc đối với người làm nghề, công việc nặng nhọc, độc hại, nguy hiểm.</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Cứ đủ 05 năm làm việc cho Công ty, số ngày nghỉ hằng năm của NLĐ được tăng thêm 01 ngày.</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NLĐ làm việc chưa đủ 12 tháng thì số ngày nghỉ hằng năm được tính theo tỷ lệ tương ứng với số tháng làm việc thực tế (12 ngày chia 12 tháng, nhân với số tháng làm việc); phần lẻ từ 0,5 ngày trở lên được làm tròn thành 01 ngày.</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4. Thủ tục: NLĐ nộp đơn xin nghỉ phép trên Hệ thống hoặc theo mẫu của Công ty ít nhất 03 ngày làm việc trước ngày nghỉ và phải được cấp quản lý trực tiếp phê duyệt. Trường hợp nghỉ từ 05 ngày liên tục trở lên phải được Giám đốc phê duyệt.</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5. NLĐ có thể thỏa thuận với Công ty để nghỉ hằng năm thành nhiều lần hoặc nghỉ gộp tối đa 03 năm một lần.</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6. Khi chấm dứt hợp đồng lao động mà chưa nghỉ hết số ngày nghỉ hằng năm, NLĐ được thanh toán tiền lương cho những ngày chưa nghỉ.</w:t>
      </w:r>
    </w:p>
    <w:p>
      <w:pPr>
        <w:spacing w:after="80" w:before="140" w:line="300"/>
      </w:pPr>
      <w:r>
        <w:rPr>
          <w:rFonts w:ascii="Times New Roman" w:cs="Times New Roman" w:eastAsia="Times New Roman" w:hAnsi="Times New Roman"/>
          <w:b/>
          <w:bCs/>
          <w:sz w:val="24"/>
          <w:szCs w:val="24"/>
        </w:rPr>
        <w:t xml:space="preserve">Điều 8. Nghỉ việc riêng, nghỉ không hưởng lương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NLĐ được nghỉ việc riêng mà vẫn hưởng nguyên lương và phải thông báo với Công ty trong các trường hợp: kết hôn (03 ngày); con đẻ, con nuôi kết hôn (01 ngày); cha đẻ, mẹ đẻ, cha nuôi, mẹ nuôi; cha đẻ, mẹ đẻ, cha nuôi, mẹ nuôi của vợ hoặc chồng; vợ hoặc chồng; con đẻ, con nuôi chết (03 ngày).</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NLĐ được nghỉ không hưởng lương 01 ngày và phải thông báo với Công ty khi ông nội, bà nội, ông ngoại, bà ngoại, anh, chị, em ruột chết; cha hoặc mẹ kết hôn; anh, chị, em ruột kết hôn.</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Ngoài các trường hợp trên, NLĐ có thể thỏa thuận với Công ty để nghỉ không hưởng lương.</w:t>
      </w:r>
    </w:p>
    <w:p>
      <w:pPr>
        <w:spacing w:after="80" w:before="140" w:line="300"/>
      </w:pPr>
      <w:r>
        <w:rPr>
          <w:rFonts w:ascii="Times New Roman" w:cs="Times New Roman" w:eastAsia="Times New Roman" w:hAnsi="Times New Roman"/>
          <w:b/>
          <w:bCs/>
          <w:sz w:val="24"/>
          <w:szCs w:val="24"/>
        </w:rPr>
        <w:t xml:space="preserve">Điều 9. Nghỉ ốm đau, thai sản và các chế độ khác</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Thực hiện theo quy định của pháp luật về bảo hiểm xã hội. NLĐ phải nộp hồ sơ, giấy tờ hợp lệ cho bộ phận Hành chính – Nhân sự trong thời hạn sớm nhất để làm thủ tục.</w:t>
      </w:r>
    </w:p>
    <w:p>
      <w:pPr>
        <w:spacing w:after="80" w:before="140" w:line="300"/>
      </w:pPr>
      <w:r>
        <w:rPr>
          <w:rFonts w:ascii="Times New Roman" w:cs="Times New Roman" w:eastAsia="Times New Roman" w:hAnsi="Times New Roman"/>
          <w:b/>
          <w:bCs/>
          <w:sz w:val="24"/>
          <w:szCs w:val="24"/>
        </w:rPr>
        <w:t xml:space="preserve">Điều 10. Đi muộn, về sớm</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Đi muộn là đến nơi làm việc sau giờ bắt đầu làm việc quá 15 phút; về sớm là rời nơi làm việc trước giờ kết thúc làm việc quá 15 phút, mà không được phê duyệt.</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NLĐ đi muộn, về sớm phải giải trình với cấp quản lý trực tiếp trong 01 ngày làm việc. Thời gian không làm việc thực tế không được tính lương.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Việc đi muộn, về sớm nhiều lần bị xử lý kỷ luật theo Điều 32 Nội quy này. Công ty không áp dụng hình thức phạt tiền hoặc cắt lương thay cho việc xử lý kỷ luật lao động.</w:t>
      </w:r>
    </w:p>
    <w:p>
      <w:pPr>
        <w:spacing w:after="140" w:before="260"/>
        <w:jc w:val="center"/>
      </w:pPr>
      <w:r>
        <w:rPr>
          <w:rFonts w:ascii="Times New Roman" w:cs="Times New Roman" w:eastAsia="Times New Roman" w:hAnsi="Times New Roman"/>
          <w:b/>
          <w:bCs/>
          <w:sz w:val="26"/>
          <w:szCs w:val="26"/>
        </w:rPr>
        <w:t xml:space="preserve">CHƯƠNG III — TRẬT TỰ TẠI NƠI LÀM VIỆC</w:t>
      </w:r>
    </w:p>
    <w:p>
      <w:pPr>
        <w:spacing w:after="80" w:before="140" w:line="300"/>
      </w:pPr>
      <w:r>
        <w:rPr>
          <w:rFonts w:ascii="Times New Roman" w:cs="Times New Roman" w:eastAsia="Times New Roman" w:hAnsi="Times New Roman"/>
          <w:b/>
          <w:bCs/>
          <w:sz w:val="24"/>
          <w:szCs w:val="24"/>
        </w:rPr>
        <w:t xml:space="preserve">Điều 11. Ra, vào và thời gian có mặt tại nơi làm việc</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NLĐ ra, vào nơi làm việc theo đúng lối quy định, xuất trình thẻ nhân viên khi được yêu cầu và thực hiện chấm công đầy đủ.</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Trong giờ làm việc, NLĐ không tự ý rời khỏi nơi làm việc khi chưa được cấp quản lý trực tiếp đồng ý.</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NLĐ không được tự ý đưa người không có nhiệm vụ vào khu vực kho, xưởng, công trường.</w:t>
      </w:r>
    </w:p>
    <w:p>
      <w:pPr>
        <w:spacing w:after="80" w:before="140" w:line="300"/>
      </w:pPr>
      <w:r>
        <w:rPr>
          <w:rFonts w:ascii="Times New Roman" w:cs="Times New Roman" w:eastAsia="Times New Roman" w:hAnsi="Times New Roman"/>
          <w:b/>
          <w:bCs/>
          <w:sz w:val="24"/>
          <w:szCs w:val="24"/>
        </w:rPr>
        <w:t xml:space="preserve">Điều 12. Trang phục, tác phong và ứng xử</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NLĐ mặc trang phục lịch sự, phù hợp; khi làm việc tại công trường, kho, xưởng phải mặc đồng phục và mang đầy đủ phương tiện bảo vệ cá nhân được cấp.</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NLĐ giữ thái độ tôn trọng, hợp tác với đồng nghiệp, khách hàng, nhà cung cấp và đối tác; không gây mất đoàn kết nội bộ; không có lời nói, hành vi xúc phạm danh dự, nhân phẩm người khác.</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NLĐ không sử dụng rượu, bia, chất kích thích bị cấm trước và trong giờ làm việc; không đến nơi làm việc trong tình trạng say.</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4. NLĐ không hút thuốc tại khu vực cấm hút thuốc, đặc biệt tại kho hóa chất, khu vực có nguy cơ cháy nổ.</w:t>
      </w:r>
    </w:p>
    <w:p>
      <w:pPr>
        <w:spacing w:after="80" w:before="140" w:line="300"/>
      </w:pPr>
      <w:r>
        <w:rPr>
          <w:rFonts w:ascii="Times New Roman" w:cs="Times New Roman" w:eastAsia="Times New Roman" w:hAnsi="Times New Roman"/>
          <w:b/>
          <w:bCs/>
          <w:sz w:val="24"/>
          <w:szCs w:val="24"/>
        </w:rPr>
        <w:t xml:space="preserve">Điều 13. Sử dụng phương tiện thông tin và Hệ thống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Máy tính, điện thoại, tài khoản thư điện tử và tài khoản trên Hệ thống do Công ty cấp chỉ được sử dụng cho mục đích công việc.</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NLĐ chịu trách nhiệm về mọi thao tác thực hiện dưới tài khoản của mình; không cho mượn, không sử dụng tài khoản của người khác; không tiết lộ mật khẩu.</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Mọi giao dịch với khách hàng, nhà cung cấp phải được thực hiện và lưu vết trên Hệ thống và qua địa chỉ thư điện tử của Công ty; nghiêm cấm sử dụng thư điện tử cá nhân để giao dịch nhân danh Công ty.</w:t>
      </w:r>
    </w:p>
    <w:p>
      <w:pPr>
        <w:spacing w:after="80" w:before="140" w:line="300"/>
      </w:pPr>
      <w:r>
        <w:rPr>
          <w:rFonts w:ascii="Times New Roman" w:cs="Times New Roman" w:eastAsia="Times New Roman" w:hAnsi="Times New Roman"/>
          <w:b/>
          <w:bCs/>
          <w:sz w:val="24"/>
          <w:szCs w:val="24"/>
        </w:rPr>
        <w:t xml:space="preserve">Điều 14. Tiếp khách và làm việc từ xa</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Việc tiếp khách được thực hiện tại khu vực tiếp khách; không tiếp khách riêng trong giờ làm việc.</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Làm việc từ xa chỉ được thực hiện khi có phê duyệt của Trưởng bộ phận; NLĐ phải trực tuyến đúng giờ làm việc và báo cáo kết quả công việc vào cuối ngày.</w:t>
      </w:r>
    </w:p>
    <w:p>
      <w:pPr>
        <w:spacing w:after="80" w:before="140" w:line="300"/>
      </w:pPr>
      <w:r>
        <w:rPr>
          <w:rFonts w:ascii="Times New Roman" w:cs="Times New Roman" w:eastAsia="Times New Roman" w:hAnsi="Times New Roman"/>
          <w:b/>
          <w:bCs/>
          <w:sz w:val="24"/>
          <w:szCs w:val="24"/>
        </w:rPr>
        <w:t xml:space="preserve">Điều 15. Bảo vệ môi trường và tiết kiệm</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NLĐ tắt thiết bị điện, điều hòa khi rời phòng; thực hiện phân loại rác; hạn chế in ấn; sử dụng tiết kiệm vật tư, văn phòng phẩm.</w:t>
      </w:r>
    </w:p>
    <w:p>
      <w:pPr>
        <w:spacing w:after="140" w:before="260"/>
        <w:jc w:val="center"/>
      </w:pPr>
      <w:r>
        <w:rPr>
          <w:rFonts w:ascii="Times New Roman" w:cs="Times New Roman" w:eastAsia="Times New Roman" w:hAnsi="Times New Roman"/>
          <w:b/>
          <w:bCs/>
          <w:sz w:val="26"/>
          <w:szCs w:val="26"/>
        </w:rPr>
        <w:t xml:space="preserve">CHƯƠNG IV — AN TOÀN, VỆ SINH LAO ĐỘNG</w:t>
      </w:r>
    </w:p>
    <w:p>
      <w:pPr>
        <w:spacing w:after="80" w:before="140" w:line="300"/>
      </w:pPr>
      <w:r>
        <w:rPr>
          <w:rFonts w:ascii="Times New Roman" w:cs="Times New Roman" w:eastAsia="Times New Roman" w:hAnsi="Times New Roman"/>
          <w:b/>
          <w:bCs/>
          <w:sz w:val="24"/>
          <w:szCs w:val="24"/>
        </w:rPr>
        <w:t xml:space="preserve">Điều 16. Nghĩa vụ chung về an toàn, vệ sinh lao động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NLĐ phải chấp hành quy định, nội quy, quy trình, biện pháp bảo đảm an toàn, vệ sinh lao động tại nơi làm việc; tuân thủ các giao kết về an toàn, vệ sinh lao động trong hợp đồng lao động.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NLĐ phải sử dụng và bảo quản phương tiện bảo vệ cá nhân đã được trang cấp; không được từ chối sử dụng hoặc sử dụng sai mục đích.</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NLĐ phải tham gia đầy đủ các khóa huấn luyện an toàn, vệ sinh lao động theo đúng nhóm đối tượng và khám sức khỏe định kỳ do Công ty tổ chức.</w:t>
      </w:r>
    </w:p>
    <w:p>
      <w:pPr>
        <w:spacing w:after="80" w:before="140" w:line="300"/>
      </w:pPr>
      <w:r>
        <w:rPr>
          <w:rFonts w:ascii="Times New Roman" w:cs="Times New Roman" w:eastAsia="Times New Roman" w:hAnsi="Times New Roman"/>
          <w:b/>
          <w:bCs/>
          <w:sz w:val="24"/>
          <w:szCs w:val="24"/>
        </w:rPr>
        <w:t xml:space="preserve">Điều 17. An toàn khi làm việc tại công trường, trạm xử lý</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Trước khi thi công, vận hành, bộ phận phụ trách phải lập đánh giá rủi ro (HIRA) và phổ biến cho toàn bộ NLĐ tham gia.</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Làm việc trong không gian hạn chế (bể, hầm bơm, bồn, đường ống) chỉ được thực hiện khi: có giấy phép làm việc được phê duyệt; đã đo kiểm khí; có người giám sát bên ngoài; có đầy đủ thiết bị cứu hộ và phương tiện bảo vệ cá nhân phù hợp.</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Làm việc với hóa chất phải theo đúng hướng dẫn an toàn hóa chất; sử dụng đúng phương tiện bảo vệ cá nhân; không san chiết, pha trộn hóa chất khi chưa được huấn luyện và phân công.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4. Làm việc với điện, thiết bị nâng, làm việc trên cao chỉ do người đã được huấn luyện và có chứng chỉ phù hợp thực hiện.</w:t>
      </w:r>
    </w:p>
    <w:p>
      <w:pPr>
        <w:spacing w:after="80" w:before="140" w:line="300"/>
      </w:pPr>
      <w:r>
        <w:rPr>
          <w:rFonts w:ascii="Times New Roman" w:cs="Times New Roman" w:eastAsia="Times New Roman" w:hAnsi="Times New Roman"/>
          <w:b/>
          <w:bCs/>
          <w:sz w:val="24"/>
          <w:szCs w:val="24"/>
        </w:rPr>
        <w:t xml:space="preserve">Điều 18. Quyền từ chối và nghĩa vụ báo cáo</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NLĐ có quyền từ chối làm công việc hoặc rời bỏ nơi làm việc mà vẫn được trả đủ tiền lương và không bị coi là vi phạm kỷ luật lao động khi thấy rõ có nguy cơ xảy ra tai nạn lao động đe dọa nghiêm trọng tính mạng hoặc sức khỏe của mình, nhưng phải báo ngay cho người quản lý trực tiếp.</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NLĐ phải báo cáo ngay cho người quản lý trực tiếp khi phát hiện nguy cơ mất an toàn, sự cố kỹ thuật, tai nạn lao động; tham gia ứng cứu và khắc phục hậu quả theo phân công.</w:t>
      </w:r>
    </w:p>
    <w:p>
      <w:pPr>
        <w:spacing w:after="80" w:before="140" w:line="300"/>
      </w:pPr>
      <w:r>
        <w:rPr>
          <w:rFonts w:ascii="Times New Roman" w:cs="Times New Roman" w:eastAsia="Times New Roman" w:hAnsi="Times New Roman"/>
          <w:b/>
          <w:bCs/>
          <w:sz w:val="24"/>
          <w:szCs w:val="24"/>
        </w:rPr>
        <w:t xml:space="preserve">Điều 19. Vệ sinh lao động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NLĐ giữ gìn vệ sinh nơi làm việc; thu gom, phân loại và xử lý chất thải theo quy định; không xả thải hóa chất trái quy định.</w:t>
      </w:r>
    </w:p>
    <w:p>
      <w:pPr>
        <w:spacing w:after="80" w:before="140" w:line="300"/>
      </w:pPr>
      <w:r>
        <w:rPr>
          <w:rFonts w:ascii="Times New Roman" w:cs="Times New Roman" w:eastAsia="Times New Roman" w:hAnsi="Times New Roman"/>
          <w:b/>
          <w:bCs/>
          <w:sz w:val="24"/>
          <w:szCs w:val="24"/>
        </w:rPr>
        <w:t xml:space="preserve">Điều 20. Trách nhiệm của Công ty</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Công ty xây dựng kế hoạch an toàn, vệ sinh lao động hằng năm; trang bị đầy đủ phương tiện bảo vệ cá nhân; tổ chức huấn luyện an toàn, vệ sinh lao động và khám sức khỏe định kỳ ít nhất 01 lần/năm (06 tháng/lần đối với người làm nghề, công việc nặng nhọc, độc hại, nguy hiểm); mua bảo hiểm tai nạn lao động, bệnh nghề nghiệp theo quy định.</w:t>
      </w:r>
    </w:p>
    <w:p>
      <w:pPr>
        <w:spacing w:after="140" w:before="260"/>
        <w:jc w:val="center"/>
      </w:pPr>
      <w:r>
        <w:rPr>
          <w:rFonts w:ascii="Times New Roman" w:cs="Times New Roman" w:eastAsia="Times New Roman" w:hAnsi="Times New Roman"/>
          <w:b/>
          <w:bCs/>
          <w:sz w:val="26"/>
          <w:szCs w:val="26"/>
        </w:rPr>
        <w:t xml:space="preserve">CHƯƠNG V — PHÒNG, CHỐNG QUẤY RỐI TÌNH DỤC TẠI NƠI LÀM VIỆC</w:t>
      </w:r>
    </w:p>
    <w:p>
      <w:pPr>
        <w:spacing w:after="80" w:before="140" w:line="300"/>
      </w:pPr>
      <w:r>
        <w:rPr>
          <w:rFonts w:ascii="Times New Roman" w:cs="Times New Roman" w:eastAsia="Times New Roman" w:hAnsi="Times New Roman"/>
          <w:b/>
          <w:bCs/>
          <w:sz w:val="24"/>
          <w:szCs w:val="24"/>
        </w:rPr>
        <w:t xml:space="preserve">Điều 21. Nghiêm cấm quấy rối tình dục</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Nghiêm cấm mọi hành vi quấy rối tình dục tại nơi làm việc dưới mọi hình thức: hành vi mang tính thể chất (tiếp xúc, cố tình động chạm); hành vi bằng lời nói (nhận xét, gợi ý, đề nghị mang tính tình dục); hành vi phi lời nói (ngôn ngữ cơ thể, trưng bày, gửi tài liệu, hình ảnh, tin nhắn mang tính tình dục).</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Quy định này áp dụng tại mọi nơi làm việc, bao gồm công trường, chuyến công tác, sự kiện, đào tạo, tiệc do Công ty tổ chức và các trao đổi qua phương tiện điện tử phục vụ công việc.</w:t>
      </w:r>
    </w:p>
    <w:p>
      <w:pPr>
        <w:spacing w:after="80" w:before="140" w:line="300"/>
      </w:pPr>
      <w:r>
        <w:rPr>
          <w:rFonts w:ascii="Times New Roman" w:cs="Times New Roman" w:eastAsia="Times New Roman" w:hAnsi="Times New Roman"/>
          <w:b/>
          <w:bCs/>
          <w:sz w:val="24"/>
          <w:szCs w:val="24"/>
        </w:rPr>
        <w:t xml:space="preserve">Điều 22. Trình tự, thủ tục xử lý</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Người bị quấy rối tình dục hoặc người chứng kiến có thể khiếu nại trực tiếp đến Trưởng bộ phận, bộ phận Hành chính – Nhân sự, Giám đốc hoặc gửi vào hộp thư bảo mật của Công ty.</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Trong thời hạn 03 ngày làm việc kể từ khi nhận khiếu nại, Công ty thành lập tổ xác minh gồm đại diện NSDLĐ, đại diện tổ chức đại diện NLĐ tại cơ sở và tiến hành xác minh.</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Thời hạn xác minh không quá 15 ngày làm việc; trường hợp phức tạp có thể kéo dài nhưng không quá 30 ngày làm việc.</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4. Kết quả xác minh được thông báo bằng văn bản cho người khiếu nại và người bị khiếu nại. Trường hợp có hành vi vi phạm, Công ty xử lý kỷ luật theo Nội quy này; trường hợp có dấu hiệu tội phạm, Công ty chuyển hồ sơ đến cơ quan có thẩm quyền.</w:t>
      </w:r>
    </w:p>
    <w:p>
      <w:pPr>
        <w:spacing w:after="80" w:before="140" w:line="300"/>
      </w:pPr>
      <w:r>
        <w:rPr>
          <w:rFonts w:ascii="Times New Roman" w:cs="Times New Roman" w:eastAsia="Times New Roman" w:hAnsi="Times New Roman"/>
          <w:b/>
          <w:bCs/>
          <w:sz w:val="24"/>
          <w:szCs w:val="24"/>
        </w:rPr>
        <w:t xml:space="preserve">Điều 23. Bảo mật và bảo vệ người khiếu nại</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Toàn bộ thông tin về khiếu nại, người khiếu nại, người bị khiếu nại và người làm chứng được giữ bí mật.</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Nghiêm cấm mọi hành vi trả thù, trù dập, phân biệt đối xử đối với người khiếu nại, người làm chứng. Hành vi này bị xử lý kỷ luật ở mức cao nhất.</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Người cố ý khiếu nại sai sự thật nhằm vu khống người khác cũng bị xử lý kỷ luật.</w:t>
      </w:r>
    </w:p>
    <w:p>
      <w:pPr>
        <w:spacing w:after="80" w:before="140" w:line="300"/>
      </w:pPr>
      <w:r>
        <w:rPr>
          <w:rFonts w:ascii="Times New Roman" w:cs="Times New Roman" w:eastAsia="Times New Roman" w:hAnsi="Times New Roman"/>
          <w:b/>
          <w:bCs/>
          <w:sz w:val="24"/>
          <w:szCs w:val="24"/>
        </w:rPr>
        <w:t xml:space="preserve">Điều 24. Hình thức xử lý</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Người có hành vi quấy rối tình dục tại nơi làm việc bị áp dụng hình thức kỷ luật sa thải theo khoản 2 Điều 125 Bộ luật Lao động.</w:t>
      </w:r>
    </w:p>
    <w:p>
      <w:pPr>
        <w:spacing w:after="140" w:before="260"/>
        <w:jc w:val="center"/>
      </w:pPr>
      <w:r>
        <w:rPr>
          <w:rFonts w:ascii="Times New Roman" w:cs="Times New Roman" w:eastAsia="Times New Roman" w:hAnsi="Times New Roman"/>
          <w:b/>
          <w:bCs/>
          <w:sz w:val="26"/>
          <w:szCs w:val="26"/>
        </w:rPr>
        <w:t xml:space="preserve">CHƯƠNG VI — BẢO VỆ TÀI SẢN, BÍ MẬT KINH DOANH, BÍ MẬT CÔNG NGHỆ, SỞ HỮU TRÍ TUỆ</w:t>
      </w:r>
    </w:p>
    <w:p>
      <w:pPr>
        <w:spacing w:after="80" w:before="140" w:line="300"/>
      </w:pPr>
      <w:r>
        <w:rPr>
          <w:rFonts w:ascii="Times New Roman" w:cs="Times New Roman" w:eastAsia="Times New Roman" w:hAnsi="Times New Roman"/>
          <w:b/>
          <w:bCs/>
          <w:sz w:val="24"/>
          <w:szCs w:val="24"/>
        </w:rPr>
        <w:t xml:space="preserve">Điều 25. Bảo vệ tài sản của Công ty</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Xe, máy tính, điện thoại, máy móc, thiết bị, dụng cụ, vật tư do Công ty trang bị là tài sản của Công ty, chỉ được sử dụng cho công việc được giao.</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Việc sử dụng tài sản của Công ty cho mục đích cá nhân phải được sự đồng ý của người có thẩm quyền.</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NLĐ có trách nhiệm giữ gìn, bảo quản tài sản được giao; báo cáo ngay khi phát hiện hư hỏng, mất mát.</w:t>
      </w:r>
    </w:p>
    <w:p>
      <w:pPr>
        <w:spacing w:after="80" w:before="140" w:line="300"/>
      </w:pPr>
      <w:r>
        <w:rPr>
          <w:rFonts w:ascii="Times New Roman" w:cs="Times New Roman" w:eastAsia="Times New Roman" w:hAnsi="Times New Roman"/>
          <w:b/>
          <w:bCs/>
          <w:sz w:val="24"/>
          <w:szCs w:val="24"/>
        </w:rPr>
        <w:t xml:space="preserve">Điều 26. Quản lý vật tư, thiết bị, dụng cụ khi triển khai dự án</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Trước khi xuất phát, bộ phận kho/quản lý tài sản và NLĐ lập và ký phiếu bàn giao tài sản, ghi rõ danh mục, số lượng, tình trạng, mã theo dõi, kèm hình ảnh khi cần.</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Trong quá trình triển khai, NLĐ sử dụng đúng mục đích, ghi chép sổ theo dõi sử dụng hằng ngày, bảo quản tại khu vực có khóa và giám sát.</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NLĐ phải báo cáo trong vòng 24 giờ khi xảy ra hư hỏng, thất thoát hoặc sự cố.</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4. Khi kết thúc dự án, hai bên kiểm kê, lập biên bản bàn giao trả, đối chiếu với phiếu bàn giao ban đầu và ký xác nhận.</w:t>
      </w:r>
    </w:p>
    <w:p>
      <w:pPr>
        <w:spacing w:after="80" w:before="140" w:line="300"/>
      </w:pPr>
      <w:r>
        <w:rPr>
          <w:rFonts w:ascii="Times New Roman" w:cs="Times New Roman" w:eastAsia="Times New Roman" w:hAnsi="Times New Roman"/>
          <w:b/>
          <w:bCs/>
          <w:sz w:val="24"/>
          <w:szCs w:val="24"/>
        </w:rPr>
        <w:t xml:space="preserve">Điều 27. Bí mật kinh doanh, bí mật công nghệ</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Bí mật kinh doanh, bí mật công nghệ của Công ty bao gồm nhưng không giới hạn: danh sách và thông tin khách hàng, nhà cung cấp; giá bán, giá vốn, chính sách chiết khấu; báo giá, hợp đồng; bản vẽ thiết kế, sơ đồ công nghệ, thông số vận hành, công thức hóa chất; tài liệu nội bộ, dữ liệu trên Hệ thống; thông tin tiền lương.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NLĐ không được tiết lộ, sao chép, mang ra ngoài, sử dụng cho mục đích cá nhân hoặc cung cấp cho bên thứ ba các thông tin nêu trên trong thời gian làm việc và sau khi chấm dứt hợp đồng lao động.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NLĐ trực tiếp tiếp cận bí mật kinh doanh, bí mật công nghệ phải ký thỏa thuận bảo mật riêng theo quy định tại khoản 2 Điều 21 Bộ luật Lao động.</w:t>
      </w:r>
    </w:p>
    <w:p>
      <w:pPr>
        <w:spacing w:after="80" w:before="140" w:line="300"/>
      </w:pPr>
      <w:r>
        <w:rPr>
          <w:rFonts w:ascii="Times New Roman" w:cs="Times New Roman" w:eastAsia="Times New Roman" w:hAnsi="Times New Roman"/>
          <w:b/>
          <w:bCs/>
          <w:sz w:val="24"/>
          <w:szCs w:val="24"/>
        </w:rPr>
        <w:t xml:space="preserve">Điều 28. Quyền sở hữu trí tuệ</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Mọi sáng kiến, thiết kế, bản vẽ, tài liệu, phần mềm, quy trình do NLĐ tạo ra trong quá trình thực hiện công việc được giao hoặc bằng nguồn lực của Công ty thuộc quyền sở hữu của Công ty, trừ trường hợp có thỏa thuận khác bằng văn bản.</w:t>
      </w:r>
    </w:p>
    <w:p>
      <w:pPr>
        <w:spacing w:after="80" w:before="140" w:line="300"/>
      </w:pPr>
      <w:r>
        <w:rPr>
          <w:rFonts w:ascii="Times New Roman" w:cs="Times New Roman" w:eastAsia="Times New Roman" w:hAnsi="Times New Roman"/>
          <w:b/>
          <w:bCs/>
          <w:sz w:val="24"/>
          <w:szCs w:val="24"/>
        </w:rPr>
        <w:t xml:space="preserve">Điều 29. Xung đột lợi ích</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NLĐ không được nhận tiền, hoa hồng, quà tặng có giá trị hoặc lợi ích khác từ khách hàng, nhà cung cấp, đối tác liên quan đến công việc được giao.</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NLĐ không được thỏa thuận riêng với khách hàng, nhà cung cấp ngoài Hệ thống của Công ty.</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NLĐ phải báo cáo bằng văn bản cho Giám đốc khi bản thân hoặc người thân có quyền lợi liên quan đến khách hàng, nhà cung cấp, đối tác của Công ty.</w:t>
      </w:r>
    </w:p>
    <w:p>
      <w:pPr>
        <w:spacing w:after="140" w:before="260"/>
        <w:jc w:val="center"/>
      </w:pPr>
      <w:r>
        <w:rPr>
          <w:rFonts w:ascii="Times New Roman" w:cs="Times New Roman" w:eastAsia="Times New Roman" w:hAnsi="Times New Roman"/>
          <w:b/>
          <w:bCs/>
          <w:sz w:val="26"/>
          <w:szCs w:val="26"/>
        </w:rPr>
        <w:t xml:space="preserve">CHƯƠNG VII — TRƯỜNG HỢP TẠM THỜI CHUYỂN NGƯỜI LAO ĐỘNG LÀM CÔNG VIỆC KHÁC</w:t>
      </w:r>
    </w:p>
    <w:p>
      <w:pPr>
        <w:spacing w:after="80" w:before="140" w:line="300"/>
      </w:pPr>
      <w:r>
        <w:rPr>
          <w:rFonts w:ascii="Times New Roman" w:cs="Times New Roman" w:eastAsia="Times New Roman" w:hAnsi="Times New Roman"/>
          <w:b/>
          <w:bCs/>
          <w:sz w:val="24"/>
          <w:szCs w:val="24"/>
        </w:rPr>
        <w:t xml:space="preserve">Điều 30. Tạm thời chuyển làm công việc khác so với hợp đồng lao động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Công ty được quyền tạm thời chuyển NLĐ làm công việc khác so với hợp đồng lao động trong các trường hợp:</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a) Thiên tai, hỏa hoạn, dịch bệnh nguy hiểm;</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b) Áp dụng biện pháp ngăn ngừa, khắc phục tai nạn lao động, bệnh nghề nghiệp;</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c) Sự cố điện, nước; sự cố kỹ thuật của hệ thống xử lý, thiết bị, máy móc;</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d) Do nhu cầu sản xuất, kinh doanh: thiếu hụt nhân sự đột xuất tại công trường, dự án, trạm vận hành, kho; yêu cầu tiến độ của khách hàng; NLĐ nghỉ đột xuất.</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Thời hạn chuyển không quá 60 ngày làm việc cộng dồn trong 01 năm; trường hợp quá 60 ngày phải được sự đồng ý bằng văn bản của NLĐ.</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Công ty thông báo cho NLĐ ít nhất 03 ngày làm việc trước, nêu rõ thời hạn làm tạm thời và bố trí công việc phù hợp sức khỏe, giới tính của NLĐ.</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4. NLĐ được trả lương theo công việc mới; nếu tiền lương của công việc mới thấp hơn thì được giữ nguyên tiền lương của công việc cũ trong thời hạn 30 ngày làm việc. Tiền lương theo công việc mới ít nhất phải bằng 85% tiền lương của công việc cũ nhưng không thấp hơn mức lương tối thiểu vùng.</w:t>
      </w:r>
    </w:p>
    <w:p>
      <w:pPr>
        <w:spacing w:after="140" w:before="260"/>
        <w:jc w:val="center"/>
      </w:pPr>
      <w:r>
        <w:rPr>
          <w:rFonts w:ascii="Times New Roman" w:cs="Times New Roman" w:eastAsia="Times New Roman" w:hAnsi="Times New Roman"/>
          <w:b/>
          <w:bCs/>
          <w:sz w:val="26"/>
          <w:szCs w:val="26"/>
        </w:rPr>
        <w:t xml:space="preserve">CHƯƠNG VIII — CÁC HÀNH VI VI PHẠM KỶ LUẬT LAO ĐỘNG VÀ HÌNH THỨC XỬ LÝ</w:t>
      </w:r>
    </w:p>
    <w:p>
      <w:pPr>
        <w:spacing w:after="80" w:before="140" w:line="300"/>
      </w:pPr>
      <w:r>
        <w:rPr>
          <w:rFonts w:ascii="Times New Roman" w:cs="Times New Roman" w:eastAsia="Times New Roman" w:hAnsi="Times New Roman"/>
          <w:b/>
          <w:bCs/>
          <w:sz w:val="24"/>
          <w:szCs w:val="24"/>
        </w:rPr>
        <w:t xml:space="preserve">Điều 31. Các hình thức xử lý kỷ luật lao động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Công ty áp dụng các hình thức xử lý kỷ luật lao động theo Điều 124 Bộ luật Lao động:</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1. Khiển trách (bằng lời nói hoặc bằng văn bản);</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2. Kéo dài thời hạn nâng lương không quá 06 tháng;</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3. Cách chức;</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4. Sa thải.</w:t>
      </w:r>
    </w:p>
    <w:p>
      <w:pPr>
        <w:spacing w:after="100" w:line="300"/>
        <w:ind w:left="360"/>
        <w:jc w:val="both"/>
      </w:pPr>
      <w:r>
        <w:rPr>
          <w:rFonts w:ascii="Times New Roman" w:cs="Times New Roman" w:eastAsia="Times New Roman" w:hAnsi="Times New Roman"/>
          <w:b w:val="false"/>
          <w:bCs w:val="false"/>
          <w:i/>
          <w:iCs/>
          <w:sz w:val="24"/>
          <w:szCs w:val="24"/>
        </w:rPr>
        <w:t xml:space="preserve">Công ty không áp dụng hình thức phạt tiền, cắt lương thay cho việc xử lý kỷ luật lao động; không xử lý kỷ luật đối với hành vi không được quy định tại Nội quy này.</w:t>
      </w:r>
    </w:p>
    <w:p>
      <w:pPr>
        <w:spacing w:after="80" w:before="140" w:line="300"/>
      </w:pPr>
      <w:r>
        <w:rPr>
          <w:rFonts w:ascii="Times New Roman" w:cs="Times New Roman" w:eastAsia="Times New Roman" w:hAnsi="Times New Roman"/>
          <w:b/>
          <w:bCs/>
          <w:sz w:val="24"/>
          <w:szCs w:val="24"/>
        </w:rPr>
        <w:t xml:space="preserve">Điều 32. Hành vi bị khiển trách</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Áp dụng hình thức khiển trách đối với NLĐ có một trong các hành vi sau:</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1. Đi muộn hoặc về sớm không có lý do chính đáng từ lần thứ nhất đến lần thứ ba trong 01 tháng;</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2. Nghỉ không phép từ 01 đến 02 ngày trong 01 tháng;</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3. Không chấm công, chấm công không đúng quy định;</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4. Không mặc đồng phục, không mang phương tiện bảo vệ cá nhân khi làm việc tại công trường, kho, xưởng (lần đầu, chưa gây hậu quả);</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5. Không thực hiện đăng ký làm thêm giờ theo trình tự quy định;</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6. Không cập nhật, cập nhật không đầy đủ hoặc chậm trễ dữ liệu công việc lên Hệ thống;</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7. Gây mất trật tự, mất vệ sinh nơi làm việc;</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8. Sử dụng tài sản của Công ty vào việc riêng khi chưa được phép (chưa gây thiệt hại);</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9. Không báo cáo kịp thời hư hỏng, sự cố của tài sản, thiết bị được giao;</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10. Các hành vi khác vi phạm Nội quy này ở mức độ nhẹ, chưa gây thiệt hại.</w:t>
      </w:r>
    </w:p>
    <w:p>
      <w:pPr>
        <w:spacing w:after="80" w:before="140" w:line="300"/>
      </w:pPr>
      <w:r>
        <w:rPr>
          <w:rFonts w:ascii="Times New Roman" w:cs="Times New Roman" w:eastAsia="Times New Roman" w:hAnsi="Times New Roman"/>
          <w:b/>
          <w:bCs/>
          <w:sz w:val="24"/>
          <w:szCs w:val="24"/>
        </w:rPr>
        <w:t xml:space="preserve">Điều 33. Hành vi bị kéo dài thời hạn nâng lương không quá 06 tháng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Áp dụng đối với NLĐ có một trong các hành vi sau:</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1. Tái phạm hành vi quy định tại Điều 32 trong thời gian chưa được xóa kỷ luật;</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2. Đi muộn hoặc về sớm không có lý do chính đáng từ lần thứ tư trở lên trong 01 tháng;</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3. Nghỉ không phép từ 03 đến 04 ngày trong 01 tháng;</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4. Không tuân thủ quy trình an toàn, vệ sinh lao động, không sử dụng phương tiện bảo vệ cá nhân (tái phạm hoặc gây nguy cơ mất an toàn);</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5. Tự ý rời khỏi nơi làm việc trong giờ làm việc gây ảnh hưởng đến công việc;</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6. Ghi nhận sai lệch số liệu công việc, khối lượng, chấm công, chứng từ (chưa nhằm mục đích vụ lợi, chưa gây thiệt hại);</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7. Sử dụng rượu, bia, chất kích thích bị cấm trong giờ làm việc hoặc đến nơi làm việc trong tình trạng say;</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8. Có lời nói, hành vi xúc phạm danh dự, nhân phẩm đồng nghiệp, khách hàng, đối tác;</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9. Không chấp hành sự điều hành, phân công hợp pháp của người quản lý trực tiếp.</w:t>
      </w:r>
    </w:p>
    <w:p>
      <w:pPr>
        <w:spacing w:after="80" w:before="140" w:line="300"/>
      </w:pPr>
      <w:r>
        <w:rPr>
          <w:rFonts w:ascii="Times New Roman" w:cs="Times New Roman" w:eastAsia="Times New Roman" w:hAnsi="Times New Roman"/>
          <w:b/>
          <w:bCs/>
          <w:sz w:val="24"/>
          <w:szCs w:val="24"/>
        </w:rPr>
        <w:t xml:space="preserve">Điều 34. Hành vi bị cách chức</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Áp dụng đối với NLĐ giữ chức vụ quản lý có một trong các hành vi sau:</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1. Có hành vi thuộc Điều 33 Nội quy này;</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2. Thiếu trách nhiệm trong quản lý, để xảy ra thiệt hại về tài sản, tai nạn lao động hoặc vi phạm nghiêm trọng của cấp dưới thuộc phạm vi phụ trách;</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3. Phê duyệt vượt hạn mức được giao hoặc phê duyệt sai quy định gây thiệt hại cho Công ty;</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4. Bao che hành vi vi phạm của cấp dưới; trù dập, phân biệt đối xử với NLĐ;</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5. Tổ chức làm thêm giờ vượt giới hạn pháp luật mà không được phê duyệt và không thông báo theo quy định.</w:t>
      </w:r>
    </w:p>
    <w:p>
      <w:pPr>
        <w:spacing w:after="80" w:before="140" w:line="300"/>
      </w:pPr>
      <w:r>
        <w:rPr>
          <w:rFonts w:ascii="Times New Roman" w:cs="Times New Roman" w:eastAsia="Times New Roman" w:hAnsi="Times New Roman"/>
          <w:b/>
          <w:bCs/>
          <w:sz w:val="24"/>
          <w:szCs w:val="24"/>
        </w:rPr>
        <w:t xml:space="preserve">Điều 35. Hành vi bị sa thải</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Áp dụng hình thức sa thải theo Điều 125 Bộ luật Lao động đối với NLĐ có một trong các hành vi sau:</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1. Trộm cắp, tham ô, đánh bạc, cố ý gây thương tích, sử dụng ma túy tại nơi làm việc;</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2. Tiết lộ bí mật kinh doanh, bí mật công nghệ, xâm phạm quyền sở hữu trí tuệ của Công ty;</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3. Có hành vi gây thiệt hại nghiêm trọng hoặc đe dọa gây thiệt hại đặc biệt nghiêm trọng về tài sản, lợi ích của Công ty. Thiệt hại nghiêm trọng là thiệt hại có giá trị từ 20.000.000 đồng trở lên;</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4. Có hành vi quấy rối tình dục tại nơi làm việc;</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5. Nhận tiền, hoa hồng, quà tặng có giá trị hoặc lợi ích khác từ khách hàng, nhà cung cấp, đối tác liên quan đến công việc được giao; thỏa thuận riêng ngoài Hệ thống gây thiệt hại cho Công ty;</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6. Làm giả, sửa chữa, tiêu hủy chứng từ, hồ sơ, số liệu nhằm mục đích vụ lợi;</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7. Cố ý làm thất thoát tài sản, vật tư, thiết bị, dụng cụ của Công ty;</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8. Trả thù, trù dập người khiếu nại, người làm chứng trong vụ việc quấy rối tình dục;</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9. Bị xử lý kỷ luật kéo dài thời hạn nâng lương hoặc cách chức mà tái phạm trong thời gian chưa xóa kỷ luật;</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10. Tự ý bỏ việc 05 ngày cộng dồn trong thời hạn 30 ngày hoặc 20 ngày cộng dồn trong thời hạn 365 ngày kể từ ngày đầu tiên tự ý bỏ việc mà không có lý do chính đáng.</w:t>
      </w:r>
    </w:p>
    <w:p>
      <w:pPr>
        <w:spacing w:after="100" w:line="300"/>
        <w:ind w:left="360"/>
        <w:jc w:val="both"/>
      </w:pPr>
      <w:r>
        <w:rPr>
          <w:rFonts w:ascii="Times New Roman" w:cs="Times New Roman" w:eastAsia="Times New Roman" w:hAnsi="Times New Roman"/>
          <w:b w:val="false"/>
          <w:bCs w:val="false"/>
          <w:i/>
          <w:iCs/>
          <w:sz w:val="24"/>
          <w:szCs w:val="24"/>
        </w:rPr>
        <w:t xml:space="preserve">Lý do chính đáng bao gồm: thiên tai, hỏa hoạn; bản thân hoặc thân nhân bị ốm có xác nhận của cơ sở khám bệnh, chữa bệnh có thẩm quyền; và các trường hợp khác được quy định trong Nội quy này.</w:t>
      </w:r>
    </w:p>
    <w:p>
      <w:pPr>
        <w:spacing w:after="100" w:line="300"/>
        <w:ind w:left="360"/>
        <w:jc w:val="both"/>
      </w:pPr>
      <w:r>
        <w:rPr>
          <w:rFonts w:ascii="Times New Roman" w:cs="Times New Roman" w:eastAsia="Times New Roman" w:hAnsi="Times New Roman"/>
          <w:b w:val="false"/>
          <w:bCs w:val="false"/>
          <w:i/>
          <w:iCs/>
          <w:sz w:val="24"/>
          <w:szCs w:val="24"/>
        </w:rPr>
        <w:t xml:space="preserve">Ngoài ra, Công ty có quyền đơn phương chấm dứt hợp đồng lao động theo điểm e khoản 1 Điều 36 Bộ luật Lao động khi NLĐ tự ý bỏ việc mà không có lý do chính đáng từ 05 ngày làm việc liên tục trở lên.</w:t>
      </w:r>
    </w:p>
    <w:p>
      <w:pPr>
        <w:spacing w:after="140" w:before="260"/>
        <w:jc w:val="center"/>
      </w:pPr>
      <w:r>
        <w:rPr>
          <w:rFonts w:ascii="Times New Roman" w:cs="Times New Roman" w:eastAsia="Times New Roman" w:hAnsi="Times New Roman"/>
          <w:b/>
          <w:bCs/>
          <w:sz w:val="26"/>
          <w:szCs w:val="26"/>
        </w:rPr>
        <w:t xml:space="preserve">CHƯƠNG IX — TRÁCH NHIỆM VẬT CHẤT</w:t>
      </w:r>
    </w:p>
    <w:p>
      <w:pPr>
        <w:spacing w:after="80" w:before="140" w:line="300"/>
      </w:pPr>
      <w:r>
        <w:rPr>
          <w:rFonts w:ascii="Times New Roman" w:cs="Times New Roman" w:eastAsia="Times New Roman" w:hAnsi="Times New Roman"/>
          <w:b/>
          <w:bCs/>
          <w:sz w:val="24"/>
          <w:szCs w:val="24"/>
        </w:rPr>
        <w:t xml:space="preserve">Điều 36. Bồi thường thiệt hại về tài sản</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NLĐ làm hư hỏng dụng cụ, thiết bị hoặc có hành vi khác gây thiệt hại tài sản của Công ty thì phải bồi thường theo quy định của pháp luật và Nội quy này.</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Trường hợp NLĐ gây thiệt hại do sơ suất với giá trị thiệt hại không quá 10 tháng lương tối thiểu vùng do Chính phủ công bố được áp dụng tại nơi NLĐ làm việc, thì NLĐ phải bồi thường nhiều nhất là 03 tháng tiền lương và bị khấu trừ hằng tháng vào lương theo quy định tại khoản 3 Điều 102 Bộ luật Lao động.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Trường hợp NLĐ gây thiệt hại do cố ý, hoặc do sơ suất với giá trị thiệt hại vượt quá 10 tháng lương tối thiểu vùng, thì phải bồi thường toàn bộ thiệt hại theo giá thị trường; trường hợp có hợp đồng trách nhiệm thì bồi thường theo hợp đồng trách nhiệm.</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4. NLĐ làm mất dụng cụ, thiết bị, tài sản của Công ty hoặc tài sản khác do Công ty giao, hoặc tiêu hao vật tư quá định mức cho phép thì phải bồi thường thiệt hại một phần hoặc toàn bộ theo giá thị trường hoặc theo hợp đồng trách nhiệm.</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5. Trường hợp thiệt hại do thiên tai, hỏa hoạn, địch họa, dịch bệnh nguy hiểm, thảm họa, sự kiện xảy ra khách quan không thể lường trước được và không thể khắc phục được mặc dù đã áp dụng mọi biện pháp cần thiết và khả năng cho phép thì NLĐ không phải bồi thường.</w:t>
      </w:r>
    </w:p>
    <w:p>
      <w:pPr>
        <w:spacing w:after="80" w:before="140" w:line="300"/>
      </w:pPr>
      <w:r>
        <w:rPr>
          <w:rFonts w:ascii="Times New Roman" w:cs="Times New Roman" w:eastAsia="Times New Roman" w:hAnsi="Times New Roman"/>
          <w:b/>
          <w:bCs/>
          <w:sz w:val="24"/>
          <w:szCs w:val="24"/>
        </w:rPr>
        <w:t xml:space="preserve">Điều 37. Nguyên tắc và mức khấu trừ tiền lương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Công ty chỉ được khấu trừ tiền lương của NLĐ để bồi thường thiệt hại do làm hư hỏng dụng cụ, thiết bị, tài sản của Công ty theo quy định tại Điều 129 Bộ luật Lao động.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Mức khấu trừ tiền lương hằng tháng không được quá 30% tiền lương thực trả hằng tháng của NLĐ sau khi trích nộp các khoản bảo hiểm xã hội bắt buộc, bảo hiểm y tế, bảo hiểm thất nghiệp, thuế thu nhập cá nhân.</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NLĐ có quyền được biết lý do khấu trừ tiền lương của mình.</w:t>
      </w:r>
    </w:p>
    <w:p>
      <w:pPr>
        <w:spacing w:after="80" w:before="140" w:line="300"/>
      </w:pPr>
      <w:r>
        <w:rPr>
          <w:rFonts w:ascii="Times New Roman" w:cs="Times New Roman" w:eastAsia="Times New Roman" w:hAnsi="Times New Roman"/>
          <w:b/>
          <w:bCs/>
          <w:sz w:val="24"/>
          <w:szCs w:val="24"/>
        </w:rPr>
        <w:t xml:space="preserve">Điều 38. Xem xét khi quyết định mức bồi thường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Khi quyết định mức bồi thường, Công ty phải căn cứ vào lỗi, mức độ thiệt hại thực tế và hoàn cảnh thực tế gia đình, nhân thân và tài sản của NLĐ.</w:t>
      </w:r>
    </w:p>
    <w:p>
      <w:pPr>
        <w:spacing w:after="140" w:before="260"/>
        <w:jc w:val="center"/>
      </w:pPr>
      <w:r>
        <w:rPr>
          <w:rFonts w:ascii="Times New Roman" w:cs="Times New Roman" w:eastAsia="Times New Roman" w:hAnsi="Times New Roman"/>
          <w:b/>
          <w:bCs/>
          <w:sz w:val="26"/>
          <w:szCs w:val="26"/>
        </w:rPr>
        <w:t xml:space="preserve">CHƯƠNG X — THẨM QUYỀN VÀ TRÌNH TỰ XỬ LÝ KỶ LUẬT LAO ĐỘNG</w:t>
      </w:r>
    </w:p>
    <w:p>
      <w:pPr>
        <w:spacing w:after="80" w:before="140" w:line="300"/>
      </w:pPr>
      <w:r>
        <w:rPr>
          <w:rFonts w:ascii="Times New Roman" w:cs="Times New Roman" w:eastAsia="Times New Roman" w:hAnsi="Times New Roman"/>
          <w:b/>
          <w:bCs/>
          <w:sz w:val="24"/>
          <w:szCs w:val="24"/>
        </w:rPr>
        <w:t xml:space="preserve">Điều 39. Người có thẩm quyền xử lý kỷ luật lao động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Người có thẩm quyền xử lý kỷ luật lao động và ký quyết định xử lý kỷ luật lao động là Giám đốc Công ty — người đại diện theo pháp luật của Công ty.</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Trường hợp Giám đốc ủy quyền, người được ủy quyền chỉ được xử lý kỷ luật lao động ở hình thức khiển trách; việc ủy quyền phải được lập thành văn bản.</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Trưởng bộ phận có trách nhiệm phát hiện, lập biên bản vi phạm và đề xuất xử lý; bộ phận Hành chính – Nhân sự là đầu mối tổ chức, lập hồ sơ và lưu trữ.</w:t>
      </w:r>
    </w:p>
    <w:p>
      <w:pPr>
        <w:spacing w:after="80" w:before="140" w:line="300"/>
      </w:pPr>
      <w:r>
        <w:rPr>
          <w:rFonts w:ascii="Times New Roman" w:cs="Times New Roman" w:eastAsia="Times New Roman" w:hAnsi="Times New Roman"/>
          <w:b/>
          <w:bCs/>
          <w:sz w:val="24"/>
          <w:szCs w:val="24"/>
        </w:rPr>
        <w:t xml:space="preserve">Điều 40. Trình tự xử lý kỷ luật lao động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Khi phát hiện hành vi vi phạm ngay tại thời điểm xảy ra, Công ty lập biên bản vi phạm và thông báo đến tổ chức đại diện NLĐ tại cơ sở, người đại diện theo pháp luật của NLĐ chưa đủ 15 tuổi (nếu có).</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Trường hợp phát hiện sau thời điểm xảy ra hành vi vi phạm, Công ty thực hiện thu thập chứng cứ chứng minh lỗi của NLĐ.</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Công ty thông báo nội dung, thời gian, địa điểm tiến hành họp xử lý kỷ luật, họ tên người bị xử lý, hành vi vi phạm đến các thành phần phải tham dự ít nhất 05 ngày làm việc trước ngày họp.</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4. Cuộc họp xử lý kỷ luật lao động được tiến hành khi có mặt đầy đủ các thành phần được thông báo hoặc khi có thành phần không xác nhận tham dự/vắng mặt. Nội dung cuộc họp phải được lập thành biên bản và được thông qua trước khi kết thúc cuộc họp; biên bản phải có chữ ký của người tham dự.</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5. NLĐ, người đại diện của NLĐ có quyền tự bào chữa hoặc nhờ luật sư, tổ chức đại diện NLĐ bào chữa.</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6. Quyết định xử lý kỷ luật lao động phải được ban hành trong thời hiệu xử lý kỷ luật và được gửi đến các thành phần phải tham dự.</w:t>
      </w:r>
    </w:p>
    <w:p>
      <w:pPr>
        <w:spacing w:after="80" w:before="140" w:line="300"/>
      </w:pPr>
      <w:r>
        <w:rPr>
          <w:rFonts w:ascii="Times New Roman" w:cs="Times New Roman" w:eastAsia="Times New Roman" w:hAnsi="Times New Roman"/>
          <w:b/>
          <w:bCs/>
          <w:sz w:val="24"/>
          <w:szCs w:val="24"/>
        </w:rPr>
        <w:t xml:space="preserve">Điều 41. Thời hiệu xử lý kỷ luật lao động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Thời hiệu xử lý kỷ luật lao động là 06 tháng kể từ ngày xảy ra hành vi vi phạm; trường hợp hành vi vi phạm liên quan trực tiếp đến tài chính, tài sản, tiết lộ bí mật công nghệ, bí mật kinh doanh của Công ty thì thời hiệu là 12 tháng.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Không xử lý kỷ luật lao động đối với NLĐ đang trong thời gian: nghỉ ốm đau, điều dưỡng; nghỉ việc được sự đồng ý của Công ty; đang bị tạm giữ, tạm giam; đang chờ kết quả của cơ quan có thẩm quyền điều tra xác minh và kết luận đối với hành vi vi phạm quy định tại khoản 1 và khoản 2 Điều 125 Bộ luật Lao động; NLĐ nữ mang thai, nghỉ thai sản, nuôi con dưới 12 tháng tuổi.</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Không xử lý kỷ luật lao động đối với NLĐ vi phạm khi đang mắc bệnh tâm thần hoặc bệnh khác làm mất khả năng nhận thức hoặc khả năng điều khiển hành vi.</w:t>
      </w:r>
    </w:p>
    <w:p>
      <w:pPr>
        <w:spacing w:after="80" w:before="140" w:line="300"/>
      </w:pPr>
      <w:r>
        <w:rPr>
          <w:rFonts w:ascii="Times New Roman" w:cs="Times New Roman" w:eastAsia="Times New Roman" w:hAnsi="Times New Roman"/>
          <w:b/>
          <w:bCs/>
          <w:sz w:val="24"/>
          <w:szCs w:val="24"/>
        </w:rPr>
        <w:t xml:space="preserve">Điều 42. Xóa kỷ luật, giảm thời hạn chấp hành kỷ luật</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NLĐ bị khiển trách sau 03 tháng, bị kéo dài thời hạn nâng lương sau 06 tháng, bị cách chức sau 03 năm kể từ ngày bị xử lý, nếu không tiếp tục vi phạm kỷ luật lao động thì đương nhiên được xóa kỷ luật.</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NLĐ bị kéo dài thời hạn nâng lương sau khi chấp hành được một nửa thời hạn, nếu sửa chữa tiến bộ thì có thể được Giám đốc xét giảm thời hạn.</w:t>
      </w:r>
    </w:p>
    <w:p>
      <w:pPr>
        <w:spacing w:after="140" w:before="260"/>
        <w:jc w:val="center"/>
      </w:pPr>
      <w:r>
        <w:rPr>
          <w:rFonts w:ascii="Times New Roman" w:cs="Times New Roman" w:eastAsia="Times New Roman" w:hAnsi="Times New Roman"/>
          <w:b/>
          <w:bCs/>
          <w:sz w:val="26"/>
          <w:szCs w:val="26"/>
        </w:rPr>
        <w:t xml:space="preserve">CHƯƠNG XI — ĐIỀU KHOẢN THI HÀNH</w:t>
      </w:r>
    </w:p>
    <w:p>
      <w:pPr>
        <w:spacing w:after="80" w:before="140" w:line="300"/>
      </w:pPr>
      <w:r>
        <w:rPr>
          <w:rFonts w:ascii="Times New Roman" w:cs="Times New Roman" w:eastAsia="Times New Roman" w:hAnsi="Times New Roman"/>
          <w:b/>
          <w:bCs/>
          <w:sz w:val="24"/>
          <w:szCs w:val="24"/>
        </w:rPr>
        <w:t xml:space="preserve">Điều 43. Hiệu lực thi hành</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Nội quy lao động này có hiệu lực sau 15 ngày kể từ ngày cơ quan chuyên môn về lao động thuộc Ủy ban nhân dân cấp tỉnh nhận được đầy đủ hồ sơ đăng ký nội quy lao động.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Nội quy này được niêm yết công khai tại nơi làm việc, đăng tải trên Hệ thống và gửi đến toàn thể NLĐ; những nội dung chính được thông báo đến từng NLĐ.</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Các quy định trước đây của Công ty trái với Nội quy này đều bãi bỏ. Các chính sách POL-01, POL-02, OVT-01, WKT-01, PRO-01 tiếp tục có hiệu lực đối với những nội dung không trái với Nội quy này.</w:t>
      </w:r>
    </w:p>
    <w:p>
      <w:pPr>
        <w:spacing w:after="80" w:before="140" w:line="300"/>
      </w:pPr>
      <w:r>
        <w:rPr>
          <w:rFonts w:ascii="Times New Roman" w:cs="Times New Roman" w:eastAsia="Times New Roman" w:hAnsi="Times New Roman"/>
          <w:b/>
          <w:bCs/>
          <w:sz w:val="24"/>
          <w:szCs w:val="24"/>
        </w:rPr>
        <w:t xml:space="preserve">Điều 44. Tổ chức thực hiện</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Bộ phận Hành chính – Nhân sự chịu trách nhiệm phổ biến, theo dõi, kiểm tra việc thực hiện Nội quy và báo cáo Giám đốc định kỳ.</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Trưởng các bộ phận chịu trách nhiệm tổ chức thực hiện Nội quy trong phạm vi phụ trách.</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Mọi sửa đổi, bổ sung Nội quy phải được tham khảo ý kiến của tổ chức đại diện NLĐ tại cơ sở, thông báo cho NLĐ trước ít nhất 15 ngày và đăng ký lại theo quy định.</w:t>
      </w:r>
    </w:p>
    <w:p>
      <w:pPr>
        <w:spacing w:before="400"/>
      </w:pPr>
      <w:r>
        <w:rPr>
          <w:rFonts w:ascii="Times New Roman" w:cs="Times New Roman" w:eastAsia="Times New Roman" w:hAnsi="Times New Roman"/>
        </w:rPr>
        <w:t xml:space="preserve"/>
      </w:r>
    </w:p>
    <w:tbl>
      <w:tblPr>
        <w:tblW w:type="auto" w:w="100"/>
        <w:tblBorders>
          <w:top w:val="none"/>
          <w:left w:val="none"/>
          <w:bottom w:val="none"/>
          <w:right w:val="none"/>
          <w:insideH w:val="none"/>
          <w:insideV w:val="none"/>
        </w:tblBorders>
      </w:tblPr>
      <w:tblGrid>
        <w:gridCol w:w="4500"/>
        <w:gridCol w:w="4500"/>
      </w:tblGrid>
      <w:tr>
        <w:tc>
          <w:tcPr>
            <w:tcW w:type="dxa" w:w="4500"/>
            <w:tcBorders>
              <w:top w:val="none"/>
              <w:left w:val="none"/>
              <w:bottom w:val="none"/>
              <w:right w:val="none"/>
            </w:tcBorders>
          </w:tcPr>
          <w:p>
            <w:pPr>
              <w:jc w:val="center"/>
            </w:pPr>
            <w:r>
              <w:rPr>
                <w:rFonts w:ascii="Times New Roman" w:cs="Times New Roman" w:eastAsia="Times New Roman" w:hAnsi="Times New Roman"/>
                <w:b/>
                <w:bCs/>
                <w:sz w:val="24"/>
                <w:szCs w:val="24"/>
              </w:rPr>
              <w:t xml:space="preserve">ĐẠI DIỆN NGƯỜI LAO ĐỘNG</w:t>
            </w:r>
          </w:p>
          <w:p>
            <w:pPr>
              <w:spacing w:after="1000"/>
              <w:jc w:val="center"/>
            </w:pPr>
            <w:r>
              <w:rPr>
                <w:rFonts w:ascii="Times New Roman" w:cs="Times New Roman" w:eastAsia="Times New Roman" w:hAnsi="Times New Roman"/>
                <w:i/>
                <w:iCs/>
                <w:sz w:val="22"/>
                <w:szCs w:val="22"/>
              </w:rPr>
              <w:t xml:space="preserve">(Ký, ghi rõ họ tên)</w:t>
            </w:r>
          </w:p>
        </w:tc>
        <w:tc>
          <w:tcPr>
            <w:tcW w:type="dxa" w:w="4500"/>
            <w:tcBorders>
              <w:top w:val="none"/>
              <w:left w:val="none"/>
              <w:bottom w:val="none"/>
              <w:right w:val="none"/>
            </w:tcBorders>
          </w:tcPr>
          <w:p>
            <w:pPr>
              <w:jc w:val="center"/>
            </w:pPr>
            <w:r>
              <w:rPr>
                <w:rFonts w:ascii="Times New Roman" w:cs="Times New Roman" w:eastAsia="Times New Roman" w:hAnsi="Times New Roman"/>
                <w:b/>
                <w:bCs/>
                <w:sz w:val="24"/>
                <w:szCs w:val="24"/>
              </w:rPr>
              <w:t xml:space="preserve">GIÁM ĐỐC</w:t>
            </w:r>
          </w:p>
          <w:p>
            <w:pPr>
              <w:spacing w:after="1000"/>
              <w:jc w:val="center"/>
            </w:pPr>
            <w:r>
              <w:rPr>
                <w:rFonts w:ascii="Times New Roman" w:cs="Times New Roman" w:eastAsia="Times New Roman" w:hAnsi="Times New Roman"/>
                <w:i/>
                <w:iCs/>
                <w:sz w:val="22"/>
                <w:szCs w:val="22"/>
              </w:rPr>
              <w:t xml:space="preserve">(Ký tên, đóng dấu)</w:t>
            </w:r>
          </w:p>
          <w:p>
            <w:pPr>
              <w:jc w:val="center"/>
            </w:pPr>
            <w:r>
              <w:rPr>
                <w:rFonts w:ascii="Times New Roman" w:cs="Times New Roman" w:eastAsia="Times New Roman" w:hAnsi="Times New Roman"/>
                <w:b/>
                <w:bCs/>
                <w:sz w:val="24"/>
                <w:szCs w:val="24"/>
              </w:rPr>
              <w:t xml:space="preserve">NGUYỄN LÊ HIẾU</w:t>
            </w:r>
          </w:p>
        </w:tc>
      </w:tr>
    </w:tbl>
    <w:p>
      <w:r>
        <w:br w:type="page"/>
      </w:r>
    </w:p>
    <w:p>
      <w:pPr>
        <w:spacing w:after="0"/>
        <w:jc w:val="center"/>
      </w:pPr>
      <w:r>
        <w:rPr>
          <w:rFonts w:ascii="Times New Roman" w:cs="Times New Roman" w:eastAsia="Times New Roman" w:hAnsi="Times New Roman"/>
          <w:b/>
          <w:bCs/>
          <w:sz w:val="24"/>
          <w:szCs w:val="24"/>
        </w:rPr>
        <w:t xml:space="preserve">CÔNG TY TNHH GIẢI PHÁP KỸ THUẬT SÓNG VIỆT</w:t>
      </w:r>
    </w:p>
    <w:p>
      <w:pPr>
        <w:spacing w:after="60"/>
        <w:jc w:val="center"/>
      </w:pPr>
      <w:r>
        <w:rPr>
          <w:rFonts w:ascii="Times New Roman" w:cs="Times New Roman" w:eastAsia="Times New Roman" w:hAnsi="Times New Roman"/>
          <w:sz w:val="24"/>
          <w:szCs w:val="24"/>
        </w:rPr>
        <w:t xml:space="preserve">Số: ......../2026/TBL-SV</w:t>
      </w:r>
    </w:p>
    <w:p>
      <w:pPr>
        <w:spacing w:after="0"/>
        <w:jc w:val="center"/>
      </w:pPr>
      <w:r>
        <w:rPr>
          <w:rFonts w:ascii="Times New Roman" w:cs="Times New Roman" w:eastAsia="Times New Roman" w:hAnsi="Times New Roman"/>
          <w:b/>
          <w:bCs/>
          <w:sz w:val="24"/>
          <w:szCs w:val="24"/>
        </w:rPr>
        <w:t xml:space="preserve">CỘNG HÒA XÃ HỘI CHỦ NGHĨA VIỆT NAM</w:t>
      </w:r>
    </w:p>
    <w:p>
      <w:pPr>
        <w:spacing w:after="240"/>
        <w:jc w:val="center"/>
      </w:pPr>
      <w:r>
        <w:rPr>
          <w:rFonts w:ascii="Times New Roman" w:cs="Times New Roman" w:eastAsia="Times New Roman" w:hAnsi="Times New Roman"/>
          <w:b/>
          <w:bCs/>
          <w:sz w:val="24"/>
          <w:szCs w:val="24"/>
        </w:rPr>
        <w:t xml:space="preserve">Độc lập – Tự do – Hạnh phúc</w:t>
      </w:r>
    </w:p>
    <w:p>
      <w:pPr>
        <w:spacing w:after="60"/>
        <w:jc w:val="center"/>
      </w:pPr>
      <w:r>
        <w:rPr>
          <w:rFonts w:ascii="Times New Roman" w:cs="Times New Roman" w:eastAsia="Times New Roman" w:hAnsi="Times New Roman"/>
          <w:b/>
          <w:bCs/>
          <w:sz w:val="32"/>
          <w:szCs w:val="32"/>
        </w:rPr>
        <w:t xml:space="preserve">THANG LƯƠNG, BẢNG LƯƠNG</w:t>
      </w:r>
    </w:p>
    <w:p>
      <w:pPr>
        <w:spacing w:after="240"/>
        <w:jc w:val="center"/>
      </w:pPr>
      <w:r>
        <w:rPr>
          <w:rFonts w:ascii="Times New Roman" w:cs="Times New Roman" w:eastAsia="Times New Roman" w:hAnsi="Times New Roman"/>
          <w:i/>
          <w:iCs/>
          <w:sz w:val="22"/>
          <w:szCs w:val="22"/>
        </w:rPr>
        <w:t xml:space="preserve">(Ban hành kèm theo Quyết định số ......../2026/QĐ-SV ngày ...... tháng ...... năm 2026 của Giám đốc Công ty TNHH Giải pháp Kỹ thuật Sóng Việt)</w:t>
      </w:r>
    </w:p>
    <w:p>
      <w:pPr>
        <w:spacing w:after="100" w:line="300"/>
        <w:jc w:val="both"/>
      </w:pPr>
      <w:r>
        <w:rPr>
          <w:rFonts w:ascii="Times New Roman" w:cs="Times New Roman" w:eastAsia="Times New Roman" w:hAnsi="Times New Roman"/>
          <w:b w:val="false"/>
          <w:bCs w:val="false"/>
          <w:i w:val="false"/>
          <w:iCs w:val="false"/>
          <w:sz w:val="24"/>
          <w:szCs w:val="24"/>
        </w:rPr>
        <w:t xml:space="preserve">- Căn cứ Bộ luật Lao động số 45/2019/QH14, đặc biệt là Điều 90, Điều 93;</w:t>
      </w:r>
    </w:p>
    <w:p>
      <w:pPr>
        <w:spacing w:after="100" w:line="300"/>
        <w:jc w:val="both"/>
      </w:pPr>
      <w:r>
        <w:rPr>
          <w:rFonts w:ascii="Times New Roman" w:cs="Times New Roman" w:eastAsia="Times New Roman" w:hAnsi="Times New Roman"/>
          <w:b w:val="false"/>
          <w:bCs w:val="false"/>
          <w:i w:val="false"/>
          <w:iCs w:val="false"/>
          <w:sz w:val="24"/>
          <w:szCs w:val="24"/>
        </w:rPr>
        <w:t xml:space="preserve">- Căn cứ Nghị định của Chính phủ quy định mức lương tối thiểu đối với người lao động làm việc theo hợp đồng lao động;</w:t>
      </w:r>
    </w:p>
    <w:p>
      <w:pPr>
        <w:spacing w:after="100" w:line="300"/>
        <w:jc w:val="both"/>
      </w:pPr>
      <w:r>
        <w:rPr>
          <w:rFonts w:ascii="Times New Roman" w:cs="Times New Roman" w:eastAsia="Times New Roman" w:hAnsi="Times New Roman"/>
          <w:b w:val="false"/>
          <w:bCs w:val="false"/>
          <w:i w:val="false"/>
          <w:iCs w:val="false"/>
          <w:sz w:val="24"/>
          <w:szCs w:val="24"/>
        </w:rPr>
        <w:t xml:space="preserve">- Sau khi tham khảo ý kiến của tổ chức đại diện người lao động tại cơ sở,</w:t>
      </w:r>
    </w:p>
    <w:p>
      <w:pPr>
        <w:spacing w:after="100" w:line="300"/>
        <w:jc w:val="both"/>
      </w:pPr>
      <w:r>
        <w:rPr>
          <w:rFonts w:ascii="Times New Roman" w:cs="Times New Roman" w:eastAsia="Times New Roman" w:hAnsi="Times New Roman"/>
          <w:b/>
          <w:bCs/>
          <w:i w:val="false"/>
          <w:iCs w:val="false"/>
          <w:sz w:val="24"/>
          <w:szCs w:val="24"/>
        </w:rPr>
        <w:t xml:space="preserve">Giám đốc Công ty ban hành Thang lương, Bảng lương áp dụng trong Công ty như sau:</w:t>
      </w:r>
    </w:p>
    <w:p>
      <w:pPr>
        <w:spacing w:after="140" w:before="260"/>
        <w:jc w:val="center"/>
      </w:pPr>
      <w:r>
        <w:rPr>
          <w:rFonts w:ascii="Times New Roman" w:cs="Times New Roman" w:eastAsia="Times New Roman" w:hAnsi="Times New Roman"/>
          <w:b/>
          <w:bCs/>
          <w:sz w:val="26"/>
          <w:szCs w:val="26"/>
        </w:rPr>
        <w:t xml:space="preserve">CHƯƠNG I — QUY ĐỊNH CHUNG</w:t>
      </w:r>
    </w:p>
    <w:p>
      <w:pPr>
        <w:spacing w:after="80" w:before="140" w:line="300"/>
      </w:pPr>
      <w:r>
        <w:rPr>
          <w:rFonts w:ascii="Times New Roman" w:cs="Times New Roman" w:eastAsia="Times New Roman" w:hAnsi="Times New Roman"/>
          <w:b/>
          <w:bCs/>
          <w:sz w:val="24"/>
          <w:szCs w:val="24"/>
        </w:rPr>
        <w:t xml:space="preserve">Điều 1. Phạm vi và đối tượng áp dụng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Thang lương, bảng lương này áp dụng để xếp lương, trả lương, làm căn cứ đóng và hưởng các chế độ bảo hiểm xã hội, bảo hiểm y tế, bảo hiểm thất nghiệp đối với toàn bộ người lao động làm việc theo hợp đồng lao động tại Công ty.</w:t>
      </w:r>
    </w:p>
    <w:p>
      <w:pPr>
        <w:spacing w:after="80" w:before="140" w:line="300"/>
      </w:pPr>
      <w:r>
        <w:rPr>
          <w:rFonts w:ascii="Times New Roman" w:cs="Times New Roman" w:eastAsia="Times New Roman" w:hAnsi="Times New Roman"/>
          <w:b/>
          <w:bCs/>
          <w:sz w:val="24"/>
          <w:szCs w:val="24"/>
        </w:rPr>
        <w:t xml:space="preserve">Điều 2. Nguyên tắc xây dựng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Bảo đảm không phân biệt đối xử về giới tính, dân tộc, tôn giáo; lao động nam và lao động nữ làm công việc có giá trị như nhau được trả lương như nhau.</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Mức lương thấp nhất (bậc 1) của công việc giản đơn nhất trong điều kiện lao động bình thường không được thấp hơn mức lương tối thiểu vùng do Chính phủ công bố tại địa bàn Công ty hoạt động.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Khoảng cách chênh lệch giữa hai bậc lương liền kề bảo đảm khuyến khích người lao động nâng cao trình độ chuyên môn, kỹ thuật, tích lũy kinh nghiệm; tối thiểu 5%.</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4. Thang lương, bảng lương được rà soát định kỳ để sửa đổi, bổ sung cho phù hợp với điều kiện thực tế và quy định của pháp luật.</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5. Thang lương, bảng lương được công bố công khai tại nơi làm việc trước khi thực hiện.</w:t>
      </w:r>
    </w:p>
    <w:p>
      <w:pPr>
        <w:spacing w:after="80" w:before="140" w:line="300"/>
      </w:pPr>
      <w:r>
        <w:rPr>
          <w:rFonts w:ascii="Times New Roman" w:cs="Times New Roman" w:eastAsia="Times New Roman" w:hAnsi="Times New Roman"/>
          <w:b/>
          <w:bCs/>
          <w:sz w:val="24"/>
          <w:szCs w:val="24"/>
        </w:rPr>
        <w:t xml:space="preserve">Điều 3. Địa bàn và mức lương tối thiểu vùng áp dụng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Công ty đặt trụ sở tại Thành phố Hồ Chí Minh, thuộc địa bàn áp dụng mức lương tối thiểu Vùng I. Mức lương tối thiểu Vùng I áp dụng từ ngày 01/01/2026: 5.310.000 đồng/tháng (tương ứng 25.500 đồng/giờ).</w:t>
      </w:r>
    </w:p>
    <w:p>
      <w:pPr>
        <w:spacing w:after="100" w:line="300"/>
        <w:ind w:left="360"/>
        <w:jc w:val="both"/>
      </w:pPr>
      <w:r>
        <w:rPr>
          <w:rFonts w:ascii="Times New Roman" w:cs="Times New Roman" w:eastAsia="Times New Roman" w:hAnsi="Times New Roman"/>
          <w:b w:val="false"/>
          <w:bCs w:val="false"/>
          <w:i/>
          <w:iCs/>
          <w:sz w:val="24"/>
          <w:szCs w:val="24"/>
        </w:rPr>
        <w:t xml:space="preserve">Lưu ý: khi Chính phủ điều chỉnh mức lương tối thiểu vùng, Công ty rà soát và điều chỉnh Thang lương, Bảng lương cho phù hợp.</w:t>
      </w:r>
    </w:p>
    <w:p>
      <w:pPr>
        <w:spacing w:after="140" w:before="260"/>
        <w:jc w:val="center"/>
      </w:pPr>
      <w:r>
        <w:rPr>
          <w:rFonts w:ascii="Times New Roman" w:cs="Times New Roman" w:eastAsia="Times New Roman" w:hAnsi="Times New Roman"/>
          <w:b/>
          <w:bCs/>
          <w:sz w:val="26"/>
          <w:szCs w:val="26"/>
        </w:rPr>
        <w:t xml:space="preserve">CHƯƠNG II — HỆ THỐNG THANG LƯƠNG, BẢNG LƯƠNG</w:t>
      </w:r>
    </w:p>
    <w:p>
      <w:pPr>
        <w:spacing w:after="80" w:before="140" w:line="300"/>
      </w:pPr>
      <w:r>
        <w:rPr>
          <w:rFonts w:ascii="Times New Roman" w:cs="Times New Roman" w:eastAsia="Times New Roman" w:hAnsi="Times New Roman"/>
          <w:b/>
          <w:bCs/>
          <w:sz w:val="24"/>
          <w:szCs w:val="24"/>
        </w:rPr>
        <w:t xml:space="preserve">Điều 4. Bậc lương và hệ số lương theo chức danh</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Mỗi chức danh gồm 05 bậc lương. Hệ số lương của từng bậc như sau:</w:t>
      </w:r>
    </w:p>
    <w:p>
      <w:pPr>
        <w:spacing w:after="60" w:line="300"/>
        <w:jc w:val="both"/>
      </w:pPr>
      <w:r>
        <w:rPr>
          <w:rFonts w:ascii="Times New Roman" w:cs="Times New Roman" w:eastAsia="Times New Roman" w:hAnsi="Times New Roman"/>
          <w:b w:val="false"/>
          <w:bCs w:val="false"/>
          <w:i w:val="false"/>
          <w:iCs w:val="false"/>
          <w:sz w:val="24"/>
          <w:szCs w:val="24"/>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1000"/>
        <w:gridCol w:w="1000"/>
        <w:gridCol w:w="1000"/>
        <w:gridCol w:w="1000"/>
        <w:gridCol w:w="1000"/>
      </w:tblGrid>
      <w:tr>
        <w:tc>
          <w:tcPr>
            <w:tcW w:type="dxa" w:w="3400"/>
            <w:tcBorders>
              <w:top w:val="single" w:color="888888" w:sz="1"/>
              <w:left w:val="single" w:color="888888" w:sz="1"/>
              <w:bottom w:val="single" w:color="888888" w:sz="1"/>
              <w:right w:val="single" w:color="888888" w:sz="1"/>
            </w:tcBorders>
            <w:shd w:fill="E8EEF2" w:val="clear"/>
            <w:tcMar>
              <w:top w:type="dxa" w:w="60"/>
              <w:left w:type="dxa" w:w="90"/>
              <w:bottom w:type="dxa" w:w="60"/>
              <w:right w:type="dxa" w:w="90"/>
            </w:tcMar>
          </w:tcPr>
          <w:p>
            <w:pPr>
              <w:spacing w:line="260"/>
              <w:jc w:val="center"/>
            </w:pPr>
            <w:r>
              <w:rPr>
                <w:rFonts w:ascii="Times New Roman" w:cs="Times New Roman" w:eastAsia="Times New Roman" w:hAnsi="Times New Roman"/>
                <w:b/>
                <w:bCs/>
                <w:sz w:val="21"/>
                <w:szCs w:val="21"/>
              </w:rPr>
              <w:t xml:space="preserve">Chức danh công việc</w:t>
            </w:r>
          </w:p>
        </w:tc>
        <w:tc>
          <w:tcPr>
            <w:tcW w:type="dxa" w:w="1200"/>
            <w:tcBorders>
              <w:top w:val="single" w:color="888888" w:sz="1"/>
              <w:left w:val="single" w:color="888888" w:sz="1"/>
              <w:bottom w:val="single" w:color="888888" w:sz="1"/>
              <w:right w:val="single" w:color="888888" w:sz="1"/>
            </w:tcBorders>
            <w:shd w:fill="E8EEF2" w:val="clear"/>
            <w:tcMar>
              <w:top w:type="dxa" w:w="60"/>
              <w:left w:type="dxa" w:w="90"/>
              <w:bottom w:type="dxa" w:w="60"/>
              <w:right w:type="dxa" w:w="90"/>
            </w:tcMar>
          </w:tcPr>
          <w:p>
            <w:pPr>
              <w:spacing w:line="260"/>
              <w:jc w:val="center"/>
            </w:pPr>
            <w:r>
              <w:rPr>
                <w:rFonts w:ascii="Times New Roman" w:cs="Times New Roman" w:eastAsia="Times New Roman" w:hAnsi="Times New Roman"/>
                <w:b/>
                <w:bCs/>
                <w:sz w:val="21"/>
                <w:szCs w:val="21"/>
              </w:rPr>
              <w:t xml:space="preserve">Mã VT</w:t>
            </w:r>
          </w:p>
        </w:tc>
        <w:tc>
          <w:tcPr>
            <w:tcW w:type="dxa" w:w="1000"/>
            <w:tcBorders>
              <w:top w:val="single" w:color="888888" w:sz="1"/>
              <w:left w:val="single" w:color="888888" w:sz="1"/>
              <w:bottom w:val="single" w:color="888888" w:sz="1"/>
              <w:right w:val="single" w:color="888888" w:sz="1"/>
            </w:tcBorders>
            <w:shd w:fill="E8EEF2" w:val="clear"/>
            <w:tcMar>
              <w:top w:type="dxa" w:w="60"/>
              <w:left w:type="dxa" w:w="90"/>
              <w:bottom w:type="dxa" w:w="60"/>
              <w:right w:type="dxa" w:w="90"/>
            </w:tcMar>
          </w:tcPr>
          <w:p>
            <w:pPr>
              <w:spacing w:line="260"/>
              <w:jc w:val="center"/>
            </w:pPr>
            <w:r>
              <w:rPr>
                <w:rFonts w:ascii="Times New Roman" w:cs="Times New Roman" w:eastAsia="Times New Roman" w:hAnsi="Times New Roman"/>
                <w:b/>
                <w:bCs/>
                <w:sz w:val="21"/>
                <w:szCs w:val="21"/>
              </w:rPr>
              <w:t xml:space="preserve">Bậc 1</w:t>
            </w:r>
          </w:p>
        </w:tc>
        <w:tc>
          <w:tcPr>
            <w:tcW w:type="dxa" w:w="1000"/>
            <w:tcBorders>
              <w:top w:val="single" w:color="888888" w:sz="1"/>
              <w:left w:val="single" w:color="888888" w:sz="1"/>
              <w:bottom w:val="single" w:color="888888" w:sz="1"/>
              <w:right w:val="single" w:color="888888" w:sz="1"/>
            </w:tcBorders>
            <w:shd w:fill="E8EEF2" w:val="clear"/>
            <w:tcMar>
              <w:top w:type="dxa" w:w="60"/>
              <w:left w:type="dxa" w:w="90"/>
              <w:bottom w:type="dxa" w:w="60"/>
              <w:right w:type="dxa" w:w="90"/>
            </w:tcMar>
          </w:tcPr>
          <w:p>
            <w:pPr>
              <w:spacing w:line="260"/>
              <w:jc w:val="center"/>
            </w:pPr>
            <w:r>
              <w:rPr>
                <w:rFonts w:ascii="Times New Roman" w:cs="Times New Roman" w:eastAsia="Times New Roman" w:hAnsi="Times New Roman"/>
                <w:b/>
                <w:bCs/>
                <w:sz w:val="21"/>
                <w:szCs w:val="21"/>
              </w:rPr>
              <w:t xml:space="preserve">Bậc 2</w:t>
            </w:r>
          </w:p>
        </w:tc>
        <w:tc>
          <w:tcPr>
            <w:tcW w:type="dxa" w:w="1000"/>
            <w:tcBorders>
              <w:top w:val="single" w:color="888888" w:sz="1"/>
              <w:left w:val="single" w:color="888888" w:sz="1"/>
              <w:bottom w:val="single" w:color="888888" w:sz="1"/>
              <w:right w:val="single" w:color="888888" w:sz="1"/>
            </w:tcBorders>
            <w:shd w:fill="E8EEF2" w:val="clear"/>
            <w:tcMar>
              <w:top w:type="dxa" w:w="60"/>
              <w:left w:type="dxa" w:w="90"/>
              <w:bottom w:type="dxa" w:w="60"/>
              <w:right w:type="dxa" w:w="90"/>
            </w:tcMar>
          </w:tcPr>
          <w:p>
            <w:pPr>
              <w:spacing w:line="260"/>
              <w:jc w:val="center"/>
            </w:pPr>
            <w:r>
              <w:rPr>
                <w:rFonts w:ascii="Times New Roman" w:cs="Times New Roman" w:eastAsia="Times New Roman" w:hAnsi="Times New Roman"/>
                <w:b/>
                <w:bCs/>
                <w:sz w:val="21"/>
                <w:szCs w:val="21"/>
              </w:rPr>
              <w:t xml:space="preserve">Bậc 3</w:t>
            </w:r>
          </w:p>
        </w:tc>
        <w:tc>
          <w:tcPr>
            <w:tcW w:type="dxa" w:w="1000"/>
            <w:tcBorders>
              <w:top w:val="single" w:color="888888" w:sz="1"/>
              <w:left w:val="single" w:color="888888" w:sz="1"/>
              <w:bottom w:val="single" w:color="888888" w:sz="1"/>
              <w:right w:val="single" w:color="888888" w:sz="1"/>
            </w:tcBorders>
            <w:shd w:fill="E8EEF2" w:val="clear"/>
            <w:tcMar>
              <w:top w:type="dxa" w:w="60"/>
              <w:left w:type="dxa" w:w="90"/>
              <w:bottom w:type="dxa" w:w="60"/>
              <w:right w:type="dxa" w:w="90"/>
            </w:tcMar>
          </w:tcPr>
          <w:p>
            <w:pPr>
              <w:spacing w:line="260"/>
              <w:jc w:val="center"/>
            </w:pPr>
            <w:r>
              <w:rPr>
                <w:rFonts w:ascii="Times New Roman" w:cs="Times New Roman" w:eastAsia="Times New Roman" w:hAnsi="Times New Roman"/>
                <w:b/>
                <w:bCs/>
                <w:sz w:val="21"/>
                <w:szCs w:val="21"/>
              </w:rPr>
              <w:t xml:space="preserve">Bậc 4</w:t>
            </w:r>
          </w:p>
        </w:tc>
        <w:tc>
          <w:tcPr>
            <w:tcW w:type="dxa" w:w="1000"/>
            <w:tcBorders>
              <w:top w:val="single" w:color="888888" w:sz="1"/>
              <w:left w:val="single" w:color="888888" w:sz="1"/>
              <w:bottom w:val="single" w:color="888888" w:sz="1"/>
              <w:right w:val="single" w:color="888888" w:sz="1"/>
            </w:tcBorders>
            <w:shd w:fill="E8EEF2" w:val="clear"/>
            <w:tcMar>
              <w:top w:type="dxa" w:w="60"/>
              <w:left w:type="dxa" w:w="90"/>
              <w:bottom w:type="dxa" w:w="60"/>
              <w:right w:type="dxa" w:w="90"/>
            </w:tcMar>
          </w:tcPr>
          <w:p>
            <w:pPr>
              <w:spacing w:line="260"/>
              <w:jc w:val="center"/>
            </w:pPr>
            <w:r>
              <w:rPr>
                <w:rFonts w:ascii="Times New Roman" w:cs="Times New Roman" w:eastAsia="Times New Roman" w:hAnsi="Times New Roman"/>
                <w:b/>
                <w:bCs/>
                <w:sz w:val="21"/>
                <w:szCs w:val="21"/>
              </w:rPr>
              <w:t xml:space="preserve">Bậc 5</w:t>
            </w:r>
          </w:p>
        </w:tc>
      </w:tr>
      <w:tr>
        <w:tc>
          <w:tcPr>
            <w:tcW w:type="dxa" w:w="9600"/>
            <w:tcBorders>
              <w:top w:val="single" w:color="888888" w:sz="1"/>
              <w:left w:val="single" w:color="888888" w:sz="1"/>
              <w:bottom w:val="single" w:color="888888" w:sz="1"/>
              <w:right w:val="single" w:color="888888" w:sz="1"/>
            </w:tcBorders>
            <w:shd w:fill="F2F7F9" w:val="clear"/>
            <w:tcMar>
              <w:top w:type="dxa" w:w="60"/>
              <w:left w:type="dxa" w:w="90"/>
              <w:bottom w:type="dxa" w:w="60"/>
              <w:right w:type="dxa" w:w="90"/>
            </w:tcMar>
          </w:tcPr>
          <w:p>
            <w:pPr>
              <w:spacing w:line="260"/>
              <w:jc w:val="left"/>
            </w:pPr>
            <w:r>
              <w:rPr>
                <w:rFonts w:ascii="Times New Roman" w:cs="Times New Roman" w:eastAsia="Times New Roman" w:hAnsi="Times New Roman"/>
                <w:b/>
                <w:bCs/>
                <w:sz w:val="21"/>
                <w:szCs w:val="21"/>
              </w:rPr>
              <w:t xml:space="preserve">NHÓM I — QUẢN LÝ ĐIỀU HÀNH</w:t>
            </w:r>
          </w:p>
        </w:tc>
        <w:tc>
          <w:tcPr>
            <w:tcW w:type="dxa" w:w="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
            </w:r>
          </w:p>
        </w:tc>
        <w:tc>
          <w:tcPr>
            <w:tcW w:type="dxa" w:w="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
            </w:r>
          </w:p>
        </w:tc>
        <w:tc>
          <w:tcPr>
            <w:tcW w:type="dxa" w:w="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
            </w:r>
          </w:p>
        </w:tc>
        <w:tc>
          <w:tcPr>
            <w:tcW w:type="dxa" w:w="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
            </w:r>
          </w:p>
        </w:tc>
        <w:tc>
          <w:tcPr>
            <w:tcW w:type="dxa" w:w="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
            </w:r>
          </w:p>
        </w:tc>
        <w:tc>
          <w:tcPr>
            <w:tcW w:type="dxa" w:w="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
            </w:r>
          </w:p>
        </w:tc>
      </w:tr>
      <w:tr>
        <w:tc>
          <w:tcPr>
            <w:tcW w:type="dxa" w:w="34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Giám đốc điều hành</w:t>
            </w:r>
          </w:p>
        </w:tc>
        <w:tc>
          <w:tcPr>
            <w:tcW w:type="dxa" w:w="12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CEO</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1,00</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1,09</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1,19</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1,30</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1,42</w:t>
            </w:r>
          </w:p>
        </w:tc>
      </w:tr>
      <w:tr>
        <w:tc>
          <w:tcPr>
            <w:tcW w:type="dxa" w:w="9600"/>
            <w:tcBorders>
              <w:top w:val="single" w:color="888888" w:sz="1"/>
              <w:left w:val="single" w:color="888888" w:sz="1"/>
              <w:bottom w:val="single" w:color="888888" w:sz="1"/>
              <w:right w:val="single" w:color="888888" w:sz="1"/>
            </w:tcBorders>
            <w:shd w:fill="F2F7F9" w:val="clear"/>
            <w:tcMar>
              <w:top w:type="dxa" w:w="60"/>
              <w:left w:type="dxa" w:w="90"/>
              <w:bottom w:type="dxa" w:w="60"/>
              <w:right w:type="dxa" w:w="90"/>
            </w:tcMar>
          </w:tcPr>
          <w:p>
            <w:pPr>
              <w:spacing w:line="260"/>
              <w:jc w:val="left"/>
            </w:pPr>
            <w:r>
              <w:rPr>
                <w:rFonts w:ascii="Times New Roman" w:cs="Times New Roman" w:eastAsia="Times New Roman" w:hAnsi="Times New Roman"/>
                <w:b/>
                <w:bCs/>
                <w:sz w:val="21"/>
                <w:szCs w:val="21"/>
              </w:rPr>
              <w:t xml:space="preserve">NHÓM II — QUẢN LÝ CẤP PHÒNG / BỘ PHẬN</w:t>
            </w:r>
          </w:p>
        </w:tc>
        <w:tc>
          <w:tcPr>
            <w:tcW w:type="dxa" w:w="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
            </w:r>
          </w:p>
        </w:tc>
        <w:tc>
          <w:tcPr>
            <w:tcW w:type="dxa" w:w="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
            </w:r>
          </w:p>
        </w:tc>
        <w:tc>
          <w:tcPr>
            <w:tcW w:type="dxa" w:w="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
            </w:r>
          </w:p>
        </w:tc>
        <w:tc>
          <w:tcPr>
            <w:tcW w:type="dxa" w:w="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
            </w:r>
          </w:p>
        </w:tc>
        <w:tc>
          <w:tcPr>
            <w:tcW w:type="dxa" w:w="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
            </w:r>
          </w:p>
        </w:tc>
        <w:tc>
          <w:tcPr>
            <w:tcW w:type="dxa" w:w="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
            </w:r>
          </w:p>
        </w:tc>
      </w:tr>
      <w:tr>
        <w:tc>
          <w:tcPr>
            <w:tcW w:type="dxa" w:w="34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Trưởng Phòng Kinh doanh</w:t>
            </w:r>
          </w:p>
        </w:tc>
        <w:tc>
          <w:tcPr>
            <w:tcW w:type="dxa" w:w="12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TP_KD</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1,00</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1,09</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1,19</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1,30</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1,42</w:t>
            </w:r>
          </w:p>
        </w:tc>
      </w:tr>
      <w:tr>
        <w:tc>
          <w:tcPr>
            <w:tcW w:type="dxa" w:w="34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Trưởng Phòng Cung ứng &amp; Kho</w:t>
            </w:r>
          </w:p>
        </w:tc>
        <w:tc>
          <w:tcPr>
            <w:tcW w:type="dxa" w:w="12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TP_CU</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1,00</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1,09</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1,19</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1,30</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1,42</w:t>
            </w:r>
          </w:p>
        </w:tc>
      </w:tr>
      <w:tr>
        <w:tc>
          <w:tcPr>
            <w:tcW w:type="dxa" w:w="34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Kế toán trưởng</w:t>
            </w:r>
          </w:p>
        </w:tc>
        <w:tc>
          <w:tcPr>
            <w:tcW w:type="dxa" w:w="12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KTT</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1,00</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1,09</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1,19</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1,30</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1,42</w:t>
            </w:r>
          </w:p>
        </w:tc>
      </w:tr>
      <w:tr>
        <w:tc>
          <w:tcPr>
            <w:tcW w:type="dxa" w:w="34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Trưởng Dự án</w:t>
            </w:r>
          </w:p>
        </w:tc>
        <w:tc>
          <w:tcPr>
            <w:tcW w:type="dxa" w:w="12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TP_DA</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1,00</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1,09</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1,19</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1,30</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1,42</w:t>
            </w:r>
          </w:p>
        </w:tc>
      </w:tr>
      <w:tr>
        <w:tc>
          <w:tcPr>
            <w:tcW w:type="dxa" w:w="9600"/>
            <w:tcBorders>
              <w:top w:val="single" w:color="888888" w:sz="1"/>
              <w:left w:val="single" w:color="888888" w:sz="1"/>
              <w:bottom w:val="single" w:color="888888" w:sz="1"/>
              <w:right w:val="single" w:color="888888" w:sz="1"/>
            </w:tcBorders>
            <w:shd w:fill="F2F7F9" w:val="clear"/>
            <w:tcMar>
              <w:top w:type="dxa" w:w="60"/>
              <w:left w:type="dxa" w:w="90"/>
              <w:bottom w:type="dxa" w:w="60"/>
              <w:right w:type="dxa" w:w="90"/>
            </w:tcMar>
          </w:tcPr>
          <w:p>
            <w:pPr>
              <w:spacing w:line="260"/>
              <w:jc w:val="left"/>
            </w:pPr>
            <w:r>
              <w:rPr>
                <w:rFonts w:ascii="Times New Roman" w:cs="Times New Roman" w:eastAsia="Times New Roman" w:hAnsi="Times New Roman"/>
                <w:b/>
                <w:bCs/>
                <w:sz w:val="21"/>
                <w:szCs w:val="21"/>
              </w:rPr>
              <w:t xml:space="preserve">NHÓM III — CHUYÊN VIÊN / NHÂN VIÊN NGHIỆP VỤ</w:t>
            </w:r>
          </w:p>
        </w:tc>
        <w:tc>
          <w:tcPr>
            <w:tcW w:type="dxa" w:w="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
            </w:r>
          </w:p>
        </w:tc>
        <w:tc>
          <w:tcPr>
            <w:tcW w:type="dxa" w:w="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
            </w:r>
          </w:p>
        </w:tc>
        <w:tc>
          <w:tcPr>
            <w:tcW w:type="dxa" w:w="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
            </w:r>
          </w:p>
        </w:tc>
        <w:tc>
          <w:tcPr>
            <w:tcW w:type="dxa" w:w="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
            </w:r>
          </w:p>
        </w:tc>
        <w:tc>
          <w:tcPr>
            <w:tcW w:type="dxa" w:w="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
            </w:r>
          </w:p>
        </w:tc>
        <w:tc>
          <w:tcPr>
            <w:tcW w:type="dxa" w:w="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
            </w:r>
          </w:p>
        </w:tc>
      </w:tr>
      <w:tr>
        <w:tc>
          <w:tcPr>
            <w:tcW w:type="dxa" w:w="34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Nhân viên Kinh doanh</w:t>
            </w:r>
          </w:p>
        </w:tc>
        <w:tc>
          <w:tcPr>
            <w:tcW w:type="dxa" w:w="12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NV_KD</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1,00</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1,09</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1,19</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1,30</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1,42</w:t>
            </w:r>
          </w:p>
        </w:tc>
      </w:tr>
      <w:tr>
        <w:tc>
          <w:tcPr>
            <w:tcW w:type="dxa" w:w="34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Nhân viên Chăm sóc Khách hàng / CRM</w:t>
            </w:r>
          </w:p>
        </w:tc>
        <w:tc>
          <w:tcPr>
            <w:tcW w:type="dxa" w:w="12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NV_CRM</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1,00</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1,09</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1,19</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1,30</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1,42</w:t>
            </w:r>
          </w:p>
        </w:tc>
      </w:tr>
      <w:tr>
        <w:tc>
          <w:tcPr>
            <w:tcW w:type="dxa" w:w="34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Nhân viên Mua hàng / NCC</w:t>
            </w:r>
          </w:p>
        </w:tc>
        <w:tc>
          <w:tcPr>
            <w:tcW w:type="dxa" w:w="12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NV_MUA</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1,00</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1,09</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1,19</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1,30</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1,42</w:t>
            </w:r>
          </w:p>
        </w:tc>
      </w:tr>
      <w:tr>
        <w:tc>
          <w:tcPr>
            <w:tcW w:type="dxa" w:w="34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Nhân viên Kế toán</w:t>
            </w:r>
          </w:p>
        </w:tc>
        <w:tc>
          <w:tcPr>
            <w:tcW w:type="dxa" w:w="12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NV_KT</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1,00</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1,09</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1,19</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1,30</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1,42</w:t>
            </w:r>
          </w:p>
        </w:tc>
      </w:tr>
      <w:tr>
        <w:tc>
          <w:tcPr>
            <w:tcW w:type="dxa" w:w="34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Nhân viên Dịch vụ Cho thuê</w:t>
            </w:r>
          </w:p>
        </w:tc>
        <w:tc>
          <w:tcPr>
            <w:tcW w:type="dxa" w:w="12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NV_THUE</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1,00</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1,09</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1,19</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1,30</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1,42</w:t>
            </w:r>
          </w:p>
        </w:tc>
      </w:tr>
      <w:tr>
        <w:tc>
          <w:tcPr>
            <w:tcW w:type="dxa" w:w="34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Nhân viên Hành chính – Nhân sự</w:t>
            </w:r>
          </w:p>
        </w:tc>
        <w:tc>
          <w:tcPr>
            <w:tcW w:type="dxa" w:w="12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NV_HCNS</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1,00</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1,09</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1,19</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1,30</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1,42</w:t>
            </w:r>
          </w:p>
        </w:tc>
      </w:tr>
      <w:tr>
        <w:tc>
          <w:tcPr>
            <w:tcW w:type="dxa" w:w="34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Quản trị hệ thống / IT</w:t>
            </w:r>
          </w:p>
        </w:tc>
        <w:tc>
          <w:tcPr>
            <w:tcW w:type="dxa" w:w="12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ADMIN</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1,00</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1,09</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1,19</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1,30</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1,42</w:t>
            </w:r>
          </w:p>
        </w:tc>
      </w:tr>
      <w:tr>
        <w:tc>
          <w:tcPr>
            <w:tcW w:type="dxa" w:w="9600"/>
            <w:tcBorders>
              <w:top w:val="single" w:color="888888" w:sz="1"/>
              <w:left w:val="single" w:color="888888" w:sz="1"/>
              <w:bottom w:val="single" w:color="888888" w:sz="1"/>
              <w:right w:val="single" w:color="888888" w:sz="1"/>
            </w:tcBorders>
            <w:shd w:fill="F2F7F9" w:val="clear"/>
            <w:tcMar>
              <w:top w:type="dxa" w:w="60"/>
              <w:left w:type="dxa" w:w="90"/>
              <w:bottom w:type="dxa" w:w="60"/>
              <w:right w:type="dxa" w:w="90"/>
            </w:tcMar>
          </w:tcPr>
          <w:p>
            <w:pPr>
              <w:spacing w:line="260"/>
              <w:jc w:val="left"/>
            </w:pPr>
            <w:r>
              <w:rPr>
                <w:rFonts w:ascii="Times New Roman" w:cs="Times New Roman" w:eastAsia="Times New Roman" w:hAnsi="Times New Roman"/>
                <w:b/>
                <w:bCs/>
                <w:sz w:val="21"/>
                <w:szCs w:val="21"/>
              </w:rPr>
              <w:t xml:space="preserve">NHÓM IV — KỸ THUẬT, VẬN HÀNH, KHO</w:t>
            </w:r>
          </w:p>
        </w:tc>
        <w:tc>
          <w:tcPr>
            <w:tcW w:type="dxa" w:w="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
            </w:r>
          </w:p>
        </w:tc>
        <w:tc>
          <w:tcPr>
            <w:tcW w:type="dxa" w:w="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
            </w:r>
          </w:p>
        </w:tc>
        <w:tc>
          <w:tcPr>
            <w:tcW w:type="dxa" w:w="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
            </w:r>
          </w:p>
        </w:tc>
        <w:tc>
          <w:tcPr>
            <w:tcW w:type="dxa" w:w="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
            </w:r>
          </w:p>
        </w:tc>
        <w:tc>
          <w:tcPr>
            <w:tcW w:type="dxa" w:w="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
            </w:r>
          </w:p>
        </w:tc>
        <w:tc>
          <w:tcPr>
            <w:tcW w:type="dxa" w:w="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
            </w:r>
          </w:p>
        </w:tc>
      </w:tr>
      <w:tr>
        <w:tc>
          <w:tcPr>
            <w:tcW w:type="dxa" w:w="34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Nhân viên Kỹ thuật</w:t>
            </w:r>
          </w:p>
        </w:tc>
        <w:tc>
          <w:tcPr>
            <w:tcW w:type="dxa" w:w="12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NV_KTH</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1,00</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1,09</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1,19</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1,30</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1,42</w:t>
            </w:r>
          </w:p>
        </w:tc>
      </w:tr>
      <w:tr>
        <w:tc>
          <w:tcPr>
            <w:tcW w:type="dxa" w:w="34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Nhân viên Dự án (giám sát thực địa)</w:t>
            </w:r>
          </w:p>
        </w:tc>
        <w:tc>
          <w:tcPr>
            <w:tcW w:type="dxa" w:w="12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NV_DA</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1,00</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1,09</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1,19</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1,30</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1,42</w:t>
            </w:r>
          </w:p>
        </w:tc>
      </w:tr>
      <w:tr>
        <w:tc>
          <w:tcPr>
            <w:tcW w:type="dxa" w:w="34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Thủ kho</w:t>
            </w:r>
          </w:p>
        </w:tc>
        <w:tc>
          <w:tcPr>
            <w:tcW w:type="dxa" w:w="12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THUKHO</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1,00</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1,09</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1,19</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1,30</w:t>
            </w:r>
          </w:p>
        </w:tc>
        <w:tc>
          <w:tcPr>
            <w:tcW w:type="dxa" w:w="1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1,42</w:t>
            </w:r>
          </w:p>
        </w:tc>
      </w:tr>
    </w:tbl>
    <w:p>
      <w:pPr>
        <w:spacing w:after="100" w:line="300"/>
        <w:jc w:val="both"/>
      </w:pPr>
      <w:r>
        <w:rPr>
          <w:rFonts w:ascii="Times New Roman" w:cs="Times New Roman" w:eastAsia="Times New Roman" w:hAnsi="Times New Roman"/>
          <w:b w:val="false"/>
          <w:bCs w:val="false"/>
          <w:i w:val="false"/>
          <w:iCs w:val="false"/>
          <w:sz w:val="24"/>
          <w:szCs w:val="24"/>
        </w:rPr>
        <w:t xml:space="preserve"/>
      </w:r>
    </w:p>
    <w:p>
      <w:pPr>
        <w:spacing w:after="80" w:before="140" w:line="300"/>
      </w:pPr>
      <w:r>
        <w:rPr>
          <w:rFonts w:ascii="Times New Roman" w:cs="Times New Roman" w:eastAsia="Times New Roman" w:hAnsi="Times New Roman"/>
          <w:b/>
          <w:bCs/>
          <w:sz w:val="24"/>
          <w:szCs w:val="24"/>
        </w:rPr>
        <w:t xml:space="preserve">Điều 5. Mức lương bậc 1 theo nhóm chức danh</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Mức lương tháng của từng bậc được xác định theo công thức:</w:t>
      </w:r>
    </w:p>
    <w:p>
      <w:pPr>
        <w:spacing w:after="100" w:line="300"/>
        <w:jc w:val="center"/>
      </w:pPr>
      <w:r>
        <w:rPr>
          <w:rFonts w:ascii="Times New Roman" w:cs="Times New Roman" w:eastAsia="Times New Roman" w:hAnsi="Times New Roman"/>
          <w:b/>
          <w:bCs/>
          <w:i w:val="false"/>
          <w:iCs w:val="false"/>
          <w:sz w:val="24"/>
          <w:szCs w:val="24"/>
        </w:rPr>
        <w:t xml:space="preserve">Mức lương bậc n = Mức lương bậc 1 của nhóm chức danh × Hệ số lương bậc n</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Mức lương bậc 1 của từng nhóm chức danh do Giám đốc quyết định và được ghi cụ thể tại bảng dưới đây:</w:t>
      </w:r>
    </w:p>
    <w:p>
      <w:pPr>
        <w:spacing w:after="60" w:line="300"/>
        <w:jc w:val="both"/>
      </w:pPr>
      <w:r>
        <w:rPr>
          <w:rFonts w:ascii="Times New Roman" w:cs="Times New Roman" w:eastAsia="Times New Roman" w:hAnsi="Times New Roman"/>
          <w:b w:val="false"/>
          <w:bCs w:val="false"/>
          <w:i w:val="false"/>
          <w:iCs w:val="false"/>
          <w:sz w:val="24"/>
          <w:szCs w:val="24"/>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3800"/>
      </w:tblGrid>
      <w:tr>
        <w:tc>
          <w:tcPr>
            <w:tcW w:type="dxa" w:w="1200"/>
            <w:tcBorders>
              <w:top w:val="single" w:color="888888" w:sz="1"/>
              <w:left w:val="single" w:color="888888" w:sz="1"/>
              <w:bottom w:val="single" w:color="888888" w:sz="1"/>
              <w:right w:val="single" w:color="888888" w:sz="1"/>
            </w:tcBorders>
            <w:shd w:fill="E8EEF2" w:val="clear"/>
            <w:tcMar>
              <w:top w:type="dxa" w:w="60"/>
              <w:left w:type="dxa" w:w="90"/>
              <w:bottom w:type="dxa" w:w="60"/>
              <w:right w:type="dxa" w:w="90"/>
            </w:tcMar>
          </w:tcPr>
          <w:p>
            <w:pPr>
              <w:spacing w:line="260"/>
              <w:jc w:val="center"/>
            </w:pPr>
            <w:r>
              <w:rPr>
                <w:rFonts w:ascii="Times New Roman" w:cs="Times New Roman" w:eastAsia="Times New Roman" w:hAnsi="Times New Roman"/>
                <w:b/>
                <w:bCs/>
                <w:sz w:val="21"/>
                <w:szCs w:val="21"/>
              </w:rPr>
              <w:t xml:space="preserve">Nhóm</w:t>
            </w:r>
          </w:p>
        </w:tc>
        <w:tc>
          <w:tcPr>
            <w:tcW w:type="dxa" w:w="4600"/>
            <w:tcBorders>
              <w:top w:val="single" w:color="888888" w:sz="1"/>
              <w:left w:val="single" w:color="888888" w:sz="1"/>
              <w:bottom w:val="single" w:color="888888" w:sz="1"/>
              <w:right w:val="single" w:color="888888" w:sz="1"/>
            </w:tcBorders>
            <w:shd w:fill="E8EEF2" w:val="clear"/>
            <w:tcMar>
              <w:top w:type="dxa" w:w="60"/>
              <w:left w:type="dxa" w:w="90"/>
              <w:bottom w:type="dxa" w:w="60"/>
              <w:right w:type="dxa" w:w="90"/>
            </w:tcMar>
          </w:tcPr>
          <w:p>
            <w:pPr>
              <w:spacing w:line="260"/>
              <w:jc w:val="center"/>
            </w:pPr>
            <w:r>
              <w:rPr>
                <w:rFonts w:ascii="Times New Roman" w:cs="Times New Roman" w:eastAsia="Times New Roman" w:hAnsi="Times New Roman"/>
                <w:b/>
                <w:bCs/>
                <w:sz w:val="21"/>
                <w:szCs w:val="21"/>
              </w:rPr>
              <w:t xml:space="preserve">Chức danh</w:t>
            </w:r>
          </w:p>
        </w:tc>
        <w:tc>
          <w:tcPr>
            <w:tcW w:type="dxa" w:w="3800"/>
            <w:tcBorders>
              <w:top w:val="single" w:color="888888" w:sz="1"/>
              <w:left w:val="single" w:color="888888" w:sz="1"/>
              <w:bottom w:val="single" w:color="888888" w:sz="1"/>
              <w:right w:val="single" w:color="888888" w:sz="1"/>
            </w:tcBorders>
            <w:shd w:fill="E8EEF2" w:val="clear"/>
            <w:tcMar>
              <w:top w:type="dxa" w:w="60"/>
              <w:left w:type="dxa" w:w="90"/>
              <w:bottom w:type="dxa" w:w="60"/>
              <w:right w:type="dxa" w:w="90"/>
            </w:tcMar>
          </w:tcPr>
          <w:p>
            <w:pPr>
              <w:spacing w:line="260"/>
              <w:jc w:val="center"/>
            </w:pPr>
            <w:r>
              <w:rPr>
                <w:rFonts w:ascii="Times New Roman" w:cs="Times New Roman" w:eastAsia="Times New Roman" w:hAnsi="Times New Roman"/>
                <w:b/>
                <w:bCs/>
                <w:sz w:val="21"/>
                <w:szCs w:val="21"/>
              </w:rPr>
              <w:t xml:space="preserve">Mức lương bậc 1 (đồng/tháng)</w:t>
            </w:r>
          </w:p>
        </w:tc>
      </w:tr>
      <w:tr>
        <w:tc>
          <w:tcPr>
            <w:tcW w:type="dxa" w:w="12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I</w:t>
            </w:r>
          </w:p>
        </w:tc>
        <w:tc>
          <w:tcPr>
            <w:tcW w:type="dxa" w:w="46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Quản lý điều hành</w:t>
            </w:r>
          </w:p>
        </w:tc>
        <w:tc>
          <w:tcPr>
            <w:tcW w:type="dxa" w:w="38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w:t>
            </w:r>
          </w:p>
        </w:tc>
      </w:tr>
      <w:tr>
        <w:tc>
          <w:tcPr>
            <w:tcW w:type="dxa" w:w="12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II</w:t>
            </w:r>
          </w:p>
        </w:tc>
        <w:tc>
          <w:tcPr>
            <w:tcW w:type="dxa" w:w="46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Quản lý cấp phòng / bộ phận</w:t>
            </w:r>
          </w:p>
        </w:tc>
        <w:tc>
          <w:tcPr>
            <w:tcW w:type="dxa" w:w="38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w:t>
            </w:r>
          </w:p>
        </w:tc>
      </w:tr>
      <w:tr>
        <w:tc>
          <w:tcPr>
            <w:tcW w:type="dxa" w:w="12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III</w:t>
            </w:r>
          </w:p>
        </w:tc>
        <w:tc>
          <w:tcPr>
            <w:tcW w:type="dxa" w:w="46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Chuyên viên / nhân viên nghiệp vụ</w:t>
            </w:r>
          </w:p>
        </w:tc>
        <w:tc>
          <w:tcPr>
            <w:tcW w:type="dxa" w:w="38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w:t>
            </w:r>
          </w:p>
        </w:tc>
      </w:tr>
      <w:tr>
        <w:tc>
          <w:tcPr>
            <w:tcW w:type="dxa" w:w="12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IV</w:t>
            </w:r>
          </w:p>
        </w:tc>
        <w:tc>
          <w:tcPr>
            <w:tcW w:type="dxa" w:w="46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Kỹ thuật, vận hành, kho</w:t>
            </w:r>
          </w:p>
        </w:tc>
        <w:tc>
          <w:tcPr>
            <w:tcW w:type="dxa" w:w="38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w:t>
            </w:r>
          </w:p>
        </w:tc>
      </w:tr>
    </w:tbl>
    <w:p>
      <w:pPr>
        <w:spacing w:after="100" w:line="300"/>
        <w:ind w:left="360"/>
        <w:jc w:val="both"/>
      </w:pPr>
      <w:r>
        <w:rPr>
          <w:rFonts w:ascii="Times New Roman" w:cs="Times New Roman" w:eastAsia="Times New Roman" w:hAnsi="Times New Roman"/>
          <w:b w:val="false"/>
          <w:bCs w:val="false"/>
          <w:i/>
          <w:iCs/>
          <w:sz w:val="24"/>
          <w:szCs w:val="24"/>
        </w:rPr>
        <w:t xml:space="preserve">Mức lương bậc 1 của Nhóm III và Nhóm IV không được thấp hơn mức lương tối thiểu Vùng I (5.310.000 đồng/tháng từ 01/01/2026).</w:t>
      </w:r>
    </w:p>
    <w:p>
      <w:pPr>
        <w:spacing w:after="140" w:before="260"/>
        <w:jc w:val="center"/>
      </w:pPr>
      <w:r>
        <w:rPr>
          <w:rFonts w:ascii="Times New Roman" w:cs="Times New Roman" w:eastAsia="Times New Roman" w:hAnsi="Times New Roman"/>
          <w:b/>
          <w:bCs/>
          <w:sz w:val="26"/>
          <w:szCs w:val="26"/>
        </w:rPr>
        <w:t xml:space="preserve">CHƯƠNG III — XẾP LƯƠNG VÀ NÂNG BẬC LƯƠNG</w:t>
      </w:r>
    </w:p>
    <w:p>
      <w:pPr>
        <w:spacing w:after="80" w:before="140" w:line="300"/>
      </w:pPr>
      <w:r>
        <w:rPr>
          <w:rFonts w:ascii="Times New Roman" w:cs="Times New Roman" w:eastAsia="Times New Roman" w:hAnsi="Times New Roman"/>
          <w:b/>
          <w:bCs/>
          <w:sz w:val="24"/>
          <w:szCs w:val="24"/>
        </w:rPr>
        <w:t xml:space="preserve">Điều 6. Xếp lương lần đầu</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Người lao động được xếp vào bậc 1 của chức danh tương ứng khi mới được tuyển dụng.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Trường hợp người lao động có kinh nghiệm, trình độ chuyên môn phù hợp, Giám đốc có thể quyết định xếp vào bậc cao hơn bậc 1.</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Tiền lương trong thời gian thử việc do hai bên thỏa thuận nhưng ít nhất phải bằng 85% mức lương của công việc đó.</w:t>
      </w:r>
    </w:p>
    <w:p>
      <w:pPr>
        <w:spacing w:after="80" w:before="140" w:line="300"/>
      </w:pPr>
      <w:r>
        <w:rPr>
          <w:rFonts w:ascii="Times New Roman" w:cs="Times New Roman" w:eastAsia="Times New Roman" w:hAnsi="Times New Roman"/>
          <w:b/>
          <w:bCs/>
          <w:sz w:val="24"/>
          <w:szCs w:val="24"/>
        </w:rPr>
        <w:t xml:space="preserve">Điều 7. Điều kiện nâng bậc lương thường xuyên</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Người lao động được xét nâng 01 bậc lương khi có đủ các điều kiện sau:</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a) Có thời gian giữ bậc lương hiện hưởng đủ 24 tháng đối với Nhóm I, Nhóm II và đủ 18 tháng đối với Nhóm III, Nhóm IV;</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b) Hoàn thành nhiệm vụ được giao, kết quả đánh giá KPI đạt loại B trở lên trong toàn bộ thời gian giữ bậc;</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c) Không trong thời gian bị xử lý kỷ luật lao động hoặc chưa được xóa kỷ luật;</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d) Không trong thời gian bị kéo dài thời hạn nâng lương theo quyết định xử lý kỷ luật.</w:t>
      </w:r>
    </w:p>
    <w:p>
      <w:pPr>
        <w:spacing w:after="80" w:before="140" w:line="300"/>
      </w:pPr>
      <w:r>
        <w:rPr>
          <w:rFonts w:ascii="Times New Roman" w:cs="Times New Roman" w:eastAsia="Times New Roman" w:hAnsi="Times New Roman"/>
          <w:b/>
          <w:bCs/>
          <w:sz w:val="24"/>
          <w:szCs w:val="24"/>
        </w:rPr>
        <w:t xml:space="preserve">Điều 8. Nâng bậc lương trước thời hạn</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Người lao động có thành tích xuất sắc, có sáng kiến mang lại lợi ích thiết thực cho Công ty, hoặc kết quả đánh giá KPI đạt loại A liên tục 12 tháng có thể được Giám đốc xét nâng bậc lương trước thời hạn tối đa 06 tháng.</w:t>
      </w:r>
    </w:p>
    <w:p>
      <w:pPr>
        <w:spacing w:after="80" w:before="140" w:line="300"/>
      </w:pPr>
      <w:r>
        <w:rPr>
          <w:rFonts w:ascii="Times New Roman" w:cs="Times New Roman" w:eastAsia="Times New Roman" w:hAnsi="Times New Roman"/>
          <w:b/>
          <w:bCs/>
          <w:sz w:val="24"/>
          <w:szCs w:val="24"/>
        </w:rPr>
        <w:t xml:space="preserve">Điều 9. Kéo dài thời hạn nâng bậc lương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Người lao động bị xử lý kỷ luật lao động bằng hình thức kéo dài thời hạn nâng lương thì thời gian giữ bậc được tính lại theo quyết định xử lý kỷ luật, tối đa 06 tháng.</w:t>
      </w:r>
    </w:p>
    <w:p>
      <w:pPr>
        <w:spacing w:after="80" w:before="140" w:line="300"/>
      </w:pPr>
      <w:r>
        <w:rPr>
          <w:rFonts w:ascii="Times New Roman" w:cs="Times New Roman" w:eastAsia="Times New Roman" w:hAnsi="Times New Roman"/>
          <w:b/>
          <w:bCs/>
          <w:sz w:val="24"/>
          <w:szCs w:val="24"/>
        </w:rPr>
        <w:t xml:space="preserve">Điều 10. Thẩm quyền và thời điểm xét nâng bậc</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Bộ phận Hành chính – Nhân sự lập danh sách đề nghị nâng bậc lương, trình Giám đốc quyết định.</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Việc xét nâng bậc lương được thực hiện định kỳ 01 lần/năm, vào tháng 01 hằng năm, hoặc đột xuất theo quyết định của Giám đốc.</w:t>
      </w:r>
    </w:p>
    <w:p>
      <w:pPr>
        <w:spacing w:after="140" w:before="260"/>
        <w:jc w:val="center"/>
      </w:pPr>
      <w:r>
        <w:rPr>
          <w:rFonts w:ascii="Times New Roman" w:cs="Times New Roman" w:eastAsia="Times New Roman" w:hAnsi="Times New Roman"/>
          <w:b/>
          <w:bCs/>
          <w:sz w:val="26"/>
          <w:szCs w:val="26"/>
        </w:rPr>
        <w:t xml:space="preserve">CHƯƠNG IV — ĐIỀU KHOẢN THI HÀNH</w:t>
      </w:r>
    </w:p>
    <w:p>
      <w:pPr>
        <w:spacing w:after="80" w:before="140" w:line="300"/>
      </w:pPr>
      <w:r>
        <w:rPr>
          <w:rFonts w:ascii="Times New Roman" w:cs="Times New Roman" w:eastAsia="Times New Roman" w:hAnsi="Times New Roman"/>
          <w:b/>
          <w:bCs/>
          <w:sz w:val="24"/>
          <w:szCs w:val="24"/>
        </w:rPr>
        <w:t xml:space="preserve">Điều 11. Hiệu lực thi hành</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Thang lương, Bảng lương này có hiệu lực kể từ ngày ký và được công bố công khai tại nơi làm việc.</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Mọi sửa đổi, bổ sung phải được tham khảo ý kiến của tổ chức đại diện người lao động tại cơ sở và công bố công khai trước khi thực hiện.</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Bộ phận Hành chính – Nhân sự và Kế toán chịu trách nhiệm tổ chức thực hiện.</w:t>
      </w:r>
    </w:p>
    <w:p>
      <w:pPr>
        <w:spacing w:before="400"/>
      </w:pPr>
      <w:r>
        <w:rPr>
          <w:rFonts w:ascii="Times New Roman" w:cs="Times New Roman" w:eastAsia="Times New Roman" w:hAnsi="Times New Roman"/>
        </w:rPr>
        <w:t xml:space="preserve"/>
      </w:r>
    </w:p>
    <w:tbl>
      <w:tblPr>
        <w:tblW w:type="auto" w:w="100"/>
        <w:tblBorders>
          <w:top w:val="none"/>
          <w:left w:val="none"/>
          <w:bottom w:val="none"/>
          <w:right w:val="none"/>
          <w:insideH w:val="none"/>
          <w:insideV w:val="none"/>
        </w:tblBorders>
      </w:tblPr>
      <w:tblGrid>
        <w:gridCol w:w="4800"/>
        <w:gridCol w:w="4800"/>
      </w:tblGrid>
      <w:tr>
        <w:tc>
          <w:tcPr>
            <w:tcW w:type="dxa" w:w="4800"/>
            <w:tcBorders>
              <w:top w:val="none"/>
              <w:left w:val="none"/>
              <w:bottom w:val="none"/>
              <w:right w:val="none"/>
            </w:tcBorders>
          </w:tcPr>
          <w:p>
            <w:pPr>
              <w:jc w:val="center"/>
            </w:pPr>
            <w:r>
              <w:rPr>
                <w:rFonts w:ascii="Times New Roman" w:cs="Times New Roman" w:eastAsia="Times New Roman" w:hAnsi="Times New Roman"/>
                <w:b/>
                <w:bCs/>
                <w:sz w:val="24"/>
                <w:szCs w:val="24"/>
              </w:rPr>
              <w:t xml:space="preserve">ĐẠI DIỆN NGƯỜI LAO ĐỘNG</w:t>
            </w:r>
          </w:p>
          <w:p>
            <w:pPr>
              <w:spacing w:after="900"/>
              <w:jc w:val="center"/>
            </w:pPr>
            <w:r>
              <w:rPr>
                <w:rFonts w:ascii="Times New Roman" w:cs="Times New Roman" w:eastAsia="Times New Roman" w:hAnsi="Times New Roman"/>
                <w:i/>
                <w:iCs/>
                <w:sz w:val="22"/>
                <w:szCs w:val="22"/>
              </w:rPr>
              <w:t xml:space="preserve">(Ký, ghi rõ họ tên)</w:t>
            </w:r>
          </w:p>
        </w:tc>
        <w:tc>
          <w:tcPr>
            <w:tcW w:type="dxa" w:w="4800"/>
            <w:tcBorders>
              <w:top w:val="none"/>
              <w:left w:val="none"/>
              <w:bottom w:val="none"/>
              <w:right w:val="none"/>
            </w:tcBorders>
          </w:tcPr>
          <w:p>
            <w:pPr>
              <w:jc w:val="center"/>
            </w:pPr>
            <w:r>
              <w:rPr>
                <w:rFonts w:ascii="Times New Roman" w:cs="Times New Roman" w:eastAsia="Times New Roman" w:hAnsi="Times New Roman"/>
                <w:b/>
                <w:bCs/>
                <w:sz w:val="24"/>
                <w:szCs w:val="24"/>
              </w:rPr>
              <w:t xml:space="preserve">GIÁM ĐỐC</w:t>
            </w:r>
          </w:p>
          <w:p>
            <w:pPr>
              <w:spacing w:after="900"/>
              <w:jc w:val="center"/>
            </w:pPr>
            <w:r>
              <w:rPr>
                <w:rFonts w:ascii="Times New Roman" w:cs="Times New Roman" w:eastAsia="Times New Roman" w:hAnsi="Times New Roman"/>
                <w:i/>
                <w:iCs/>
                <w:sz w:val="22"/>
                <w:szCs w:val="22"/>
              </w:rPr>
              <w:t xml:space="preserve">(Ký tên, đóng dấu)</w:t>
            </w:r>
          </w:p>
          <w:p>
            <w:pPr>
              <w:jc w:val="center"/>
            </w:pPr>
            <w:r>
              <w:rPr>
                <w:rFonts w:ascii="Times New Roman" w:cs="Times New Roman" w:eastAsia="Times New Roman" w:hAnsi="Times New Roman"/>
                <w:b/>
                <w:bCs/>
                <w:sz w:val="24"/>
                <w:szCs w:val="24"/>
              </w:rPr>
              <w:t xml:space="preserve">NGUYỄN LÊ HIẾU</w:t>
            </w:r>
          </w:p>
        </w:tc>
      </w:tr>
    </w:tbl>
    <w:p>
      <w:r>
        <w:br w:type="page"/>
      </w:r>
    </w:p>
    <w:p>
      <w:pPr>
        <w:spacing w:after="0"/>
        <w:jc w:val="center"/>
      </w:pPr>
      <w:r>
        <w:rPr>
          <w:rFonts w:ascii="Times New Roman" w:cs="Times New Roman" w:eastAsia="Times New Roman" w:hAnsi="Times New Roman"/>
          <w:b/>
          <w:bCs/>
          <w:sz w:val="24"/>
          <w:szCs w:val="24"/>
        </w:rPr>
        <w:t xml:space="preserve">CÔNG TY TNHH GIẢI PHÁP KỸ THUẬT SÓNG VIỆT</w:t>
      </w:r>
    </w:p>
    <w:p>
      <w:pPr>
        <w:spacing w:after="60"/>
        <w:jc w:val="center"/>
      </w:pPr>
      <w:r>
        <w:rPr>
          <w:rFonts w:ascii="Times New Roman" w:cs="Times New Roman" w:eastAsia="Times New Roman" w:hAnsi="Times New Roman"/>
          <w:sz w:val="24"/>
          <w:szCs w:val="24"/>
        </w:rPr>
        <w:t xml:space="preserve">Số: ......../2026/QCT-SV</w:t>
      </w:r>
    </w:p>
    <w:p>
      <w:pPr>
        <w:spacing w:after="0"/>
        <w:jc w:val="center"/>
      </w:pPr>
      <w:r>
        <w:rPr>
          <w:rFonts w:ascii="Times New Roman" w:cs="Times New Roman" w:eastAsia="Times New Roman" w:hAnsi="Times New Roman"/>
          <w:b/>
          <w:bCs/>
          <w:sz w:val="24"/>
          <w:szCs w:val="24"/>
        </w:rPr>
        <w:t xml:space="preserve">CỘNG HÒA XÃ HỘI CHỦ NGHĨA VIỆT NAM</w:t>
      </w:r>
    </w:p>
    <w:p>
      <w:pPr>
        <w:spacing w:after="240"/>
        <w:jc w:val="center"/>
      </w:pPr>
      <w:r>
        <w:rPr>
          <w:rFonts w:ascii="Times New Roman" w:cs="Times New Roman" w:eastAsia="Times New Roman" w:hAnsi="Times New Roman"/>
          <w:b/>
          <w:bCs/>
          <w:sz w:val="24"/>
          <w:szCs w:val="24"/>
        </w:rPr>
        <w:t xml:space="preserve">Độc lập – Tự do – Hạnh phúc</w:t>
      </w:r>
    </w:p>
    <w:p>
      <w:pPr>
        <w:spacing w:after="60"/>
        <w:jc w:val="center"/>
      </w:pPr>
      <w:r>
        <w:rPr>
          <w:rFonts w:ascii="Times New Roman" w:cs="Times New Roman" w:eastAsia="Times New Roman" w:hAnsi="Times New Roman"/>
          <w:b/>
          <w:bCs/>
          <w:sz w:val="32"/>
          <w:szCs w:val="32"/>
        </w:rPr>
        <w:t xml:space="preserve">QUY CHẾ THƯỞNG</w:t>
      </w:r>
    </w:p>
    <w:p>
      <w:pPr>
        <w:spacing w:after="240"/>
        <w:jc w:val="center"/>
      </w:pPr>
      <w:r>
        <w:rPr>
          <w:rFonts w:ascii="Times New Roman" w:cs="Times New Roman" w:eastAsia="Times New Roman" w:hAnsi="Times New Roman"/>
          <w:i/>
          <w:iCs/>
          <w:sz w:val="22"/>
          <w:szCs w:val="22"/>
        </w:rPr>
        <w:t xml:space="preserve">(Ban hành kèm theo Quyết định số ......../2026/QĐ-SV ngày ...... tháng ...... năm 2026 của Giám đốc Công ty TNHH Giải pháp Kỹ thuật Sóng Việt)</w:t>
      </w:r>
    </w:p>
    <w:p>
      <w:pPr>
        <w:spacing w:after="100" w:line="300"/>
        <w:jc w:val="both"/>
      </w:pPr>
      <w:r>
        <w:rPr>
          <w:rFonts w:ascii="Times New Roman" w:cs="Times New Roman" w:eastAsia="Times New Roman" w:hAnsi="Times New Roman"/>
          <w:b w:val="false"/>
          <w:bCs w:val="false"/>
          <w:i w:val="false"/>
          <w:iCs w:val="false"/>
          <w:sz w:val="24"/>
          <w:szCs w:val="24"/>
        </w:rPr>
        <w:t xml:space="preserve">- Căn cứ Bộ luật Lao động số 45/2019/QH14, đặc biệt là Điều 104;</w:t>
      </w:r>
    </w:p>
    <w:p>
      <w:pPr>
        <w:spacing w:after="100" w:line="300"/>
        <w:jc w:val="both"/>
      </w:pPr>
      <w:r>
        <w:rPr>
          <w:rFonts w:ascii="Times New Roman" w:cs="Times New Roman" w:eastAsia="Times New Roman" w:hAnsi="Times New Roman"/>
          <w:b w:val="false"/>
          <w:bCs w:val="false"/>
          <w:i w:val="false"/>
          <w:iCs w:val="false"/>
          <w:sz w:val="24"/>
          <w:szCs w:val="24"/>
        </w:rPr>
        <w:t xml:space="preserve">- Căn cứ kết quả sản xuất, kinh doanh và mức độ hoàn thành công việc của người lao động;</w:t>
      </w:r>
    </w:p>
    <w:p>
      <w:pPr>
        <w:spacing w:after="100" w:line="300"/>
        <w:jc w:val="both"/>
      </w:pPr>
      <w:r>
        <w:rPr>
          <w:rFonts w:ascii="Times New Roman" w:cs="Times New Roman" w:eastAsia="Times New Roman" w:hAnsi="Times New Roman"/>
          <w:b w:val="false"/>
          <w:bCs w:val="false"/>
          <w:i w:val="false"/>
          <w:iCs w:val="false"/>
          <w:sz w:val="24"/>
          <w:szCs w:val="24"/>
        </w:rPr>
        <w:t xml:space="preserve">- Sau khi tham khảo ý kiến của tổ chức đại diện người lao động tại cơ sở,</w:t>
      </w:r>
    </w:p>
    <w:p>
      <w:pPr>
        <w:spacing w:after="100" w:line="300"/>
        <w:jc w:val="both"/>
      </w:pPr>
      <w:r>
        <w:rPr>
          <w:rFonts w:ascii="Times New Roman" w:cs="Times New Roman" w:eastAsia="Times New Roman" w:hAnsi="Times New Roman"/>
          <w:b/>
          <w:bCs/>
          <w:i w:val="false"/>
          <w:iCs w:val="false"/>
          <w:sz w:val="24"/>
          <w:szCs w:val="24"/>
        </w:rPr>
        <w:t xml:space="preserve">Giám đốc Công ty ban hành Quy chế thưởng như sau:</w:t>
      </w:r>
    </w:p>
    <w:p>
      <w:pPr>
        <w:spacing w:after="140" w:before="260"/>
        <w:jc w:val="center"/>
      </w:pPr>
      <w:r>
        <w:rPr>
          <w:rFonts w:ascii="Times New Roman" w:cs="Times New Roman" w:eastAsia="Times New Roman" w:hAnsi="Times New Roman"/>
          <w:b/>
          <w:bCs/>
          <w:sz w:val="26"/>
          <w:szCs w:val="26"/>
        </w:rPr>
        <w:t xml:space="preserve">CHƯƠNG I — QUY ĐỊNH CHUNG</w:t>
      </w:r>
    </w:p>
    <w:p>
      <w:pPr>
        <w:spacing w:after="80" w:before="140" w:line="300"/>
      </w:pPr>
      <w:r>
        <w:rPr>
          <w:rFonts w:ascii="Times New Roman" w:cs="Times New Roman" w:eastAsia="Times New Roman" w:hAnsi="Times New Roman"/>
          <w:b/>
          <w:bCs/>
          <w:sz w:val="24"/>
          <w:szCs w:val="24"/>
        </w:rPr>
        <w:t xml:space="preserve">Điều 1. Phạm vi và đối tượng áp dụng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Quy chế này quy định các hình thức thưởng, điều kiện, mức thưởng, cách tính và trình tự xét thưởng đối với người lao động làm việc theo hợp đồng lao động tại Công ty.</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Người lao động đang trong thời gian thử việc được xét thưởng theo quyết định của Giám đốc.</w:t>
      </w:r>
    </w:p>
    <w:p>
      <w:pPr>
        <w:spacing w:after="80" w:before="140" w:line="300"/>
      </w:pPr>
      <w:r>
        <w:rPr>
          <w:rFonts w:ascii="Times New Roman" w:cs="Times New Roman" w:eastAsia="Times New Roman" w:hAnsi="Times New Roman"/>
          <w:b/>
          <w:bCs/>
          <w:sz w:val="24"/>
          <w:szCs w:val="24"/>
        </w:rPr>
        <w:t xml:space="preserve">Điều 2. Nguyên tắc thưởng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Thưởng là số tiền hoặc tài sản hoặc bằng các hình thức khác mà Công ty thưởng cho người lao động căn cứ vào kết quả sản xuất, kinh doanh và mức độ hoàn thành công việc của người lao động.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Bảo đảm công khai, minh bạch, công bằng, đúng người, đúng thành tích; không phân biệt đối xử.</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Thưởng không phải là khoản bắt buộc; mức thưởng phụ thuộc kết quả sản xuất kinh doanh của Công ty trong từng thời kỳ.</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4. Quy chế này được công bố công khai tại nơi làm việc.</w:t>
      </w:r>
    </w:p>
    <w:p>
      <w:pPr>
        <w:spacing w:after="80" w:before="140" w:line="300"/>
      </w:pPr>
      <w:r>
        <w:rPr>
          <w:rFonts w:ascii="Times New Roman" w:cs="Times New Roman" w:eastAsia="Times New Roman" w:hAnsi="Times New Roman"/>
          <w:b/>
          <w:bCs/>
          <w:sz w:val="24"/>
          <w:szCs w:val="24"/>
        </w:rPr>
        <w:t xml:space="preserve">Điều 3. Nguồn thưởng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Nguồn thưởng được trích từ Quỹ khen thưởng, phúc lợi của Công ty và các nguồn hợp pháp khác.</w:t>
      </w:r>
    </w:p>
    <w:p>
      <w:pPr>
        <w:spacing w:after="140" w:before="260"/>
        <w:jc w:val="center"/>
      </w:pPr>
      <w:r>
        <w:rPr>
          <w:rFonts w:ascii="Times New Roman" w:cs="Times New Roman" w:eastAsia="Times New Roman" w:hAnsi="Times New Roman"/>
          <w:b/>
          <w:bCs/>
          <w:sz w:val="26"/>
          <w:szCs w:val="26"/>
        </w:rPr>
        <w:t xml:space="preserve">CHƯƠNG II — CÁC HÌNH THỨC THƯỞNG</w:t>
      </w:r>
    </w:p>
    <w:p>
      <w:pPr>
        <w:spacing w:after="80" w:before="140" w:line="300"/>
      </w:pPr>
      <w:r>
        <w:rPr>
          <w:rFonts w:ascii="Times New Roman" w:cs="Times New Roman" w:eastAsia="Times New Roman" w:hAnsi="Times New Roman"/>
          <w:b/>
          <w:bCs/>
          <w:sz w:val="24"/>
          <w:szCs w:val="24"/>
        </w:rPr>
        <w:t xml:space="preserve">Điều 4. Thưởng hiệu suất theo KPI (thưởng tháng)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Áp dụng đối với người lao động được đánh giá KPI theo bộ chỉ tiêu của từng vị trí trên Hệ thống.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Xếp loại và hệ số thưởng theo tổng điểm KPI tháng:</w:t>
      </w:r>
    </w:p>
    <w:p>
      <w:pPr>
        <w:spacing w:after="60" w:line="300"/>
        <w:jc w:val="both"/>
      </w:pPr>
      <w:r>
        <w:rPr>
          <w:rFonts w:ascii="Times New Roman" w:cs="Times New Roman" w:eastAsia="Times New Roman" w:hAnsi="Times New Roman"/>
          <w:b w:val="false"/>
          <w:bCs w:val="false"/>
          <w:i w:val="false"/>
          <w:iCs w:val="false"/>
          <w:sz w:val="24"/>
          <w:szCs w:val="24"/>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400"/>
        <w:gridCol w:w="3000"/>
      </w:tblGrid>
      <w:tr>
        <w:tc>
          <w:tcPr>
            <w:tcW w:type="dxa" w:w="1600"/>
            <w:tcBorders>
              <w:top w:val="single" w:color="888888" w:sz="1"/>
              <w:left w:val="single" w:color="888888" w:sz="1"/>
              <w:bottom w:val="single" w:color="888888" w:sz="1"/>
              <w:right w:val="single" w:color="888888" w:sz="1"/>
            </w:tcBorders>
            <w:shd w:fill="E8EEF2" w:val="clear"/>
            <w:tcMar>
              <w:top w:type="dxa" w:w="60"/>
              <w:left w:type="dxa" w:w="90"/>
              <w:bottom w:type="dxa" w:w="60"/>
              <w:right w:type="dxa" w:w="90"/>
            </w:tcMar>
          </w:tcPr>
          <w:p>
            <w:pPr>
              <w:spacing w:line="260"/>
              <w:jc w:val="center"/>
            </w:pPr>
            <w:r>
              <w:rPr>
                <w:rFonts w:ascii="Times New Roman" w:cs="Times New Roman" w:eastAsia="Times New Roman" w:hAnsi="Times New Roman"/>
                <w:b/>
                <w:bCs/>
                <w:sz w:val="21"/>
                <w:szCs w:val="21"/>
              </w:rPr>
              <w:t xml:space="preserve">Xếp loại</w:t>
            </w:r>
          </w:p>
        </w:tc>
        <w:tc>
          <w:tcPr>
            <w:tcW w:type="dxa" w:w="2600"/>
            <w:tcBorders>
              <w:top w:val="single" w:color="888888" w:sz="1"/>
              <w:left w:val="single" w:color="888888" w:sz="1"/>
              <w:bottom w:val="single" w:color="888888" w:sz="1"/>
              <w:right w:val="single" w:color="888888" w:sz="1"/>
            </w:tcBorders>
            <w:shd w:fill="E8EEF2" w:val="clear"/>
            <w:tcMar>
              <w:top w:type="dxa" w:w="60"/>
              <w:left w:type="dxa" w:w="90"/>
              <w:bottom w:type="dxa" w:w="60"/>
              <w:right w:type="dxa" w:w="90"/>
            </w:tcMar>
          </w:tcPr>
          <w:p>
            <w:pPr>
              <w:spacing w:line="260"/>
              <w:jc w:val="center"/>
            </w:pPr>
            <w:r>
              <w:rPr>
                <w:rFonts w:ascii="Times New Roman" w:cs="Times New Roman" w:eastAsia="Times New Roman" w:hAnsi="Times New Roman"/>
                <w:b/>
                <w:bCs/>
                <w:sz w:val="21"/>
                <w:szCs w:val="21"/>
              </w:rPr>
              <w:t xml:space="preserve">Tổng điểm KPI</w:t>
            </w:r>
          </w:p>
        </w:tc>
        <w:tc>
          <w:tcPr>
            <w:tcW w:type="dxa" w:w="2400"/>
            <w:tcBorders>
              <w:top w:val="single" w:color="888888" w:sz="1"/>
              <w:left w:val="single" w:color="888888" w:sz="1"/>
              <w:bottom w:val="single" w:color="888888" w:sz="1"/>
              <w:right w:val="single" w:color="888888" w:sz="1"/>
            </w:tcBorders>
            <w:shd w:fill="E8EEF2" w:val="clear"/>
            <w:tcMar>
              <w:top w:type="dxa" w:w="60"/>
              <w:left w:type="dxa" w:w="90"/>
              <w:bottom w:type="dxa" w:w="60"/>
              <w:right w:type="dxa" w:w="90"/>
            </w:tcMar>
          </w:tcPr>
          <w:p>
            <w:pPr>
              <w:spacing w:line="260"/>
              <w:jc w:val="center"/>
            </w:pPr>
            <w:r>
              <w:rPr>
                <w:rFonts w:ascii="Times New Roman" w:cs="Times New Roman" w:eastAsia="Times New Roman" w:hAnsi="Times New Roman"/>
                <w:b/>
                <w:bCs/>
                <w:sz w:val="21"/>
                <w:szCs w:val="21"/>
              </w:rPr>
              <w:t xml:space="preserve">Hệ số thưởng</w:t>
            </w:r>
          </w:p>
        </w:tc>
        <w:tc>
          <w:tcPr>
            <w:tcW w:type="dxa" w:w="3000"/>
            <w:tcBorders>
              <w:top w:val="single" w:color="888888" w:sz="1"/>
              <w:left w:val="single" w:color="888888" w:sz="1"/>
              <w:bottom w:val="single" w:color="888888" w:sz="1"/>
              <w:right w:val="single" w:color="888888" w:sz="1"/>
            </w:tcBorders>
            <w:shd w:fill="E8EEF2" w:val="clear"/>
            <w:tcMar>
              <w:top w:type="dxa" w:w="60"/>
              <w:left w:type="dxa" w:w="90"/>
              <w:bottom w:type="dxa" w:w="60"/>
              <w:right w:type="dxa" w:w="90"/>
            </w:tcMar>
          </w:tcPr>
          <w:p>
            <w:pPr>
              <w:spacing w:line="260"/>
              <w:jc w:val="center"/>
            </w:pPr>
            <w:r>
              <w:rPr>
                <w:rFonts w:ascii="Times New Roman" w:cs="Times New Roman" w:eastAsia="Times New Roman" w:hAnsi="Times New Roman"/>
                <w:b/>
                <w:bCs/>
                <w:sz w:val="21"/>
                <w:szCs w:val="21"/>
              </w:rPr>
              <w:t xml:space="preserve">Ghi chú</w:t>
            </w:r>
          </w:p>
        </w:tc>
      </w:tr>
      <w:tr>
        <w:tc>
          <w:tcPr>
            <w:tcW w:type="dxa" w:w="16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bCs/>
                <w:sz w:val="21"/>
                <w:szCs w:val="21"/>
              </w:rPr>
              <w:t xml:space="preserve">A</w:t>
            </w:r>
          </w:p>
        </w:tc>
        <w:tc>
          <w:tcPr>
            <w:tcW w:type="dxa" w:w="26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Từ 85 điểm trở lên</w:t>
            </w:r>
          </w:p>
        </w:tc>
        <w:tc>
          <w:tcPr>
            <w:tcW w:type="dxa" w:w="24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1,5</w:t>
            </w:r>
          </w:p>
        </w:tc>
        <w:tc>
          <w:tcPr>
            <w:tcW w:type="dxa" w:w="3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Hoàn thành xuất sắc</w:t>
            </w:r>
          </w:p>
        </w:tc>
      </w:tr>
      <w:tr>
        <w:tc>
          <w:tcPr>
            <w:tcW w:type="dxa" w:w="16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bCs/>
                <w:sz w:val="21"/>
                <w:szCs w:val="21"/>
              </w:rPr>
              <w:t xml:space="preserve">B</w:t>
            </w:r>
          </w:p>
        </w:tc>
        <w:tc>
          <w:tcPr>
            <w:tcW w:type="dxa" w:w="26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Từ 70 đến dưới 85 điểm</w:t>
            </w:r>
          </w:p>
        </w:tc>
        <w:tc>
          <w:tcPr>
            <w:tcW w:type="dxa" w:w="24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1,0</w:t>
            </w:r>
          </w:p>
        </w:tc>
        <w:tc>
          <w:tcPr>
            <w:tcW w:type="dxa" w:w="3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Hoàn thành tốt</w:t>
            </w:r>
          </w:p>
        </w:tc>
      </w:tr>
      <w:tr>
        <w:tc>
          <w:tcPr>
            <w:tcW w:type="dxa" w:w="16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bCs/>
                <w:sz w:val="21"/>
                <w:szCs w:val="21"/>
              </w:rPr>
              <w:t xml:space="preserve">C</w:t>
            </w:r>
          </w:p>
        </w:tc>
        <w:tc>
          <w:tcPr>
            <w:tcW w:type="dxa" w:w="26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Từ 50 đến dưới 70 điểm</w:t>
            </w:r>
          </w:p>
        </w:tc>
        <w:tc>
          <w:tcPr>
            <w:tcW w:type="dxa" w:w="24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0,5</w:t>
            </w:r>
          </w:p>
        </w:tc>
        <w:tc>
          <w:tcPr>
            <w:tcW w:type="dxa" w:w="3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Hoàn thành</w:t>
            </w:r>
          </w:p>
        </w:tc>
      </w:tr>
      <w:tr>
        <w:tc>
          <w:tcPr>
            <w:tcW w:type="dxa" w:w="16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bCs/>
                <w:sz w:val="21"/>
                <w:szCs w:val="21"/>
              </w:rPr>
              <w:t xml:space="preserve">D</w:t>
            </w:r>
          </w:p>
        </w:tc>
        <w:tc>
          <w:tcPr>
            <w:tcW w:type="dxa" w:w="26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Dưới 50 điểm</w:t>
            </w:r>
          </w:p>
        </w:tc>
        <w:tc>
          <w:tcPr>
            <w:tcW w:type="dxa" w:w="24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0</w:t>
            </w:r>
          </w:p>
        </w:tc>
        <w:tc>
          <w:tcPr>
            <w:tcW w:type="dxa" w:w="3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Không hoàn thành — không thưởng</w:t>
            </w:r>
          </w:p>
        </w:tc>
      </w:tr>
    </w:tbl>
    <w:p>
      <w:pPr>
        <w:spacing w:after="80" w:line="300"/>
        <w:jc w:val="both"/>
      </w:pPr>
      <w:r>
        <w:rPr>
          <w:rFonts w:ascii="Times New Roman" w:cs="Times New Roman" w:eastAsia="Times New Roman" w:hAnsi="Times New Roman"/>
          <w:b w:val="false"/>
          <w:bCs w:val="false"/>
          <w:i w:val="false"/>
          <w:iCs w:val="false"/>
          <w:sz w:val="24"/>
          <w:szCs w:val="24"/>
        </w:rPr>
        <w:t xml:space="preserve"/>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Cách tính:</w:t>
      </w:r>
    </w:p>
    <w:p>
      <w:pPr>
        <w:spacing w:after="100" w:line="300"/>
        <w:jc w:val="center"/>
      </w:pPr>
      <w:r>
        <w:rPr>
          <w:rFonts w:ascii="Times New Roman" w:cs="Times New Roman" w:eastAsia="Times New Roman" w:hAnsi="Times New Roman"/>
          <w:b/>
          <w:bCs/>
          <w:i w:val="false"/>
          <w:iCs w:val="false"/>
          <w:sz w:val="24"/>
          <w:szCs w:val="24"/>
        </w:rPr>
        <w:t xml:space="preserve">Thưởng KPI tháng = Mức thưởng cơ sở × Hệ số thưởng theo xếp loại</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4. Mức thưởng cơ sở do Giám đốc quyết định và cấu hình trên Hệ thống, được công bố công khai: ………………………… đồng/tháng.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5. Thưởng KPI được cộng vào tiền lương tháng và chịu thuế thu nhập cá nhân, các khoản trích theo lương theo quy định.</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6. Người lao động làm việc chưa đủ tháng thì mức thưởng được tính theo tỷ lệ ngày công thực tế.</w:t>
      </w:r>
    </w:p>
    <w:p>
      <w:pPr>
        <w:spacing w:after="80" w:before="140" w:line="300"/>
      </w:pPr>
      <w:r>
        <w:rPr>
          <w:rFonts w:ascii="Times New Roman" w:cs="Times New Roman" w:eastAsia="Times New Roman" w:hAnsi="Times New Roman"/>
          <w:b/>
          <w:bCs/>
          <w:sz w:val="24"/>
          <w:szCs w:val="24"/>
        </w:rPr>
        <w:t xml:space="preserve">Điều 5. Thưởng tháng lương thứ 13</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Điều kiện: người lao động có thời gian làm việc thực tế tại Công ty từ đủ 01 tháng trở lên tính đến ngày 31/12 của năm xét thưởng và còn làm việc tại thời điểm chi thưởng.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Cách tính:</w:t>
      </w:r>
    </w:p>
    <w:p>
      <w:pPr>
        <w:spacing w:after="100" w:line="300"/>
        <w:jc w:val="center"/>
      </w:pPr>
      <w:r>
        <w:rPr>
          <w:rFonts w:ascii="Times New Roman" w:cs="Times New Roman" w:eastAsia="Times New Roman" w:hAnsi="Times New Roman"/>
          <w:b/>
          <w:bCs/>
          <w:i w:val="false"/>
          <w:iCs w:val="false"/>
          <w:sz w:val="24"/>
          <w:szCs w:val="24"/>
        </w:rPr>
        <w:t xml:space="preserve">Thưởng tháng 13 = Mức lương tháng theo hợp đồng lao động × (Số tháng làm việc thực tế trong năm ÷ 12)</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Số tháng làm việc thực tế được làm tròn: từ 15 ngày trở lên tính tròn 01 tháng; dưới 15 ngày không tính.</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4. Thời điểm chi: trước Tết Nguyên đán hằng năm, theo thông báo của Giám đốc.</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5. Mức thưởng có thể được điều chỉnh theo hệ số kết quả kinh doanh của Công ty do Giám đốc công bố hằng năm.</w:t>
      </w:r>
    </w:p>
    <w:p>
      <w:pPr>
        <w:spacing w:after="80" w:before="140" w:line="300"/>
      </w:pPr>
      <w:r>
        <w:rPr>
          <w:rFonts w:ascii="Times New Roman" w:cs="Times New Roman" w:eastAsia="Times New Roman" w:hAnsi="Times New Roman"/>
          <w:b/>
          <w:bCs/>
          <w:sz w:val="24"/>
          <w:szCs w:val="24"/>
        </w:rPr>
        <w:t xml:space="preserve">Điều 6. Thưởng các ngày lễ, tết</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Căn cứ kết quả kinh doanh, Công ty có thể thưởng cho người lao động vào các dịp: Tết Dương lịch; Giỗ Tổ Hùng Vương; ngày Chiến thắng 30/4 và Quốc tế Lao động 01/5; Quốc khánh 02/9; ngày thành lập Công ty. Mức thưởng do Giám đốc quyết định và thông báo trước mỗi dịp.</w:t>
      </w:r>
    </w:p>
    <w:p>
      <w:pPr>
        <w:spacing w:after="80" w:before="140" w:line="300"/>
      </w:pPr>
      <w:r>
        <w:rPr>
          <w:rFonts w:ascii="Times New Roman" w:cs="Times New Roman" w:eastAsia="Times New Roman" w:hAnsi="Times New Roman"/>
          <w:b/>
          <w:bCs/>
          <w:sz w:val="24"/>
          <w:szCs w:val="24"/>
        </w:rPr>
        <w:t xml:space="preserve">Điều 7. Thưởng đột xuất, thưởng sáng kiến</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Áp dụng đối với người lao động có thành tích đặc biệt: mang về hợp đồng lớn; xử lý thành công sự cố kỹ thuật nghiêm trọng; có sáng kiến cải tiến mang lại lợi ích thiết thực; phát hiện, ngăn chặn hành vi gây thiệt hại cho Công ty; hành động bảo đảm an toàn lao động.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Mức thưởng: do Giám đốc quyết định theo từng trường hợp, trên cơ sở đề xuất của Trưởng bộ phận.</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Đối với sáng kiến mang lại lợi ích tính được bằng tiền, mức thưởng có thể tính theo tỷ lệ phần trăm giá trị làm lợi trong 12 tháng đầu, do Giám đốc quyết định.</w:t>
      </w:r>
    </w:p>
    <w:p>
      <w:pPr>
        <w:spacing w:after="80" w:before="140" w:line="300"/>
      </w:pPr>
      <w:r>
        <w:rPr>
          <w:rFonts w:ascii="Times New Roman" w:cs="Times New Roman" w:eastAsia="Times New Roman" w:hAnsi="Times New Roman"/>
          <w:b/>
          <w:bCs/>
          <w:sz w:val="24"/>
          <w:szCs w:val="24"/>
        </w:rPr>
        <w:t xml:space="preserve">Điều 8. Thưởng thâm niên</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Người lao động có thời gian làm việc liên tục tại Công ty đủ 05 năm, 10 năm, 15 năm được xét thưởng thâm niên. Mức thưởng do Giám đốc quyết định và công bố.</w:t>
      </w:r>
    </w:p>
    <w:p>
      <w:pPr>
        <w:spacing w:after="140" w:before="260"/>
        <w:jc w:val="center"/>
      </w:pPr>
      <w:r>
        <w:rPr>
          <w:rFonts w:ascii="Times New Roman" w:cs="Times New Roman" w:eastAsia="Times New Roman" w:hAnsi="Times New Roman"/>
          <w:b/>
          <w:bCs/>
          <w:sz w:val="26"/>
          <w:szCs w:val="26"/>
        </w:rPr>
        <w:t xml:space="preserve">CHƯƠNG III — TRÌNH TỰ XÉT THƯỞNG VÀ CÁC TRƯỜNG HỢP KHÔNG ĐƯỢC THƯỞNG</w:t>
      </w:r>
    </w:p>
    <w:p>
      <w:pPr>
        <w:spacing w:after="80" w:before="140" w:line="300"/>
      </w:pPr>
      <w:r>
        <w:rPr>
          <w:rFonts w:ascii="Times New Roman" w:cs="Times New Roman" w:eastAsia="Times New Roman" w:hAnsi="Times New Roman"/>
          <w:b/>
          <w:bCs/>
          <w:sz w:val="24"/>
          <w:szCs w:val="24"/>
        </w:rPr>
        <w:t xml:space="preserve">Điều 9. Trình tự xét thưởng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Trưởng bộ phận đánh giá, đề xuất danh sách khen thưởng gửi bộ phận Hành chính – Nhân sự.</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Bộ phận Hành chính – Nhân sự tổng hợp, đối chiếu kết quả đánh giá KPI trên Hệ thống, trình Giám đốc.</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Giám đốc quyết định danh sách và mức thưởng; kết quả được công bố công khai.</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4. Người lao động có quyền khiếu nại về kết quả xét thưởng đến Trưởng bộ phận trong thời hạn 07 ngày kể từ ngày công bố; nếu chưa được giải quyết thì gửi Giám đốc.</w:t>
      </w:r>
    </w:p>
    <w:p>
      <w:pPr>
        <w:spacing w:after="80" w:before="140" w:line="300"/>
      </w:pPr>
      <w:r>
        <w:rPr>
          <w:rFonts w:ascii="Times New Roman" w:cs="Times New Roman" w:eastAsia="Times New Roman" w:hAnsi="Times New Roman"/>
          <w:b/>
          <w:bCs/>
          <w:sz w:val="24"/>
          <w:szCs w:val="24"/>
        </w:rPr>
        <w:t xml:space="preserve">Điều 10. Các trường hợp không được xét thưởng hoặc giảm mức thưởng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Không xét thưởng đối với người lao động:</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a) Bị xử lý kỷ luật lao động từ hình thức kéo dài thời hạn nâng lương trở lên trong kỳ xét thưởng;</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b) Bị đánh giá KPI xếp loại D trong kỳ xét thưởng;</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c) Có hành vi gian dối trong kê khai kết quả công việc, chấm công, chứng từ;</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d) Gây thiệt hại về tài sản hoặc để xảy ra tai nạn lao động do lỗi chủ quan trong kỳ xét thưởng;</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đ) Đã chấm dứt hợp đồng lao động trước thời điểm chi thưởng, trừ trường hợp nghỉ hưu hoặc trường hợp khác do Giám đốc quyết định.</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Giảm mức thưởng: người lao động bị khiển trách trong kỳ xét thưởng bị giảm 50% mức thưởng của kỳ đó.</w:t>
      </w:r>
    </w:p>
    <w:p>
      <w:pPr>
        <w:spacing w:after="140" w:before="260"/>
        <w:jc w:val="center"/>
      </w:pPr>
      <w:r>
        <w:rPr>
          <w:rFonts w:ascii="Times New Roman" w:cs="Times New Roman" w:eastAsia="Times New Roman" w:hAnsi="Times New Roman"/>
          <w:b/>
          <w:bCs/>
          <w:sz w:val="26"/>
          <w:szCs w:val="26"/>
        </w:rPr>
        <w:t xml:space="preserve">CHƯƠNG IV — ĐIỀU KHOẢN THI HÀNH</w:t>
      </w:r>
    </w:p>
    <w:p>
      <w:pPr>
        <w:spacing w:after="80" w:before="140" w:line="300"/>
      </w:pPr>
      <w:r>
        <w:rPr>
          <w:rFonts w:ascii="Times New Roman" w:cs="Times New Roman" w:eastAsia="Times New Roman" w:hAnsi="Times New Roman"/>
          <w:b/>
          <w:bCs/>
          <w:sz w:val="24"/>
          <w:szCs w:val="24"/>
        </w:rPr>
        <w:t xml:space="preserve">Điều 11. Hiệu lực thi hành</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Quy chế này có hiệu lực kể từ ngày ký và được công bố công khai tại nơi làm việc.</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Mọi sửa đổi, bổ sung phải được tham khảo ý kiến của tổ chức đại diện người lao động tại cơ sở và công bố công khai.</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Bộ phận Hành chính – Nhân sự chịu trách nhiệm triển khai; Kế toán chịu trách nhiệm chi trả.</w:t>
      </w:r>
    </w:p>
    <w:p>
      <w:pPr>
        <w:spacing w:before="400"/>
      </w:pPr>
      <w:r>
        <w:rPr>
          <w:rFonts w:ascii="Times New Roman" w:cs="Times New Roman" w:eastAsia="Times New Roman" w:hAnsi="Times New Roman"/>
        </w:rPr>
        <w:t xml:space="preserve"/>
      </w:r>
    </w:p>
    <w:tbl>
      <w:tblPr>
        <w:tblW w:type="auto" w:w="100"/>
        <w:tblBorders>
          <w:top w:val="none"/>
          <w:left w:val="none"/>
          <w:bottom w:val="none"/>
          <w:right w:val="none"/>
          <w:insideH w:val="none"/>
          <w:insideV w:val="none"/>
        </w:tblBorders>
      </w:tblPr>
      <w:tblGrid>
        <w:gridCol w:w="4800"/>
        <w:gridCol w:w="4800"/>
      </w:tblGrid>
      <w:tr>
        <w:tc>
          <w:tcPr>
            <w:tcW w:type="dxa" w:w="4800"/>
            <w:tcBorders>
              <w:top w:val="none"/>
              <w:left w:val="none"/>
              <w:bottom w:val="none"/>
              <w:right w:val="none"/>
            </w:tcBorders>
          </w:tcPr>
          <w:p>
            <w:pPr>
              <w:jc w:val="center"/>
            </w:pPr>
            <w:r>
              <w:rPr>
                <w:rFonts w:ascii="Times New Roman" w:cs="Times New Roman" w:eastAsia="Times New Roman" w:hAnsi="Times New Roman"/>
                <w:b/>
                <w:bCs/>
                <w:sz w:val="24"/>
                <w:szCs w:val="24"/>
              </w:rPr>
              <w:t xml:space="preserve">ĐẠI DIỆN NGƯỜI LAO ĐỘNG</w:t>
            </w:r>
          </w:p>
          <w:p>
            <w:pPr>
              <w:spacing w:after="900"/>
              <w:jc w:val="center"/>
            </w:pPr>
            <w:r>
              <w:rPr>
                <w:rFonts w:ascii="Times New Roman" w:cs="Times New Roman" w:eastAsia="Times New Roman" w:hAnsi="Times New Roman"/>
                <w:i/>
                <w:iCs/>
                <w:sz w:val="22"/>
                <w:szCs w:val="22"/>
              </w:rPr>
              <w:t xml:space="preserve">(Ký, ghi rõ họ tên)</w:t>
            </w:r>
          </w:p>
        </w:tc>
        <w:tc>
          <w:tcPr>
            <w:tcW w:type="dxa" w:w="4800"/>
            <w:tcBorders>
              <w:top w:val="none"/>
              <w:left w:val="none"/>
              <w:bottom w:val="none"/>
              <w:right w:val="none"/>
            </w:tcBorders>
          </w:tcPr>
          <w:p>
            <w:pPr>
              <w:jc w:val="center"/>
            </w:pPr>
            <w:r>
              <w:rPr>
                <w:rFonts w:ascii="Times New Roman" w:cs="Times New Roman" w:eastAsia="Times New Roman" w:hAnsi="Times New Roman"/>
                <w:b/>
                <w:bCs/>
                <w:sz w:val="24"/>
                <w:szCs w:val="24"/>
              </w:rPr>
              <w:t xml:space="preserve">GIÁM ĐỐC</w:t>
            </w:r>
          </w:p>
          <w:p>
            <w:pPr>
              <w:spacing w:after="900"/>
              <w:jc w:val="center"/>
            </w:pPr>
            <w:r>
              <w:rPr>
                <w:rFonts w:ascii="Times New Roman" w:cs="Times New Roman" w:eastAsia="Times New Roman" w:hAnsi="Times New Roman"/>
                <w:i/>
                <w:iCs/>
                <w:sz w:val="22"/>
                <w:szCs w:val="22"/>
              </w:rPr>
              <w:t xml:space="preserve">(Ký tên, đóng dấu)</w:t>
            </w:r>
          </w:p>
          <w:p>
            <w:pPr>
              <w:jc w:val="center"/>
            </w:pPr>
            <w:r>
              <w:rPr>
                <w:rFonts w:ascii="Times New Roman" w:cs="Times New Roman" w:eastAsia="Times New Roman" w:hAnsi="Times New Roman"/>
                <w:b/>
                <w:bCs/>
                <w:sz w:val="24"/>
                <w:szCs w:val="24"/>
              </w:rPr>
              <w:t xml:space="preserve">NGUYỄN LÊ HIẾU</w:t>
            </w:r>
          </w:p>
        </w:tc>
      </w:tr>
    </w:tbl>
    <w:p>
      <w:r>
        <w:br w:type="page"/>
      </w:r>
    </w:p>
    <w:p>
      <w:pPr>
        <w:spacing w:after="0"/>
        <w:jc w:val="center"/>
      </w:pPr>
      <w:r>
        <w:rPr>
          <w:rFonts w:ascii="Times New Roman" w:cs="Times New Roman" w:eastAsia="Times New Roman" w:hAnsi="Times New Roman"/>
          <w:b/>
          <w:bCs/>
          <w:sz w:val="24"/>
          <w:szCs w:val="24"/>
        </w:rPr>
        <w:t xml:space="preserve">CÔNG TY TNHH GIẢI PHÁP KỸ THUẬT SÓNG VIỆT</w:t>
      </w:r>
    </w:p>
    <w:p>
      <w:pPr>
        <w:spacing w:after="60"/>
        <w:jc w:val="center"/>
      </w:pPr>
      <w:r>
        <w:rPr>
          <w:rFonts w:ascii="Times New Roman" w:cs="Times New Roman" w:eastAsia="Times New Roman" w:hAnsi="Times New Roman"/>
          <w:sz w:val="24"/>
          <w:szCs w:val="24"/>
        </w:rPr>
        <w:t xml:space="preserve">Số: ......../2026/QCDC-SV</w:t>
      </w:r>
    </w:p>
    <w:p>
      <w:pPr>
        <w:spacing w:after="0"/>
        <w:jc w:val="center"/>
      </w:pPr>
      <w:r>
        <w:rPr>
          <w:rFonts w:ascii="Times New Roman" w:cs="Times New Roman" w:eastAsia="Times New Roman" w:hAnsi="Times New Roman"/>
          <w:b/>
          <w:bCs/>
          <w:sz w:val="24"/>
          <w:szCs w:val="24"/>
        </w:rPr>
        <w:t xml:space="preserve">CỘNG HÒA XÃ HỘI CHỦ NGHĨA VIỆT NAM</w:t>
      </w:r>
    </w:p>
    <w:p>
      <w:pPr>
        <w:spacing w:after="240"/>
        <w:jc w:val="center"/>
      </w:pPr>
      <w:r>
        <w:rPr>
          <w:rFonts w:ascii="Times New Roman" w:cs="Times New Roman" w:eastAsia="Times New Roman" w:hAnsi="Times New Roman"/>
          <w:b/>
          <w:bCs/>
          <w:sz w:val="24"/>
          <w:szCs w:val="24"/>
        </w:rPr>
        <w:t xml:space="preserve">Độc lập – Tự do – Hạnh phúc</w:t>
      </w:r>
    </w:p>
    <w:p>
      <w:pPr>
        <w:spacing w:after="60"/>
        <w:jc w:val="center"/>
      </w:pPr>
      <w:r>
        <w:rPr>
          <w:rFonts w:ascii="Times New Roman" w:cs="Times New Roman" w:eastAsia="Times New Roman" w:hAnsi="Times New Roman"/>
          <w:b/>
          <w:bCs/>
          <w:sz w:val="32"/>
          <w:szCs w:val="32"/>
        </w:rPr>
        <w:t xml:space="preserve">QUY CHẾ DÂN CHỦ Ở CƠ SỞ TẠI NƠI LÀM VIỆC</w:t>
      </w:r>
    </w:p>
    <w:p>
      <w:pPr>
        <w:spacing w:after="240"/>
        <w:jc w:val="center"/>
      </w:pPr>
      <w:r>
        <w:rPr>
          <w:rFonts w:ascii="Times New Roman" w:cs="Times New Roman" w:eastAsia="Times New Roman" w:hAnsi="Times New Roman"/>
          <w:i/>
          <w:iCs/>
          <w:sz w:val="22"/>
          <w:szCs w:val="22"/>
        </w:rPr>
        <w:t xml:space="preserve">(Ban hành kèm theo Quyết định số ......../2026/QĐ-SV ngày ...... tháng ...... năm 2026 của Giám đốc Công ty TNHH Giải pháp Kỹ thuật Sóng Việt)</w:t>
      </w:r>
    </w:p>
    <w:p>
      <w:pPr>
        <w:spacing w:after="100" w:line="300"/>
        <w:jc w:val="both"/>
      </w:pPr>
      <w:r>
        <w:rPr>
          <w:rFonts w:ascii="Times New Roman" w:cs="Times New Roman" w:eastAsia="Times New Roman" w:hAnsi="Times New Roman"/>
          <w:b w:val="false"/>
          <w:bCs w:val="false"/>
          <w:i w:val="false"/>
          <w:iCs w:val="false"/>
          <w:sz w:val="24"/>
          <w:szCs w:val="24"/>
        </w:rPr>
        <w:t xml:space="preserve">- Căn cứ Bộ luật Lao động số 45/2019/QH14, đặc biệt là Điều 63, Điều 64;</w:t>
      </w:r>
    </w:p>
    <w:p>
      <w:pPr>
        <w:spacing w:after="100" w:line="300"/>
        <w:jc w:val="both"/>
      </w:pPr>
      <w:r>
        <w:rPr>
          <w:rFonts w:ascii="Times New Roman" w:cs="Times New Roman" w:eastAsia="Times New Roman" w:hAnsi="Times New Roman"/>
          <w:b w:val="false"/>
          <w:bCs w:val="false"/>
          <w:i w:val="false"/>
          <w:iCs w:val="false"/>
          <w:sz w:val="24"/>
          <w:szCs w:val="24"/>
        </w:rPr>
        <w:t xml:space="preserve">- Căn cứ Nghị định số 145/2020/NĐ-CP ngày 14/12/2020 của Chính phủ (Chương V — Thực hiện dân chủ ở cơ sở tại nơi làm việc);</w:t>
      </w:r>
    </w:p>
    <w:p>
      <w:pPr>
        <w:spacing w:after="100" w:line="300"/>
        <w:jc w:val="both"/>
      </w:pPr>
      <w:r>
        <w:rPr>
          <w:rFonts w:ascii="Times New Roman" w:cs="Times New Roman" w:eastAsia="Times New Roman" w:hAnsi="Times New Roman"/>
          <w:b w:val="false"/>
          <w:bCs w:val="false"/>
          <w:i w:val="false"/>
          <w:iCs w:val="false"/>
          <w:sz w:val="24"/>
          <w:szCs w:val="24"/>
        </w:rPr>
        <w:t xml:space="preserve">- Sau khi tham khảo ý kiến của tổ chức đại diện người lao động tại cơ sở,</w:t>
      </w:r>
    </w:p>
    <w:p>
      <w:pPr>
        <w:spacing w:after="100" w:line="300"/>
        <w:jc w:val="both"/>
      </w:pPr>
      <w:r>
        <w:rPr>
          <w:rFonts w:ascii="Times New Roman" w:cs="Times New Roman" w:eastAsia="Times New Roman" w:hAnsi="Times New Roman"/>
          <w:b/>
          <w:bCs/>
          <w:i w:val="false"/>
          <w:iCs w:val="false"/>
          <w:sz w:val="24"/>
          <w:szCs w:val="24"/>
        </w:rPr>
        <w:t xml:space="preserve">Giám đốc Công ty ban hành Quy chế dân chủ ở cơ sở tại nơi làm việc như sau:</w:t>
      </w:r>
    </w:p>
    <w:p>
      <w:pPr>
        <w:spacing w:after="140" w:before="260"/>
        <w:jc w:val="center"/>
      </w:pPr>
      <w:r>
        <w:rPr>
          <w:rFonts w:ascii="Times New Roman" w:cs="Times New Roman" w:eastAsia="Times New Roman" w:hAnsi="Times New Roman"/>
          <w:b/>
          <w:bCs/>
          <w:sz w:val="26"/>
          <w:szCs w:val="26"/>
        </w:rPr>
        <w:t xml:space="preserve">CHƯƠNG I — QUY ĐỊNH CHUNG</w:t>
      </w:r>
    </w:p>
    <w:p>
      <w:pPr>
        <w:spacing w:after="80" w:before="140" w:line="300"/>
      </w:pPr>
      <w:r>
        <w:rPr>
          <w:rFonts w:ascii="Times New Roman" w:cs="Times New Roman" w:eastAsia="Times New Roman" w:hAnsi="Times New Roman"/>
          <w:b/>
          <w:bCs/>
          <w:sz w:val="24"/>
          <w:szCs w:val="24"/>
        </w:rPr>
        <w:t xml:space="preserve">Điều 1. Phạm vi và đối tượng áp dụng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Quy chế này quy định nguyên tắc, nội dung, hình thức thực hiện dân chủ ở cơ sở tại nơi làm việc; tổ chức đối thoại tại nơi làm việc và hội nghị người lao động, áp dụng đối với Công ty và toàn bộ người lao động làm việc theo hợp đồng lao động tại Công ty.</w:t>
      </w:r>
    </w:p>
    <w:p>
      <w:pPr>
        <w:spacing w:after="80" w:before="140" w:line="300"/>
      </w:pPr>
      <w:r>
        <w:rPr>
          <w:rFonts w:ascii="Times New Roman" w:cs="Times New Roman" w:eastAsia="Times New Roman" w:hAnsi="Times New Roman"/>
          <w:b/>
          <w:bCs/>
          <w:sz w:val="24"/>
          <w:szCs w:val="24"/>
        </w:rPr>
        <w:t xml:space="preserve">Điều 2. Nguyên tắc thực hiện dân chủ</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Thiện chí, hợp tác, trung thực, bình đẳng, công khai và minh bạch.</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Tôn trọng quyền và lợi ích hợp pháp của người lao động và của Công ty.</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Không được lợi dụng thực hiện dân chủ để xâm phạm an ninh quốc gia, trật tự an toàn xã hội, xâm phạm lợi ích của Nhà nước, quyền và lợi ích hợp pháp của Công ty, người lao động.</w:t>
      </w:r>
    </w:p>
    <w:p>
      <w:pPr>
        <w:spacing w:after="140" w:before="260"/>
        <w:jc w:val="center"/>
      </w:pPr>
      <w:r>
        <w:rPr>
          <w:rFonts w:ascii="Times New Roman" w:cs="Times New Roman" w:eastAsia="Times New Roman" w:hAnsi="Times New Roman"/>
          <w:b/>
          <w:bCs/>
          <w:sz w:val="26"/>
          <w:szCs w:val="26"/>
        </w:rPr>
        <w:t xml:space="preserve">CHƯƠNG II — NỘI DUNG THỰC HIỆN DÂN CHỦ</w:t>
      </w:r>
    </w:p>
    <w:p>
      <w:pPr>
        <w:spacing w:after="80" w:before="140" w:line="300"/>
      </w:pPr>
      <w:r>
        <w:rPr>
          <w:rFonts w:ascii="Times New Roman" w:cs="Times New Roman" w:eastAsia="Times New Roman" w:hAnsi="Times New Roman"/>
          <w:b/>
          <w:bCs/>
          <w:sz w:val="24"/>
          <w:szCs w:val="24"/>
        </w:rPr>
        <w:t xml:space="preserve">Điều 3. Nội dung Công ty phải công khai</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Công ty công khai với người lao động các nội dung sau:</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1. Tình hình sản xuất, kinh doanh của Công ty;</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2. Nội quy lao động, thang lương, bảng lương, định mức lao động, quy chế thưởng, quy chế đánh giá mức độ hoàn thành công việc và các quy chế, quy định khác liên quan đến quyền lợi, nghĩa vụ và trách nhiệm của người lao động;</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3. Việc trích lập, sử dụng quỹ khen thưởng, quỹ phúc lợi và các quỹ do người lao động đóng góp (nếu có);</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4. Việc trích nộp kinh phí công đoàn, đóng bảo hiểm xã hội, bảo hiểm y tế, bảo hiểm thất nghiệp;</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5. Tình hình thực hiện thi đua, khen thưởng, kỷ luật, giải quyết khiếu nại, tố cáo liên quan đến quyền, nghĩa vụ và lợi ích của người lao động;</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6. Các nội dung khác theo quy định của pháp luật.</w:t>
      </w:r>
    </w:p>
    <w:p>
      <w:pPr>
        <w:spacing w:after="80" w:before="140" w:line="300"/>
      </w:pPr>
      <w:r>
        <w:rPr>
          <w:rFonts w:ascii="Times New Roman" w:cs="Times New Roman" w:eastAsia="Times New Roman" w:hAnsi="Times New Roman"/>
          <w:b/>
          <w:bCs/>
          <w:sz w:val="24"/>
          <w:szCs w:val="24"/>
        </w:rPr>
        <w:t xml:space="preserve">Điều 4. Nội dung người lao động được tham gia ý kiến</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1. Xây dựng, sửa đổi, bổ sung nội quy, quy chế và các văn bản quy định khác liên quan đến quyền, nghĩa vụ và trách nhiệm của người lao động;</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2. Xây dựng, sửa đổi, bổ sung thang lương, bảng lương, định mức lao động; đề xuất nội dung thương lượng tập thể;</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3. Đề xuất, thực hiện giải pháp tiết kiệm chi phí, nâng cao năng suất lao động, cải thiện điều kiện làm việc, bảo vệ môi trường, phòng chống cháy nổ;</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4. Nội dung khác liên quan đến quyền, nghĩa vụ và lợi ích của người lao động theo quy định của pháp luật.</w:t>
      </w:r>
    </w:p>
    <w:p>
      <w:pPr>
        <w:spacing w:after="80" w:before="140" w:line="300"/>
      </w:pPr>
      <w:r>
        <w:rPr>
          <w:rFonts w:ascii="Times New Roman" w:cs="Times New Roman" w:eastAsia="Times New Roman" w:hAnsi="Times New Roman"/>
          <w:b/>
          <w:bCs/>
          <w:sz w:val="24"/>
          <w:szCs w:val="24"/>
        </w:rPr>
        <w:t xml:space="preserve">Điều 5. Nội dung người lao động được quyết định</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1. Giao kết, sửa đổi, bổ sung, chấm dứt hợp đồng lao động theo quy định của pháp luật;</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2. Gia nhập hoặc không gia nhập tổ chức đại diện người lao động tại cơ sở;</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3. Tham gia hoặc không tham gia đình công theo quy định của pháp luật;</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4. Biểu quyết nội dung thương lượng tập thể đã đạt được để ký kết thỏa ước lao động tập thể;</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5. Nội dung khác theo quy định của pháp luật hoặc theo thỏa thuận của các bên.</w:t>
      </w:r>
    </w:p>
    <w:p>
      <w:pPr>
        <w:spacing w:after="80" w:before="140" w:line="300"/>
      </w:pPr>
      <w:r>
        <w:rPr>
          <w:rFonts w:ascii="Times New Roman" w:cs="Times New Roman" w:eastAsia="Times New Roman" w:hAnsi="Times New Roman"/>
          <w:b/>
          <w:bCs/>
          <w:sz w:val="24"/>
          <w:szCs w:val="24"/>
        </w:rPr>
        <w:t xml:space="preserve">Điều 6. Nội dung người lao động được kiểm tra, giám sát</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1. Việc thực hiện hợp đồng lao động và thỏa ước lao động tập thể;</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2. Việc thực hiện nội quy lao động, quy chế và các văn bản quy định khác của Công ty liên quan đến quyền, nghĩa vụ và lợi ích của người lao động;</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3. Việc sử dụng quỹ khen thưởng, quỹ phúc lợi, các quỹ do người lao động đóng góp;</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4. Việc trích nộp kinh phí công đoàn, đóng bảo hiểm xã hội, bảo hiểm y tế, bảo hiểm thất nghiệp;</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5. Việc thực hiện thi đua, khen thưởng, kỷ luật, giải quyết khiếu nại, tố cáo liên quan đến quyền, nghĩa vụ và lợi ích của người lao động.</w:t>
      </w:r>
    </w:p>
    <w:p>
      <w:pPr>
        <w:spacing w:after="80" w:before="140" w:line="300"/>
      </w:pPr>
      <w:r>
        <w:rPr>
          <w:rFonts w:ascii="Times New Roman" w:cs="Times New Roman" w:eastAsia="Times New Roman" w:hAnsi="Times New Roman"/>
          <w:b/>
          <w:bCs/>
          <w:sz w:val="24"/>
          <w:szCs w:val="24"/>
        </w:rPr>
        <w:t xml:space="preserve">Điều 7. Hình thức thực hiện dân chủ</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Hình thức công khai: niêm yết tại nơi làm việc; thông báo tại cuộc họp, hội nghị người lao động; thông báo bằng văn bản đến từng người lao động; đăng tải trên Hệ thống quản trị và thư điện tử của Công ty.</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Hình thức tham gia ý kiến: góp ý trực tiếp tại cuộc họp bộ phận; gửi qua thư điện tử hoặc hòm thư góp ý; thông qua đại diện người lao động; tại hội nghị người lao động và đối thoại tại nơi làm việc.</w:t>
      </w:r>
    </w:p>
    <w:p>
      <w:pPr>
        <w:spacing w:after="140" w:before="260"/>
        <w:jc w:val="center"/>
      </w:pPr>
      <w:r>
        <w:rPr>
          <w:rFonts w:ascii="Times New Roman" w:cs="Times New Roman" w:eastAsia="Times New Roman" w:hAnsi="Times New Roman"/>
          <w:b/>
          <w:bCs/>
          <w:sz w:val="26"/>
          <w:szCs w:val="26"/>
        </w:rPr>
        <w:t xml:space="preserve">CHƯƠNG III — ĐỐI THOẠI TẠI NƠI LÀM VIỆC</w:t>
      </w:r>
    </w:p>
    <w:p>
      <w:pPr>
        <w:spacing w:after="80" w:before="140" w:line="300"/>
      </w:pPr>
      <w:r>
        <w:rPr>
          <w:rFonts w:ascii="Times New Roman" w:cs="Times New Roman" w:eastAsia="Times New Roman" w:hAnsi="Times New Roman"/>
          <w:b/>
          <w:bCs/>
          <w:sz w:val="24"/>
          <w:szCs w:val="24"/>
        </w:rPr>
        <w:t xml:space="preserve">Điều 8. Số lượng, thành phần tham gia đối thoại</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Bên Công ty: Giám đốc hoặc người được ủy quyền và các thành viên do Giám đốc quyết định, ít nhất 03 người.</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Bên người lao động: đại diện của tổ chức đại diện người lao động tại cơ sở và/hoặc nhóm đại diện đối thoại của người lao động, ít nhất 03 người.</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Danh sách thành viên tham gia đối thoại của mỗi bên có thời hạn 02 năm và được công khai tại nơi làm việc; khi khuyết thành viên thì bên đó cử người thay thế.</w:t>
      </w:r>
    </w:p>
    <w:p>
      <w:pPr>
        <w:spacing w:after="80" w:before="140" w:line="300"/>
      </w:pPr>
      <w:r>
        <w:rPr>
          <w:rFonts w:ascii="Times New Roman" w:cs="Times New Roman" w:eastAsia="Times New Roman" w:hAnsi="Times New Roman"/>
          <w:b/>
          <w:bCs/>
          <w:sz w:val="24"/>
          <w:szCs w:val="24"/>
        </w:rPr>
        <w:t xml:space="preserve">Điều 9. Đối thoại định kỳ</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Công ty tổ chức đối thoại định kỳ ít nhất 01 năm một lần, vào tháng ...... hằng năm.</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Chậm nhất 05 ngày làm việc trước ngày đối thoại, các bên gửi nội dung đối thoại cho nhau.</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Cuộc đối thoại định kỳ được tiến hành khi có sự tham gia của ít nhất 70% tổng số thành viên đại diện của bên Công ty và ít nhất 70% tổng số thành viên đại diện của bên người lao động.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4. Nội dung đối thoại được lập thành biên bản có chữ ký của người đại diện theo pháp luật của Công ty (hoặc người được ủy quyền) và của đại diện từng tổ chức đại diện người lao động, đại diện nhóm người lao động tham gia đối thoại.</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5. Chậm nhất 03 ngày làm việc kể từ khi kết thúc đối thoại, Công ty công bố công khai nội dung chính của đối thoại; đại diện người lao động phổ biến đến người lao động.</w:t>
      </w:r>
    </w:p>
    <w:p>
      <w:pPr>
        <w:spacing w:after="80" w:before="140" w:line="300"/>
      </w:pPr>
      <w:r>
        <w:rPr>
          <w:rFonts w:ascii="Times New Roman" w:cs="Times New Roman" w:eastAsia="Times New Roman" w:hAnsi="Times New Roman"/>
          <w:b/>
          <w:bCs/>
          <w:sz w:val="24"/>
          <w:szCs w:val="24"/>
        </w:rPr>
        <w:t xml:space="preserve">Điều 10. Đối thoại khi có yêu cầu của một hoặc các bên</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Bên yêu cầu đối thoại gửi văn bản nêu rõ nội dung, yêu cầu và thời gian đối thoại.</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Bên nhận được yêu cầu phải trả lời bằng văn bản, thống nhất thời gian, địa điểm và tổ chức đối thoại trong thời hạn 10 ngày kể từ ngày nhận được yêu cầu.</w:t>
      </w:r>
    </w:p>
    <w:p>
      <w:pPr>
        <w:spacing w:after="80" w:before="140" w:line="300"/>
      </w:pPr>
      <w:r>
        <w:rPr>
          <w:rFonts w:ascii="Times New Roman" w:cs="Times New Roman" w:eastAsia="Times New Roman" w:hAnsi="Times New Roman"/>
          <w:b/>
          <w:bCs/>
          <w:sz w:val="24"/>
          <w:szCs w:val="24"/>
        </w:rPr>
        <w:t xml:space="preserve">Điều 11. Đối thoại khi có vụ việc</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Công ty tổ chức đối thoại đối với các vụ việc theo quy định của pháp luật, bao gồm:</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a) Xử lý người lao động thường xuyên không hoàn thành công việc theo hợp đồng lao động;</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b) Thay đổi cơ cấu, công nghệ hoặc vì lý do kinh tế; xây dựng phương án sử dụng lao động;</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c) Xây dựng thang lương, bảng lương, định mức lao động;</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d) Xây dựng quy chế thưởng;</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đ) Xây dựng nội quy lao động;</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e) Tạm đình chỉ công việc của người lao động.</w:t>
      </w:r>
    </w:p>
    <w:p>
      <w:pPr>
        <w:spacing w:after="140" w:before="260"/>
        <w:jc w:val="center"/>
      </w:pPr>
      <w:r>
        <w:rPr>
          <w:rFonts w:ascii="Times New Roman" w:cs="Times New Roman" w:eastAsia="Times New Roman" w:hAnsi="Times New Roman"/>
          <w:b/>
          <w:bCs/>
          <w:sz w:val="26"/>
          <w:szCs w:val="26"/>
        </w:rPr>
        <w:t xml:space="preserve">CHƯƠNG IV — HỘI NGHỊ NGƯỜI LAO ĐỘNG</w:t>
      </w:r>
    </w:p>
    <w:p>
      <w:pPr>
        <w:spacing w:after="80" w:before="140" w:line="300"/>
      </w:pPr>
      <w:r>
        <w:rPr>
          <w:rFonts w:ascii="Times New Roman" w:cs="Times New Roman" w:eastAsia="Times New Roman" w:hAnsi="Times New Roman"/>
          <w:b/>
          <w:bCs/>
          <w:sz w:val="24"/>
          <w:szCs w:val="24"/>
        </w:rPr>
        <w:t xml:space="preserve">Điều 12. Tổ chức hội nghị người lao động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Công ty tổ chức hội nghị người lao động ít nhất 01 năm một lần, vào quý ...... hằng năm, do Giám đốc chủ trì phối hợp với tổ chức đại diện người lao động tại cơ sở.</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Hình thức: hội nghị toàn thể hoặc hội nghị đại biểu, do các bên thống nhất.</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Nội dung hội nghị:</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a) Tình hình sản xuất, kinh doanh của Công ty;</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b) Việc thực hiện hợp đồng lao động, thỏa ước lao động tập thể, nội quy lao động, quy chế và cam kết, thỏa thuận khác tại nơi làm việc;</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c) Điều kiện làm việc; công tác an toàn, vệ sinh lao động;</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d) Kiến nghị, đề xuất của người lao động;</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đ) Nội dung khác do hai bên thống nhất.</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4. Hội nghị được lập biên bản; nghị quyết hội nghị được phổ biến công khai đến toàn thể người lao động và tổ chức thực hiện.</w:t>
      </w:r>
    </w:p>
    <w:p>
      <w:pPr>
        <w:spacing w:after="140" w:before="260"/>
        <w:jc w:val="center"/>
      </w:pPr>
      <w:r>
        <w:rPr>
          <w:rFonts w:ascii="Times New Roman" w:cs="Times New Roman" w:eastAsia="Times New Roman" w:hAnsi="Times New Roman"/>
          <w:b/>
          <w:bCs/>
          <w:sz w:val="26"/>
          <w:szCs w:val="26"/>
        </w:rPr>
        <w:t xml:space="preserve">CHƯƠNG V — ĐIỀU KHOẢN THI HÀNH</w:t>
      </w:r>
    </w:p>
    <w:p>
      <w:pPr>
        <w:spacing w:after="80" w:before="140" w:line="300"/>
      </w:pPr>
      <w:r>
        <w:rPr>
          <w:rFonts w:ascii="Times New Roman" w:cs="Times New Roman" w:eastAsia="Times New Roman" w:hAnsi="Times New Roman"/>
          <w:b/>
          <w:bCs/>
          <w:sz w:val="24"/>
          <w:szCs w:val="24"/>
        </w:rPr>
        <w:t xml:space="preserve">Điều 13. Trách nhiệm thi hành</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Giám đốc chịu trách nhiệm bảo đảm các điều kiện để thực hiện dân chủ tại nơi làm việc.</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Bộ phận Hành chính – Nhân sự là đầu mối tham mưu, tổ chức, lập hồ sơ và lưu trữ.</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Người lao động thực hiện dân chủ đúng quy định của pháp luật và Quy chế này.</w:t>
      </w:r>
    </w:p>
    <w:p>
      <w:pPr>
        <w:spacing w:after="80" w:before="140" w:line="300"/>
      </w:pPr>
      <w:r>
        <w:rPr>
          <w:rFonts w:ascii="Times New Roman" w:cs="Times New Roman" w:eastAsia="Times New Roman" w:hAnsi="Times New Roman"/>
          <w:b/>
          <w:bCs/>
          <w:sz w:val="24"/>
          <w:szCs w:val="24"/>
        </w:rPr>
        <w:t xml:space="preserve">Điều 14. Hiệu lực thi hành</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Quy chế này có hiệu lực kể từ ngày ký và được công bố công khai tại nơi làm việc.</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Mọi sửa đổi, bổ sung phải được tham khảo ý kiến của tổ chức đại diện người lao động tại cơ sở.</w:t>
      </w:r>
    </w:p>
    <w:p>
      <w:pPr>
        <w:spacing w:before="400"/>
      </w:pPr>
      <w:r>
        <w:rPr>
          <w:rFonts w:ascii="Times New Roman" w:cs="Times New Roman" w:eastAsia="Times New Roman" w:hAnsi="Times New Roman"/>
        </w:rPr>
        <w:t xml:space="preserve"/>
      </w:r>
    </w:p>
    <w:tbl>
      <w:tblPr>
        <w:tblW w:type="auto" w:w="100"/>
        <w:tblBorders>
          <w:top w:val="none"/>
          <w:left w:val="none"/>
          <w:bottom w:val="none"/>
          <w:right w:val="none"/>
          <w:insideH w:val="none"/>
          <w:insideV w:val="none"/>
        </w:tblBorders>
      </w:tblPr>
      <w:tblGrid>
        <w:gridCol w:w="4800"/>
        <w:gridCol w:w="4800"/>
      </w:tblGrid>
      <w:tr>
        <w:tc>
          <w:tcPr>
            <w:tcW w:type="dxa" w:w="4800"/>
            <w:tcBorders>
              <w:top w:val="none"/>
              <w:left w:val="none"/>
              <w:bottom w:val="none"/>
              <w:right w:val="none"/>
            </w:tcBorders>
          </w:tcPr>
          <w:p>
            <w:pPr>
              <w:jc w:val="center"/>
            </w:pPr>
            <w:r>
              <w:rPr>
                <w:rFonts w:ascii="Times New Roman" w:cs="Times New Roman" w:eastAsia="Times New Roman" w:hAnsi="Times New Roman"/>
                <w:b/>
                <w:bCs/>
                <w:sz w:val="24"/>
                <w:szCs w:val="24"/>
              </w:rPr>
              <w:t xml:space="preserve">ĐẠI DIỆN NGƯỜI LAO ĐỘNG</w:t>
            </w:r>
          </w:p>
          <w:p>
            <w:pPr>
              <w:spacing w:after="900"/>
              <w:jc w:val="center"/>
            </w:pPr>
            <w:r>
              <w:rPr>
                <w:rFonts w:ascii="Times New Roman" w:cs="Times New Roman" w:eastAsia="Times New Roman" w:hAnsi="Times New Roman"/>
                <w:i/>
                <w:iCs/>
                <w:sz w:val="22"/>
                <w:szCs w:val="22"/>
              </w:rPr>
              <w:t xml:space="preserve">(Ký, ghi rõ họ tên)</w:t>
            </w:r>
          </w:p>
        </w:tc>
        <w:tc>
          <w:tcPr>
            <w:tcW w:type="dxa" w:w="4800"/>
            <w:tcBorders>
              <w:top w:val="none"/>
              <w:left w:val="none"/>
              <w:bottom w:val="none"/>
              <w:right w:val="none"/>
            </w:tcBorders>
          </w:tcPr>
          <w:p>
            <w:pPr>
              <w:jc w:val="center"/>
            </w:pPr>
            <w:r>
              <w:rPr>
                <w:rFonts w:ascii="Times New Roman" w:cs="Times New Roman" w:eastAsia="Times New Roman" w:hAnsi="Times New Roman"/>
                <w:b/>
                <w:bCs/>
                <w:sz w:val="24"/>
                <w:szCs w:val="24"/>
              </w:rPr>
              <w:t xml:space="preserve">GIÁM ĐỐC</w:t>
            </w:r>
          </w:p>
          <w:p>
            <w:pPr>
              <w:spacing w:after="900"/>
              <w:jc w:val="center"/>
            </w:pPr>
            <w:r>
              <w:rPr>
                <w:rFonts w:ascii="Times New Roman" w:cs="Times New Roman" w:eastAsia="Times New Roman" w:hAnsi="Times New Roman"/>
                <w:i/>
                <w:iCs/>
                <w:sz w:val="22"/>
                <w:szCs w:val="22"/>
              </w:rPr>
              <w:t xml:space="preserve">(Ký tên, đóng dấu)</w:t>
            </w:r>
          </w:p>
          <w:p>
            <w:pPr>
              <w:jc w:val="center"/>
            </w:pPr>
            <w:r>
              <w:rPr>
                <w:rFonts w:ascii="Times New Roman" w:cs="Times New Roman" w:eastAsia="Times New Roman" w:hAnsi="Times New Roman"/>
                <w:b/>
                <w:bCs/>
                <w:sz w:val="24"/>
                <w:szCs w:val="24"/>
              </w:rPr>
              <w:t xml:space="preserve">NGUYỄN LÊ HIẾU</w:t>
            </w:r>
          </w:p>
        </w:tc>
      </w:tr>
    </w:tbl>
    <w:p>
      <w:r>
        <w:br w:type="page"/>
      </w:r>
    </w:p>
    <w:p>
      <w:pPr>
        <w:spacing w:after="0"/>
        <w:jc w:val="center"/>
      </w:pPr>
      <w:r>
        <w:rPr>
          <w:rFonts w:ascii="Times New Roman" w:cs="Times New Roman" w:eastAsia="Times New Roman" w:hAnsi="Times New Roman"/>
          <w:b/>
          <w:bCs/>
          <w:sz w:val="24"/>
          <w:szCs w:val="24"/>
        </w:rPr>
        <w:t xml:space="preserve">CÔNG TY TNHH GIẢI PHÁP KỸ THUẬT SÓNG VIỆT</w:t>
      </w:r>
    </w:p>
    <w:p>
      <w:pPr>
        <w:spacing w:after="60"/>
        <w:jc w:val="center"/>
      </w:pPr>
      <w:r>
        <w:rPr>
          <w:rFonts w:ascii="Times New Roman" w:cs="Times New Roman" w:eastAsia="Times New Roman" w:hAnsi="Times New Roman"/>
          <w:sz w:val="24"/>
          <w:szCs w:val="24"/>
        </w:rPr>
        <w:t xml:space="preserve">Số: ......../2026/ATVSLĐ-SV</w:t>
      </w:r>
    </w:p>
    <w:p>
      <w:pPr>
        <w:spacing w:after="0"/>
        <w:jc w:val="center"/>
      </w:pPr>
      <w:r>
        <w:rPr>
          <w:rFonts w:ascii="Times New Roman" w:cs="Times New Roman" w:eastAsia="Times New Roman" w:hAnsi="Times New Roman"/>
          <w:b/>
          <w:bCs/>
          <w:sz w:val="24"/>
          <w:szCs w:val="24"/>
        </w:rPr>
        <w:t xml:space="preserve">CỘNG HÒA XÃ HỘI CHỦ NGHĨA VIỆT NAM</w:t>
      </w:r>
    </w:p>
    <w:p>
      <w:pPr>
        <w:spacing w:after="240"/>
        <w:jc w:val="center"/>
      </w:pPr>
      <w:r>
        <w:rPr>
          <w:rFonts w:ascii="Times New Roman" w:cs="Times New Roman" w:eastAsia="Times New Roman" w:hAnsi="Times New Roman"/>
          <w:b/>
          <w:bCs/>
          <w:sz w:val="24"/>
          <w:szCs w:val="24"/>
        </w:rPr>
        <w:t xml:space="preserve">Độc lập – Tự do – Hạnh phúc</w:t>
      </w:r>
    </w:p>
    <w:p>
      <w:pPr>
        <w:spacing w:after="60"/>
        <w:jc w:val="center"/>
      </w:pPr>
      <w:r>
        <w:rPr>
          <w:rFonts w:ascii="Times New Roman" w:cs="Times New Roman" w:eastAsia="Times New Roman" w:hAnsi="Times New Roman"/>
          <w:b/>
          <w:bCs/>
          <w:sz w:val="30"/>
          <w:szCs w:val="30"/>
        </w:rPr>
        <w:t xml:space="preserve">QUY CHẾ AN TOÀN, VỆ SINH LAO ĐỘNG</w:t>
      </w:r>
    </w:p>
    <w:p>
      <w:pPr>
        <w:spacing w:after="240"/>
        <w:jc w:val="center"/>
      </w:pPr>
      <w:r>
        <w:rPr>
          <w:rFonts w:ascii="Times New Roman" w:cs="Times New Roman" w:eastAsia="Times New Roman" w:hAnsi="Times New Roman"/>
          <w:i/>
          <w:iCs/>
          <w:sz w:val="22"/>
          <w:szCs w:val="22"/>
        </w:rPr>
        <w:t xml:space="preserve">(Ban hành kèm theo Quyết định số ......../2026/QĐ-SV ngày ...... tháng ...... năm 2026 của Giám đốc Công ty TNHH Giải pháp Kỹ thuật Sóng Việt)</w:t>
      </w:r>
    </w:p>
    <w:p>
      <w:pPr>
        <w:spacing w:after="100" w:line="300"/>
        <w:jc w:val="both"/>
      </w:pPr>
      <w:r>
        <w:rPr>
          <w:rFonts w:ascii="Times New Roman" w:cs="Times New Roman" w:eastAsia="Times New Roman" w:hAnsi="Times New Roman"/>
          <w:b w:val="false"/>
          <w:bCs w:val="false"/>
          <w:i w:val="false"/>
          <w:iCs w:val="false"/>
          <w:sz w:val="24"/>
          <w:szCs w:val="24"/>
        </w:rPr>
        <w:t xml:space="preserve">- Căn cứ Luật An toàn, vệ sinh lao động số 84/2015/QH13 ngày 25/6/2015;</w:t>
      </w:r>
    </w:p>
    <w:p>
      <w:pPr>
        <w:spacing w:after="100" w:line="300"/>
        <w:jc w:val="both"/>
      </w:pPr>
      <w:r>
        <w:rPr>
          <w:rFonts w:ascii="Times New Roman" w:cs="Times New Roman" w:eastAsia="Times New Roman" w:hAnsi="Times New Roman"/>
          <w:b w:val="false"/>
          <w:bCs w:val="false"/>
          <w:i w:val="false"/>
          <w:iCs w:val="false"/>
          <w:sz w:val="24"/>
          <w:szCs w:val="24"/>
        </w:rPr>
        <w:t xml:space="preserve">- Căn cứ Nghị định số 39/2016/NĐ-CP và Nghị định số 44/2016/NĐ-CP của Chính phủ; Thông tư số 06/2020/TT-BLĐTBXH về danh mục công việc có yêu cầu nghiêm ngặt về an toàn, vệ sinh lao động;</w:t>
      </w:r>
    </w:p>
    <w:p>
      <w:pPr>
        <w:spacing w:after="100" w:line="300"/>
        <w:jc w:val="both"/>
      </w:pPr>
      <w:r>
        <w:rPr>
          <w:rFonts w:ascii="Times New Roman" w:cs="Times New Roman" w:eastAsia="Times New Roman" w:hAnsi="Times New Roman"/>
          <w:b w:val="false"/>
          <w:bCs w:val="false"/>
          <w:i w:val="false"/>
          <w:iCs w:val="false"/>
          <w:sz w:val="24"/>
          <w:szCs w:val="24"/>
        </w:rPr>
        <w:t xml:space="preserve">- Căn cứ đặc thù hoạt động tư vấn – thiết kế – thi công – vận hành hệ thống xử lý nước, nước thải, khí thải của Công ty,</w:t>
      </w:r>
    </w:p>
    <w:p>
      <w:pPr>
        <w:spacing w:after="100" w:line="300"/>
        <w:jc w:val="both"/>
      </w:pPr>
      <w:r>
        <w:rPr>
          <w:rFonts w:ascii="Times New Roman" w:cs="Times New Roman" w:eastAsia="Times New Roman" w:hAnsi="Times New Roman"/>
          <w:b/>
          <w:bCs/>
          <w:i w:val="false"/>
          <w:iCs w:val="false"/>
          <w:sz w:val="24"/>
          <w:szCs w:val="24"/>
        </w:rPr>
        <w:t xml:space="preserve">Giám đốc Công ty ban hành Quy chế an toàn, vệ sinh lao động như sau:</w:t>
      </w:r>
    </w:p>
    <w:p>
      <w:pPr>
        <w:spacing w:after="140" w:before="260"/>
        <w:jc w:val="center"/>
      </w:pPr>
      <w:r>
        <w:rPr>
          <w:rFonts w:ascii="Times New Roman" w:cs="Times New Roman" w:eastAsia="Times New Roman" w:hAnsi="Times New Roman"/>
          <w:b/>
          <w:bCs/>
          <w:sz w:val="26"/>
          <w:szCs w:val="26"/>
        </w:rPr>
        <w:t xml:space="preserve">CHƯƠNG I — QUY ĐỊNH CHUNG</w:t>
      </w:r>
    </w:p>
    <w:p>
      <w:pPr>
        <w:spacing w:after="80" w:before="140" w:line="300"/>
      </w:pPr>
      <w:r>
        <w:rPr>
          <w:rFonts w:ascii="Times New Roman" w:cs="Times New Roman" w:eastAsia="Times New Roman" w:hAnsi="Times New Roman"/>
          <w:b/>
          <w:bCs/>
          <w:sz w:val="24"/>
          <w:szCs w:val="24"/>
        </w:rPr>
        <w:t xml:space="preserve">Điều 1. Phạm vi và đối tượng áp dụng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Quy chế này quy định trách nhiệm, nội dung, biện pháp bảo đảm an toàn, vệ sinh lao động (ATVSLĐ) tại văn phòng, kho, xưởng, công trường và trạm xử lý của khách hàng do Công ty triển khai.</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Áp dụng đối với toàn bộ người lao động của Công ty, người lao động của nhà thầu, đối tác và mọi cá nhân khi làm việc trong phạm vi công trường, kho, xưởng của Công ty.</w:t>
      </w:r>
    </w:p>
    <w:p>
      <w:pPr>
        <w:spacing w:after="80" w:before="140" w:line="300"/>
      </w:pPr>
      <w:r>
        <w:rPr>
          <w:rFonts w:ascii="Times New Roman" w:cs="Times New Roman" w:eastAsia="Times New Roman" w:hAnsi="Times New Roman"/>
          <w:b/>
          <w:bCs/>
          <w:sz w:val="24"/>
          <w:szCs w:val="24"/>
        </w:rPr>
        <w:t xml:space="preserve">Điều 2. Mục tiêu</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Bảo đảm an toàn tính mạng, sức khỏe cho người lao động; phòng ngừa tai nạn lao động, bệnh nghề nghiệp, sự cố kỹ thuật gây mất an toàn; tuân thủ đầy đủ quy định pháp luật về ATVSLĐ.</w:t>
      </w:r>
    </w:p>
    <w:p>
      <w:pPr>
        <w:spacing w:after="80" w:before="140" w:line="300"/>
      </w:pPr>
      <w:r>
        <w:rPr>
          <w:rFonts w:ascii="Times New Roman" w:cs="Times New Roman" w:eastAsia="Times New Roman" w:hAnsi="Times New Roman"/>
          <w:b/>
          <w:bCs/>
          <w:sz w:val="24"/>
          <w:szCs w:val="24"/>
        </w:rPr>
        <w:t xml:space="preserve">Điều 3. Nguyên tắc</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Ưu tiên phòng ngừa; đánh giá và kiểm soát rủi ro trước khi triển khai công việc.</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An toàn là điều kiện bắt buộc để thực hiện công việc; không đánh đổi an toàn lấy tiến độ.</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Mọi người lao động có quyền và nghĩa vụ tham gia bảo đảm ATVSLĐ.</w:t>
      </w:r>
    </w:p>
    <w:p>
      <w:pPr>
        <w:spacing w:after="140" w:before="260"/>
        <w:jc w:val="center"/>
      </w:pPr>
      <w:r>
        <w:rPr>
          <w:rFonts w:ascii="Times New Roman" w:cs="Times New Roman" w:eastAsia="Times New Roman" w:hAnsi="Times New Roman"/>
          <w:b/>
          <w:bCs/>
          <w:sz w:val="26"/>
          <w:szCs w:val="26"/>
        </w:rPr>
        <w:t xml:space="preserve">CHƯƠNG II — TỔ CHỨC, TRÁCH NHIỆM VỀ AN TOÀN, VỆ SINH LAO ĐỘNG</w:t>
      </w:r>
    </w:p>
    <w:p>
      <w:pPr>
        <w:spacing w:after="80" w:before="140" w:line="300"/>
      </w:pPr>
      <w:r>
        <w:rPr>
          <w:rFonts w:ascii="Times New Roman" w:cs="Times New Roman" w:eastAsia="Times New Roman" w:hAnsi="Times New Roman"/>
          <w:b/>
          <w:bCs/>
          <w:sz w:val="24"/>
          <w:szCs w:val="24"/>
        </w:rPr>
        <w:t xml:space="preserve">Điều 4. Trách nhiệm của Công ty (người sử dụng lao động)</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1. Xây dựng, ban hành kế hoạch ATVSLĐ hằng năm và bố trí kinh phí thực hiện;</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2. Cử hoặc bố trí người làm công tác ATVSLĐ; thành lập lực lượng sơ cứu, cấp cứu tại nơi làm việc;</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3. Tổ chức đánh giá rủi ro, xây dựng nội quy, quy trình, biện pháp bảo đảm ATVSLĐ;</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4. Trang bị đầy đủ phương tiện bảo vệ cá nhân đạt chuẩn cho người lao động;</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5. Tổ chức huấn luyện ATVSLĐ theo đúng nhóm đối tượng và định kỳ;</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6. Tổ chức khám sức khỏe trước khi bố trí việc làm và khám sức khỏe định kỳ; khám phát hiện bệnh nghề nghiệp;</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7. Mua bảo hiểm tai nạn lao động, bệnh nghề nghiệp; đóng bảo hiểm xã hội đầy đủ;</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8. Khai báo, điều tra, thống kê, báo cáo tai nạn lao động, sự cố kỹ thuật gây mất an toàn theo quy định.</w:t>
      </w:r>
    </w:p>
    <w:p>
      <w:pPr>
        <w:spacing w:after="80" w:before="140" w:line="300"/>
      </w:pPr>
      <w:r>
        <w:rPr>
          <w:rFonts w:ascii="Times New Roman" w:cs="Times New Roman" w:eastAsia="Times New Roman" w:hAnsi="Times New Roman"/>
          <w:b/>
          <w:bCs/>
          <w:sz w:val="24"/>
          <w:szCs w:val="24"/>
        </w:rPr>
        <w:t xml:space="preserve">Điều 5. Trách nhiệm của người quản lý bộ phận, trưởng dự án</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1. Tổ chức thực hiện đầy đủ nội quy, quy trình ATVSLĐ trong phạm vi phụ trách;</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2. Lập đánh giá rủi ro (HIRA) và phổ biến cho người lao động trước khi thi công, vận hành;</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3. Kiểm tra điều kiện an toàn trước khi bố trí công việc; phân công đúng người có chứng chỉ đối với công việc yêu cầu nghiêm ngặt về ATVSLĐ;</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4. Dừng ngay công việc khi phát hiện nguy cơ mất an toàn nghiêm trọng và báo cáo Công ty;</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5. Báo cáo kịp thời tai nạn lao động, sự cố; tổ chức sơ cứu, cấp cứu và khắc phục hậu quả.</w:t>
      </w:r>
    </w:p>
    <w:p>
      <w:pPr>
        <w:spacing w:after="80" w:before="140" w:line="300"/>
      </w:pPr>
      <w:r>
        <w:rPr>
          <w:rFonts w:ascii="Times New Roman" w:cs="Times New Roman" w:eastAsia="Times New Roman" w:hAnsi="Times New Roman"/>
          <w:b/>
          <w:bCs/>
          <w:sz w:val="24"/>
          <w:szCs w:val="24"/>
        </w:rPr>
        <w:t xml:space="preserve">Điều 6. Quyền và nghĩa vụ của người lao động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Quyền:</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a) Được cung cấp thông tin về yếu tố nguy hiểm, yếu tố có hại tại nơi làm việc;</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b) Được huấn luyện ATVSLĐ, cấp phương tiện bảo vệ cá nhân, khám sức khỏe định kỳ;</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c) Từ chối làm việc hoặc rời khỏi nơi làm việc mà vẫn được trả đủ lương và không bị coi là vi phạm kỷ luật khi thấy rõ nguy cơ xảy ra tai nạn lao động đe dọa nghiêm trọng tính mạng, sức khỏe, nhưng phải báo ngay người quản lý trực tiếp;</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d) Khiếu nại, tố cáo hành vi vi phạm pháp luật về ATVSLĐ.</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Nghĩa vụ:</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a) Chấp hành nội quy, quy trình, biện pháp bảo đảm ATVSLĐ; tuân thủ giao kết về ATVSLĐ trong hợp đồng lao động;</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b) Sử dụng và bảo quản phương tiện bảo vệ cá nhân được cấp;</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c) Tham gia đầy đủ huấn luyện ATVSLĐ và khám sức khỏe;</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d) Báo cáo kịp thời nguy cơ, sự cố, tai nạn; tham gia ứng cứu, khắc phục hậu quả theo phân công.</w:t>
      </w:r>
    </w:p>
    <w:p>
      <w:pPr>
        <w:spacing w:after="140" w:before="260"/>
        <w:jc w:val="center"/>
      </w:pPr>
      <w:r>
        <w:rPr>
          <w:rFonts w:ascii="Times New Roman" w:cs="Times New Roman" w:eastAsia="Times New Roman" w:hAnsi="Times New Roman"/>
          <w:b/>
          <w:bCs/>
          <w:sz w:val="26"/>
          <w:szCs w:val="26"/>
        </w:rPr>
        <w:t xml:space="preserve">CHƯƠNG III — HUẤN LUYỆN, KHÁM SỨC KHỎE, PHƯƠNG TIỆN BẢO VỆ CÁ NHÂN</w:t>
      </w:r>
    </w:p>
    <w:p>
      <w:pPr>
        <w:spacing w:after="80" w:before="140" w:line="300"/>
      </w:pPr>
      <w:r>
        <w:rPr>
          <w:rFonts w:ascii="Times New Roman" w:cs="Times New Roman" w:eastAsia="Times New Roman" w:hAnsi="Times New Roman"/>
          <w:b/>
          <w:bCs/>
          <w:sz w:val="24"/>
          <w:szCs w:val="24"/>
        </w:rPr>
        <w:t xml:space="preserve">Điều 7. Huấn luyện an toàn, vệ sinh lao động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Công ty tổ chức huấn luyện ATVSLĐ theo 06 nhóm đối tượng của Nghị định 44/2016/NĐ-CP; thời gian huấn luyện lần đầu và định kỳ như sau:</w:t>
      </w:r>
    </w:p>
    <w:p>
      <w:pPr>
        <w:spacing w:after="60" w:line="300"/>
        <w:jc w:val="both"/>
      </w:pPr>
      <w:r>
        <w:rPr>
          <w:rFonts w:ascii="Times New Roman" w:cs="Times New Roman" w:eastAsia="Times New Roman" w:hAnsi="Times New Roman"/>
          <w:b w:val="false"/>
          <w:bCs w:val="false"/>
          <w:i w:val="false"/>
          <w:iCs w:val="false"/>
          <w:sz w:val="24"/>
          <w:szCs w:val="24"/>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5400"/>
        <w:gridCol w:w="1800"/>
        <w:gridCol w:w="1700"/>
      </w:tblGrid>
      <w:tr>
        <w:tc>
          <w:tcPr>
            <w:tcW w:type="dxa" w:w="700"/>
            <w:tcBorders>
              <w:top w:val="single" w:color="888888" w:sz="1"/>
              <w:left w:val="single" w:color="888888" w:sz="1"/>
              <w:bottom w:val="single" w:color="888888" w:sz="1"/>
              <w:right w:val="single" w:color="888888" w:sz="1"/>
            </w:tcBorders>
            <w:shd w:fill="E8EEF2" w:val="clear"/>
            <w:tcMar>
              <w:top w:type="dxa" w:w="60"/>
              <w:left w:type="dxa" w:w="90"/>
              <w:bottom w:type="dxa" w:w="60"/>
              <w:right w:type="dxa" w:w="90"/>
            </w:tcMar>
          </w:tcPr>
          <w:p>
            <w:pPr>
              <w:spacing w:line="260"/>
              <w:jc w:val="center"/>
            </w:pPr>
            <w:r>
              <w:rPr>
                <w:rFonts w:ascii="Times New Roman" w:cs="Times New Roman" w:eastAsia="Times New Roman" w:hAnsi="Times New Roman"/>
                <w:b/>
                <w:bCs/>
                <w:sz w:val="21"/>
                <w:szCs w:val="21"/>
              </w:rPr>
              <w:t xml:space="preserve">Nhóm</w:t>
            </w:r>
          </w:p>
        </w:tc>
        <w:tc>
          <w:tcPr>
            <w:tcW w:type="dxa" w:w="5400"/>
            <w:tcBorders>
              <w:top w:val="single" w:color="888888" w:sz="1"/>
              <w:left w:val="single" w:color="888888" w:sz="1"/>
              <w:bottom w:val="single" w:color="888888" w:sz="1"/>
              <w:right w:val="single" w:color="888888" w:sz="1"/>
            </w:tcBorders>
            <w:shd w:fill="E8EEF2" w:val="clear"/>
            <w:tcMar>
              <w:top w:type="dxa" w:w="60"/>
              <w:left w:type="dxa" w:w="90"/>
              <w:bottom w:type="dxa" w:w="60"/>
              <w:right w:type="dxa" w:w="90"/>
            </w:tcMar>
          </w:tcPr>
          <w:p>
            <w:pPr>
              <w:spacing w:line="260"/>
              <w:jc w:val="center"/>
            </w:pPr>
            <w:r>
              <w:rPr>
                <w:rFonts w:ascii="Times New Roman" w:cs="Times New Roman" w:eastAsia="Times New Roman" w:hAnsi="Times New Roman"/>
                <w:b/>
                <w:bCs/>
                <w:sz w:val="21"/>
                <w:szCs w:val="21"/>
              </w:rPr>
              <w:t xml:space="preserve">Đối tượng</w:t>
            </w:r>
          </w:p>
        </w:tc>
        <w:tc>
          <w:tcPr>
            <w:tcW w:type="dxa" w:w="1800"/>
            <w:tcBorders>
              <w:top w:val="single" w:color="888888" w:sz="1"/>
              <w:left w:val="single" w:color="888888" w:sz="1"/>
              <w:bottom w:val="single" w:color="888888" w:sz="1"/>
              <w:right w:val="single" w:color="888888" w:sz="1"/>
            </w:tcBorders>
            <w:shd w:fill="E8EEF2" w:val="clear"/>
            <w:tcMar>
              <w:top w:type="dxa" w:w="60"/>
              <w:left w:type="dxa" w:w="90"/>
              <w:bottom w:type="dxa" w:w="60"/>
              <w:right w:type="dxa" w:w="90"/>
            </w:tcMar>
          </w:tcPr>
          <w:p>
            <w:pPr>
              <w:spacing w:line="260"/>
              <w:jc w:val="center"/>
            </w:pPr>
            <w:r>
              <w:rPr>
                <w:rFonts w:ascii="Times New Roman" w:cs="Times New Roman" w:eastAsia="Times New Roman" w:hAnsi="Times New Roman"/>
                <w:b/>
                <w:bCs/>
                <w:sz w:val="21"/>
                <w:szCs w:val="21"/>
              </w:rPr>
              <w:t xml:space="preserve">Huấn luyện lần đầu</w:t>
            </w:r>
          </w:p>
        </w:tc>
        <w:tc>
          <w:tcPr>
            <w:tcW w:type="dxa" w:w="1700"/>
            <w:tcBorders>
              <w:top w:val="single" w:color="888888" w:sz="1"/>
              <w:left w:val="single" w:color="888888" w:sz="1"/>
              <w:bottom w:val="single" w:color="888888" w:sz="1"/>
              <w:right w:val="single" w:color="888888" w:sz="1"/>
            </w:tcBorders>
            <w:shd w:fill="E8EEF2" w:val="clear"/>
            <w:tcMar>
              <w:top w:type="dxa" w:w="60"/>
              <w:left w:type="dxa" w:w="90"/>
              <w:bottom w:type="dxa" w:w="60"/>
              <w:right w:type="dxa" w:w="90"/>
            </w:tcMar>
          </w:tcPr>
          <w:p>
            <w:pPr>
              <w:spacing w:line="260"/>
              <w:jc w:val="center"/>
            </w:pPr>
            <w:r>
              <w:rPr>
                <w:rFonts w:ascii="Times New Roman" w:cs="Times New Roman" w:eastAsia="Times New Roman" w:hAnsi="Times New Roman"/>
                <w:b/>
                <w:bCs/>
                <w:sz w:val="21"/>
                <w:szCs w:val="21"/>
              </w:rPr>
              <w:t xml:space="preserve">Định kỳ</w:t>
            </w:r>
          </w:p>
        </w:tc>
      </w:tr>
      <w:tr>
        <w:tc>
          <w:tcPr>
            <w:tcW w:type="dxa" w:w="7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1</w:t>
            </w:r>
          </w:p>
        </w:tc>
        <w:tc>
          <w:tcPr>
            <w:tcW w:type="dxa" w:w="54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Người quản lý phụ trách ATVSLĐ (giám đốc, trưởng bộ phận, trưởng dự án)</w:t>
            </w:r>
          </w:p>
        </w:tc>
        <w:tc>
          <w:tcPr>
            <w:tcW w:type="dxa" w:w="18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 16 giờ</w:t>
            </w:r>
          </w:p>
        </w:tc>
        <w:tc>
          <w:tcPr>
            <w:tcW w:type="dxa" w:w="17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2 năm/lần</w:t>
            </w:r>
          </w:p>
        </w:tc>
      </w:tr>
      <w:tr>
        <w:tc>
          <w:tcPr>
            <w:tcW w:type="dxa" w:w="7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2</w:t>
            </w:r>
          </w:p>
        </w:tc>
        <w:tc>
          <w:tcPr>
            <w:tcW w:type="dxa" w:w="54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Người làm công tác ATVSLĐ chuyên trách/bán chuyên trách</w:t>
            </w:r>
          </w:p>
        </w:tc>
        <w:tc>
          <w:tcPr>
            <w:tcW w:type="dxa" w:w="18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 48 giờ</w:t>
            </w:r>
          </w:p>
        </w:tc>
        <w:tc>
          <w:tcPr>
            <w:tcW w:type="dxa" w:w="17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2 năm/lần</w:t>
            </w:r>
          </w:p>
        </w:tc>
      </w:tr>
      <w:tr>
        <w:tc>
          <w:tcPr>
            <w:tcW w:type="dxa" w:w="7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3</w:t>
            </w:r>
          </w:p>
        </w:tc>
        <w:tc>
          <w:tcPr>
            <w:tcW w:type="dxa" w:w="54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Người làm công việc có yêu cầu nghiêm ngặt về ATVSLĐ (điện, làm việc trên cao, không gian hạn chế, hóa chất, hàn cắt, thiết bị nâng…)</w:t>
            </w:r>
          </w:p>
        </w:tc>
        <w:tc>
          <w:tcPr>
            <w:tcW w:type="dxa" w:w="18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 24 giờ</w:t>
            </w:r>
          </w:p>
        </w:tc>
        <w:tc>
          <w:tcPr>
            <w:tcW w:type="dxa" w:w="17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2 năm/lần</w:t>
            </w:r>
          </w:p>
        </w:tc>
      </w:tr>
      <w:tr>
        <w:tc>
          <w:tcPr>
            <w:tcW w:type="dxa" w:w="7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4</w:t>
            </w:r>
          </w:p>
        </w:tc>
        <w:tc>
          <w:tcPr>
            <w:tcW w:type="dxa" w:w="54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Người lao động khác (không thuộc nhóm 1,2,3,5,6)</w:t>
            </w:r>
          </w:p>
        </w:tc>
        <w:tc>
          <w:tcPr>
            <w:tcW w:type="dxa" w:w="18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 16 giờ</w:t>
            </w:r>
          </w:p>
        </w:tc>
        <w:tc>
          <w:tcPr>
            <w:tcW w:type="dxa" w:w="17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Hằng năm (định kỳ ôn)</w:t>
            </w:r>
          </w:p>
        </w:tc>
      </w:tr>
      <w:tr>
        <w:tc>
          <w:tcPr>
            <w:tcW w:type="dxa" w:w="7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5</w:t>
            </w:r>
          </w:p>
        </w:tc>
        <w:tc>
          <w:tcPr>
            <w:tcW w:type="dxa" w:w="54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Người làm công tác y tế</w:t>
            </w:r>
          </w:p>
        </w:tc>
        <w:tc>
          <w:tcPr>
            <w:tcW w:type="dxa" w:w="18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 16 giờ</w:t>
            </w:r>
          </w:p>
        </w:tc>
        <w:tc>
          <w:tcPr>
            <w:tcW w:type="dxa" w:w="17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2 năm/lần</w:t>
            </w:r>
          </w:p>
        </w:tc>
      </w:tr>
      <w:tr>
        <w:tc>
          <w:tcPr>
            <w:tcW w:type="dxa" w:w="7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6</w:t>
            </w:r>
          </w:p>
        </w:tc>
        <w:tc>
          <w:tcPr>
            <w:tcW w:type="dxa" w:w="54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An toàn, vệ sinh viên</w:t>
            </w:r>
          </w:p>
        </w:tc>
        <w:tc>
          <w:tcPr>
            <w:tcW w:type="dxa" w:w="18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Theo nhóm 4 + bổ sung</w:t>
            </w:r>
          </w:p>
        </w:tc>
        <w:tc>
          <w:tcPr>
            <w:tcW w:type="dxa" w:w="17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Hằng năm</w:t>
            </w:r>
          </w:p>
        </w:tc>
      </w:tr>
    </w:tbl>
    <w:p>
      <w:pPr>
        <w:spacing w:after="100" w:line="300"/>
        <w:ind w:left="360"/>
        <w:jc w:val="both"/>
      </w:pPr>
      <w:r>
        <w:rPr>
          <w:rFonts w:ascii="Times New Roman" w:cs="Times New Roman" w:eastAsia="Times New Roman" w:hAnsi="Times New Roman"/>
          <w:b w:val="false"/>
          <w:bCs w:val="false"/>
          <w:i/>
          <w:iCs/>
          <w:sz w:val="24"/>
          <w:szCs w:val="24"/>
        </w:rPr>
        <w:t xml:space="preserve">Người thuộc nhóm 3 phải được cấp thẻ an toàn sau khi huấn luyện đạt yêu cầu và chỉ được bố trí làm việc khi có thẻ còn hiệu lực.</w:t>
      </w:r>
    </w:p>
    <w:p>
      <w:pPr>
        <w:spacing w:after="80" w:before="140" w:line="300"/>
      </w:pPr>
      <w:r>
        <w:rPr>
          <w:rFonts w:ascii="Times New Roman" w:cs="Times New Roman" w:eastAsia="Times New Roman" w:hAnsi="Times New Roman"/>
          <w:b/>
          <w:bCs/>
          <w:sz w:val="24"/>
          <w:szCs w:val="24"/>
        </w:rPr>
        <w:t xml:space="preserve">Điều 8. Khám sức khỏe</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Khám sức khỏe trước khi bố trí việc làm; khám sức khỏe định kỳ ít nhất 01 lần/năm.</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Đối với người làm nghề, công việc nặng nhọc, độc hại, nguy hiểm; người lao động là người khuyết tật, người lao động chưa thành niên, người lao động cao tuổi: khám sức khỏe ít nhất 06 tháng/lần.</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Tổ chức khám phát hiện bệnh nghề nghiệp đối với người làm việc trong môi trường có yếu tố có hại (hóa chất, hơi khí độc, tiếng ồn…).</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4. Kết quả khám sức khỏe được quản lý, bảo mật và lưu hồ sơ sức khỏe cá nhân.</w:t>
      </w:r>
    </w:p>
    <w:p>
      <w:pPr>
        <w:spacing w:after="80" w:before="140" w:line="300"/>
      </w:pPr>
      <w:r>
        <w:rPr>
          <w:rFonts w:ascii="Times New Roman" w:cs="Times New Roman" w:eastAsia="Times New Roman" w:hAnsi="Times New Roman"/>
          <w:b/>
          <w:bCs/>
          <w:sz w:val="24"/>
          <w:szCs w:val="24"/>
        </w:rPr>
        <w:t xml:space="preserve">Điều 9. Phương tiện bảo vệ cá nhân</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Công ty trang cấp phương tiện bảo vệ cá nhân phù hợp từng công việc, tối thiểu gồm: quần áo bảo hộ, giày/ủng bảo hộ, mũ bảo hộ, găng tay phù hợp; đối với công việc đặc thù bổ sung: kính/mặt nạ chống hóa chất, mặt nạ phòng độc đúng phin lọc, dây đai an toàn toàn thân, máy đo khí đa chỉ tiêu, thiết bị thở, đèn phòng nổ, nút/chụp tai chống ồn. Người lao động phải sử dụng đúng, đủ và bảo quản phương tiện được cấp.</w:t>
      </w:r>
    </w:p>
    <w:p>
      <w:pPr>
        <w:spacing w:after="140" w:before="260"/>
        <w:jc w:val="center"/>
      </w:pPr>
      <w:r>
        <w:rPr>
          <w:rFonts w:ascii="Times New Roman" w:cs="Times New Roman" w:eastAsia="Times New Roman" w:hAnsi="Times New Roman"/>
          <w:b/>
          <w:bCs/>
          <w:sz w:val="26"/>
          <w:szCs w:val="26"/>
        </w:rPr>
        <w:t xml:space="preserve">CHƯƠNG IV — AN TOÀN CHO CÔNG VIỆC ĐẶC THÙ NGÀNH XỬ LÝ NƯỚC</w:t>
      </w:r>
    </w:p>
    <w:p>
      <w:pPr>
        <w:spacing w:after="80" w:before="140" w:line="300"/>
      </w:pPr>
      <w:r>
        <w:rPr>
          <w:rFonts w:ascii="Times New Roman" w:cs="Times New Roman" w:eastAsia="Times New Roman" w:hAnsi="Times New Roman"/>
          <w:b/>
          <w:bCs/>
          <w:sz w:val="24"/>
          <w:szCs w:val="24"/>
        </w:rPr>
        <w:t xml:space="preserve">Điều 10. Làm việc trong không gian hạn chế (bể, hầm bơm, bồn, đường ống)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Chỉ được thực hiện khi có Giấy phép làm việc trong không gian hạn chế được người có thẩm quyền phê duyệt.</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Trước khi vào: đo kiểm nồng độ khí (O2, H2S, CO, khí cháy nổ) bằng máy đo đã hiệu chuẩn; thông gió cưỡng bức nếu cần.</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Bố trí người giám sát bên ngoài liên lạc liên tục; chuẩn bị đầy đủ thiết bị cứu hộ (dây cứu hộ, đai toàn thân, tripod và tời cứu hộ, thiết bị thở dự phòng).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4. Nghiêm cấm vào không gian hạn chế một mình hoặc khi chưa đo khí đạt yêu cầu.</w:t>
      </w:r>
    </w:p>
    <w:p>
      <w:pPr>
        <w:spacing w:after="80" w:before="140" w:line="300"/>
      </w:pPr>
      <w:r>
        <w:rPr>
          <w:rFonts w:ascii="Times New Roman" w:cs="Times New Roman" w:eastAsia="Times New Roman" w:hAnsi="Times New Roman"/>
          <w:b/>
          <w:bCs/>
          <w:sz w:val="24"/>
          <w:szCs w:val="24"/>
        </w:rPr>
        <w:t xml:space="preserve">Điều 11. An toàn hóa chất</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Người làm việc với hóa chất phải được huấn luyện an toàn hóa chất và nắm rõ phiếu an toàn hóa chất (MSDS/SDS).</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Lưu trữ hóa chất đúng khu vực quy định, có biển cảnh báo, thông gió; phân loại, không để chung các hóa chất kỵ nhau.</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Khi san chiết, pha trộn phải sử dụng đầy đủ phương tiện bảo vệ cá nhân chống hóa chất; có phương án ứng phó tràn đổ, bỏng hóa chất.</w:t>
      </w:r>
    </w:p>
    <w:p>
      <w:pPr>
        <w:spacing w:after="80" w:before="140" w:line="300"/>
      </w:pPr>
      <w:r>
        <w:rPr>
          <w:rFonts w:ascii="Times New Roman" w:cs="Times New Roman" w:eastAsia="Times New Roman" w:hAnsi="Times New Roman"/>
          <w:b/>
          <w:bCs/>
          <w:sz w:val="24"/>
          <w:szCs w:val="24"/>
        </w:rPr>
        <w:t xml:space="preserve">Điều 12. An toàn điện, thiết bị nâng, làm việc trên cao</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Công việc về điện, vận hành thiết bị nâng, làm việc trên cao chỉ do người đã được huấn luyện và có chứng chỉ/thẻ an toàn phù hợp thực hiện.</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Thực hiện quy trình khóa – treo thẻ (LOTO) khi bảo trì, sửa chữa thiết bị điện, cơ khí.</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Kiểm định kỹ thuật an toàn đối với máy, thiết bị có yêu cầu nghiêm ngặt trước khi đưa vào sử dụng và định kỳ theo quy định.</w:t>
      </w:r>
    </w:p>
    <w:p>
      <w:pPr>
        <w:spacing w:after="140" w:before="260"/>
        <w:jc w:val="center"/>
      </w:pPr>
      <w:r>
        <w:rPr>
          <w:rFonts w:ascii="Times New Roman" w:cs="Times New Roman" w:eastAsia="Times New Roman" w:hAnsi="Times New Roman"/>
          <w:b/>
          <w:bCs/>
          <w:sz w:val="26"/>
          <w:szCs w:val="26"/>
        </w:rPr>
        <w:t xml:space="preserve">CHƯƠNG V — SỰ CỐ, TAI NẠN LAO ĐỘNG VÀ CHẾ ĐỘ</w:t>
      </w:r>
    </w:p>
    <w:p>
      <w:pPr>
        <w:spacing w:after="80" w:before="140" w:line="300"/>
      </w:pPr>
      <w:r>
        <w:rPr>
          <w:rFonts w:ascii="Times New Roman" w:cs="Times New Roman" w:eastAsia="Times New Roman" w:hAnsi="Times New Roman"/>
          <w:b/>
          <w:bCs/>
          <w:sz w:val="24"/>
          <w:szCs w:val="24"/>
        </w:rPr>
        <w:t xml:space="preserve">Điều 13. Khai báo, sơ cứu, cấp cứu</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Khi xảy ra tai nạn lao động, sự cố: người phát hiện báo ngay người quản lý trực tiếp; tổ chức sơ cứu, cấp cứu và đưa nạn nhân đến cơ sở y tế.</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Giữ nguyên hiện trường vụ tai nạn lao động chết người, tai nạn nặng, trừ trường hợp cấp cứu nạn nhân hoặc ngăn ngừa nguy cơ tiếp diễn.</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Khai báo tai nạn lao động, sự cố kỹ thuật gây mất an toàn với cơ quan có thẩm quyền theo quy định.</w:t>
      </w:r>
    </w:p>
    <w:p>
      <w:pPr>
        <w:spacing w:after="80" w:before="140" w:line="300"/>
      </w:pPr>
      <w:r>
        <w:rPr>
          <w:rFonts w:ascii="Times New Roman" w:cs="Times New Roman" w:eastAsia="Times New Roman" w:hAnsi="Times New Roman"/>
          <w:b/>
          <w:bCs/>
          <w:sz w:val="24"/>
          <w:szCs w:val="24"/>
        </w:rPr>
        <w:t xml:space="preserve">Điều 14. Điều tra, thống kê, báo cáo</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Công ty thành lập đoàn điều tra tai nạn lao động theo quy định; thống kê, lập hồ sơ và báo cáo định kỳ về công tác ATVSLĐ và tình hình tai nạn lao động.</w:t>
      </w:r>
    </w:p>
    <w:p>
      <w:pPr>
        <w:spacing w:after="80" w:before="140" w:line="300"/>
      </w:pPr>
      <w:r>
        <w:rPr>
          <w:rFonts w:ascii="Times New Roman" w:cs="Times New Roman" w:eastAsia="Times New Roman" w:hAnsi="Times New Roman"/>
          <w:b/>
          <w:bCs/>
          <w:sz w:val="24"/>
          <w:szCs w:val="24"/>
        </w:rPr>
        <w:t xml:space="preserve">Điều 15. Chế độ đối với người bị tai nạn lao động, bệnh nghề nghiệp</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Người lao động bị tai nạn lao động, bệnh nghề nghiệp được hưởng đầy đủ chế độ theo Luật An toàn, vệ sinh lao động và pháp luật về bảo hiểm xã hội; Công ty chịu trách nhiệm bồi thường, trợ cấp theo quy định.</w:t>
      </w:r>
    </w:p>
    <w:p>
      <w:pPr>
        <w:spacing w:after="140" w:before="260"/>
        <w:jc w:val="center"/>
      </w:pPr>
      <w:r>
        <w:rPr>
          <w:rFonts w:ascii="Times New Roman" w:cs="Times New Roman" w:eastAsia="Times New Roman" w:hAnsi="Times New Roman"/>
          <w:b/>
          <w:bCs/>
          <w:sz w:val="26"/>
          <w:szCs w:val="26"/>
        </w:rPr>
        <w:t xml:space="preserve">CHƯƠNG VI — KIỂM TRA, XỬ LÝ VI PHẠM VÀ ĐIỀU KHOẢN THI HÀNH</w:t>
      </w:r>
    </w:p>
    <w:p>
      <w:pPr>
        <w:spacing w:after="80" w:before="140" w:line="300"/>
      </w:pPr>
      <w:r>
        <w:rPr>
          <w:rFonts w:ascii="Times New Roman" w:cs="Times New Roman" w:eastAsia="Times New Roman" w:hAnsi="Times New Roman"/>
          <w:b/>
          <w:bCs/>
          <w:sz w:val="24"/>
          <w:szCs w:val="24"/>
        </w:rPr>
        <w:t xml:space="preserve">Điều 16. Kiểm tra, khen thưởng và xử lý vi phạm</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Công ty tổ chức tự kiểm tra ATVSLĐ định kỳ và đột xuất.</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Khen thưởng tập thể, cá nhân có thành tích trong công tác ATVSLĐ.</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Người vi phạm quy định ATVSLĐ bị xử lý kỷ luật theo Nội quy lao động; trường hợp gây hậu quả nghiêm trọng bị xử lý theo quy định của pháp luật.</w:t>
      </w:r>
    </w:p>
    <w:p>
      <w:pPr>
        <w:spacing w:after="80" w:before="140" w:line="300"/>
      </w:pPr>
      <w:r>
        <w:rPr>
          <w:rFonts w:ascii="Times New Roman" w:cs="Times New Roman" w:eastAsia="Times New Roman" w:hAnsi="Times New Roman"/>
          <w:b/>
          <w:bCs/>
          <w:sz w:val="24"/>
          <w:szCs w:val="24"/>
        </w:rPr>
        <w:t xml:space="preserve">Điều 17. Hiệu lực thi hành</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Quy chế này có hiệu lực kể từ ngày ký, được niêm yết công khai và phổ biến đến toàn thể người lao động.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Bộ phận phụ trách ATVSLĐ chịu trách nhiệm hướng dẫn, kiểm tra thực hiện; mọi sửa đổi, bổ sung do Giám đốc quyết định.</w:t>
      </w:r>
    </w:p>
    <w:p>
      <w:pPr>
        <w:spacing w:before="400"/>
      </w:pPr>
      <w:r>
        <w:rPr>
          <w:rFonts w:ascii="Times New Roman" w:cs="Times New Roman" w:eastAsia="Times New Roman" w:hAnsi="Times New Roman"/>
        </w:rPr>
        <w:t xml:space="preserve"/>
      </w:r>
    </w:p>
    <w:tbl>
      <w:tblPr>
        <w:tblW w:type="auto" w:w="100"/>
        <w:tblBorders>
          <w:top w:val="none"/>
          <w:left w:val="none"/>
          <w:bottom w:val="none"/>
          <w:right w:val="none"/>
          <w:insideH w:val="none"/>
          <w:insideV w:val="none"/>
        </w:tblBorders>
      </w:tblPr>
      <w:tblGrid>
        <w:gridCol w:w="9600"/>
      </w:tblGrid>
      <w:tr>
        <w:tc>
          <w:tcPr>
            <w:tcW w:type="dxa" w:w="9600"/>
            <w:tcBorders>
              <w:top w:val="none"/>
              <w:left w:val="none"/>
              <w:bottom w:val="none"/>
              <w:right w:val="none"/>
            </w:tcBorders>
          </w:tcPr>
          <w:p>
            <w:pPr>
              <w:jc w:val="right"/>
            </w:pPr>
            <w:r>
              <w:rPr>
                <w:rFonts w:ascii="Times New Roman" w:cs="Times New Roman" w:eastAsia="Times New Roman" w:hAnsi="Times New Roman"/>
                <w:b/>
                <w:bCs/>
                <w:sz w:val="24"/>
                <w:szCs w:val="24"/>
              </w:rPr>
              <w:t xml:space="preserve">GIÁM ĐỐC</w:t>
            </w:r>
          </w:p>
          <w:p>
            <w:pPr>
              <w:spacing w:after="900"/>
              <w:jc w:val="right"/>
            </w:pPr>
            <w:r>
              <w:rPr>
                <w:rFonts w:ascii="Times New Roman" w:cs="Times New Roman" w:eastAsia="Times New Roman" w:hAnsi="Times New Roman"/>
                <w:i/>
                <w:iCs/>
                <w:sz w:val="22"/>
                <w:szCs w:val="22"/>
              </w:rPr>
              <w:t xml:space="preserve">(Ký tên, đóng dấu)</w:t>
            </w:r>
          </w:p>
          <w:p>
            <w:pPr>
              <w:jc w:val="right"/>
            </w:pPr>
            <w:r>
              <w:rPr>
                <w:rFonts w:ascii="Times New Roman" w:cs="Times New Roman" w:eastAsia="Times New Roman" w:hAnsi="Times New Roman"/>
                <w:b/>
                <w:bCs/>
                <w:sz w:val="24"/>
                <w:szCs w:val="24"/>
              </w:rPr>
              <w:t xml:space="preserve">NGUYỄN LÊ HIẾU</w:t>
            </w:r>
          </w:p>
        </w:tc>
      </w:tr>
    </w:tbl>
    <w:p>
      <w:r>
        <w:br w:type="page"/>
      </w:r>
    </w:p>
    <w:p>
      <w:pPr>
        <w:spacing w:after="0"/>
        <w:jc w:val="center"/>
      </w:pPr>
      <w:r>
        <w:rPr>
          <w:rFonts w:ascii="Times New Roman" w:cs="Times New Roman" w:eastAsia="Times New Roman" w:hAnsi="Times New Roman"/>
          <w:b/>
          <w:bCs/>
          <w:sz w:val="24"/>
          <w:szCs w:val="24"/>
        </w:rPr>
        <w:t xml:space="preserve">CÔNG TY TNHH GIẢI PHÁP KỸ THUẬT SÓNG VIỆT</w:t>
      </w:r>
    </w:p>
    <w:p>
      <w:pPr>
        <w:spacing w:after="60"/>
        <w:jc w:val="center"/>
      </w:pPr>
      <w:r>
        <w:rPr>
          <w:rFonts w:ascii="Times New Roman" w:cs="Times New Roman" w:eastAsia="Times New Roman" w:hAnsi="Times New Roman"/>
          <w:sz w:val="24"/>
          <w:szCs w:val="24"/>
        </w:rPr>
        <w:t xml:space="preserve">Số: ......../2026/BVDLCN-SV</w:t>
      </w:r>
    </w:p>
    <w:p>
      <w:pPr>
        <w:spacing w:after="0"/>
        <w:jc w:val="center"/>
      </w:pPr>
      <w:r>
        <w:rPr>
          <w:rFonts w:ascii="Times New Roman" w:cs="Times New Roman" w:eastAsia="Times New Roman" w:hAnsi="Times New Roman"/>
          <w:b/>
          <w:bCs/>
          <w:sz w:val="24"/>
          <w:szCs w:val="24"/>
        </w:rPr>
        <w:t xml:space="preserve">CỘNG HÒA XÃ HỘI CHỦ NGHĨA VIỆT NAM</w:t>
      </w:r>
    </w:p>
    <w:p>
      <w:pPr>
        <w:spacing w:after="240"/>
        <w:jc w:val="center"/>
      </w:pPr>
      <w:r>
        <w:rPr>
          <w:rFonts w:ascii="Times New Roman" w:cs="Times New Roman" w:eastAsia="Times New Roman" w:hAnsi="Times New Roman"/>
          <w:b/>
          <w:bCs/>
          <w:sz w:val="24"/>
          <w:szCs w:val="24"/>
        </w:rPr>
        <w:t xml:space="preserve">Độc lập – Tự do – Hạnh phúc</w:t>
      </w:r>
    </w:p>
    <w:p>
      <w:pPr>
        <w:spacing w:after="60"/>
        <w:jc w:val="center"/>
      </w:pPr>
      <w:r>
        <w:rPr>
          <w:rFonts w:ascii="Times New Roman" w:cs="Times New Roman" w:eastAsia="Times New Roman" w:hAnsi="Times New Roman"/>
          <w:b/>
          <w:bCs/>
          <w:sz w:val="30"/>
          <w:szCs w:val="30"/>
        </w:rPr>
        <w:t xml:space="preserve">CHÍNH SÁCH BẢO VỆ DỮ LIỆU CÁ NHÂN</w:t>
      </w:r>
    </w:p>
    <w:p>
      <w:pPr>
        <w:spacing w:after="240"/>
        <w:jc w:val="center"/>
      </w:pPr>
      <w:r>
        <w:rPr>
          <w:rFonts w:ascii="Times New Roman" w:cs="Times New Roman" w:eastAsia="Times New Roman" w:hAnsi="Times New Roman"/>
          <w:i/>
          <w:iCs/>
          <w:sz w:val="22"/>
          <w:szCs w:val="22"/>
        </w:rPr>
        <w:t xml:space="preserve">(Ban hành kèm theo Quyết định số ......../2026/QĐ-SV ngày ...... tháng ...... năm 2026 của Giám đốc Công ty TNHH Giải pháp Kỹ thuật Sóng Việt)</w:t>
      </w:r>
    </w:p>
    <w:p>
      <w:pPr>
        <w:spacing w:after="100" w:line="300"/>
        <w:jc w:val="both"/>
      </w:pPr>
      <w:r>
        <w:rPr>
          <w:rFonts w:ascii="Times New Roman" w:cs="Times New Roman" w:eastAsia="Times New Roman" w:hAnsi="Times New Roman"/>
          <w:b w:val="false"/>
          <w:bCs w:val="false"/>
          <w:i w:val="false"/>
          <w:iCs w:val="false"/>
          <w:sz w:val="24"/>
          <w:szCs w:val="24"/>
        </w:rPr>
        <w:t xml:space="preserve">- Căn cứ Nghị định số 13/2023/NĐ-CP ngày 17/4/2023 của Chính phủ về bảo vệ dữ liệu cá nhân;</w:t>
      </w:r>
    </w:p>
    <w:p>
      <w:pPr>
        <w:spacing w:after="100" w:line="300"/>
        <w:jc w:val="both"/>
      </w:pPr>
      <w:r>
        <w:rPr>
          <w:rFonts w:ascii="Times New Roman" w:cs="Times New Roman" w:eastAsia="Times New Roman" w:hAnsi="Times New Roman"/>
          <w:b w:val="false"/>
          <w:bCs w:val="false"/>
          <w:i w:val="false"/>
          <w:iCs w:val="false"/>
          <w:sz w:val="24"/>
          <w:szCs w:val="24"/>
        </w:rPr>
        <w:t xml:space="preserve">- Căn cứ Bộ luật Lao động số 45/2019/QH14 và các quy định pháp luật có liên quan;</w:t>
      </w:r>
    </w:p>
    <w:p>
      <w:pPr>
        <w:spacing w:after="100" w:line="300"/>
        <w:jc w:val="both"/>
      </w:pPr>
      <w:r>
        <w:rPr>
          <w:rFonts w:ascii="Times New Roman" w:cs="Times New Roman" w:eastAsia="Times New Roman" w:hAnsi="Times New Roman"/>
          <w:b w:val="false"/>
          <w:bCs w:val="false"/>
          <w:i w:val="false"/>
          <w:iCs w:val="false"/>
          <w:sz w:val="24"/>
          <w:szCs w:val="24"/>
        </w:rPr>
        <w:t xml:space="preserve">- Nhằm bảo vệ dữ liệu cá nhân của người lao động, khách hàng, nhà cung cấp và đối tác mà Công ty xử lý,</w:t>
      </w:r>
    </w:p>
    <w:p>
      <w:pPr>
        <w:spacing w:after="100" w:line="300"/>
        <w:jc w:val="both"/>
      </w:pPr>
      <w:r>
        <w:rPr>
          <w:rFonts w:ascii="Times New Roman" w:cs="Times New Roman" w:eastAsia="Times New Roman" w:hAnsi="Times New Roman"/>
          <w:b/>
          <w:bCs/>
          <w:i w:val="false"/>
          <w:iCs w:val="false"/>
          <w:sz w:val="24"/>
          <w:szCs w:val="24"/>
        </w:rPr>
        <w:t xml:space="preserve">Giám đốc Công ty ban hành Chính sách bảo vệ dữ liệu cá nhân như sau:</w:t>
      </w:r>
    </w:p>
    <w:p>
      <w:pPr>
        <w:spacing w:after="140" w:before="260"/>
        <w:jc w:val="center"/>
      </w:pPr>
      <w:r>
        <w:rPr>
          <w:rFonts w:ascii="Times New Roman" w:cs="Times New Roman" w:eastAsia="Times New Roman" w:hAnsi="Times New Roman"/>
          <w:b/>
          <w:bCs/>
          <w:sz w:val="26"/>
          <w:szCs w:val="26"/>
        </w:rPr>
        <w:t xml:space="preserve">CHƯƠNG I — QUY ĐỊNH CHUNG</w:t>
      </w:r>
    </w:p>
    <w:p>
      <w:pPr>
        <w:spacing w:after="80" w:before="140" w:line="300"/>
      </w:pPr>
      <w:r>
        <w:rPr>
          <w:rFonts w:ascii="Times New Roman" w:cs="Times New Roman" w:eastAsia="Times New Roman" w:hAnsi="Times New Roman"/>
          <w:b/>
          <w:bCs/>
          <w:sz w:val="24"/>
          <w:szCs w:val="24"/>
        </w:rPr>
        <w:t xml:space="preserve">Điều 1. Phạm vi và đối tượng áp dụng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Chính sách này quy định nguyên tắc, trách nhiệm và biện pháp bảo vệ dữ liệu cá nhân trong quá trình Công ty thu thập, xử lý dữ liệu cá nhân.</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Áp dụng đối với toàn bộ người lao động của Công ty và mọi hoạt động xử lý dữ liệu cá nhân của người lao động, khách hàng, nhà cung cấp, đối tác trên Hệ thống và các phương tiện khác của Công ty.</w:t>
      </w:r>
    </w:p>
    <w:p>
      <w:pPr>
        <w:spacing w:after="80" w:before="140" w:line="300"/>
      </w:pPr>
      <w:r>
        <w:rPr>
          <w:rFonts w:ascii="Times New Roman" w:cs="Times New Roman" w:eastAsia="Times New Roman" w:hAnsi="Times New Roman"/>
          <w:b/>
          <w:bCs/>
          <w:sz w:val="24"/>
          <w:szCs w:val="24"/>
        </w:rPr>
        <w:t xml:space="preserve">Điều 2. Giải thích từ ngữ</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“Dữ liệu cá nhân” là thông tin dưới dạng ký hiệu, chữ viết, chữ số, hình ảnh, âm thanh hoặc dạng tương tự gắn liền với một con người cụ thể hoặc giúp xác định một con người cụ thể, gồm dữ liệu cá nhân cơ bản và dữ liệu cá nhân nhạy cảm.</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“Chủ thể dữ liệu” là cá nhân được dữ liệu cá nhân phản ánh.</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“Xử lý dữ liệu cá nhân” là một hoặc nhiều hoạt động tác động tới dữ liệu cá nhân: thu thập, ghi, phân tích, lưu trữ, chỉnh sửa, công khai, kết hợp, truy cập, truy xuất, sao chép, chuyển giao, xóa, hủy dữ liệu hoặc các hành động khác có liên quan.</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4. “Sự đồng ý” là việc chủ thể dữ liệu bày tỏ rõ ràng, tự nguyện, khẳng định việc cho phép xử lý dữ liệu cá nhân của mình.</w:t>
      </w:r>
    </w:p>
    <w:p>
      <w:pPr>
        <w:spacing w:after="80" w:before="140" w:line="300"/>
      </w:pPr>
      <w:r>
        <w:rPr>
          <w:rFonts w:ascii="Times New Roman" w:cs="Times New Roman" w:eastAsia="Times New Roman" w:hAnsi="Times New Roman"/>
          <w:b/>
          <w:bCs/>
          <w:sz w:val="24"/>
          <w:szCs w:val="24"/>
        </w:rPr>
        <w:t xml:space="preserve">Điều 3. Nguyên tắc bảo vệ dữ liệu cá nhân</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1. Hợp pháp: dữ liệu cá nhân chỉ được xử lý đúng quy định của pháp luật;</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2. Minh bạch: chủ thể dữ liệu được biết về hoạt động liên quan đến xử lý dữ liệu của mình;</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3. Đúng mục đích: chỉ xử lý đúng mục đích đã đăng ký, tuyên bố;</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4. Hạn chế: phù hợp, liên quan và giới hạn trong phạm vi mục đích cần xử lý;</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5. Chính xác và cập nhật;</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6. Bảo mật: được bảo vệ trong quá trình xử lý, chống lại hành vi vi phạm quy định về bảo vệ dữ liệu cá nhân;</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7. Lưu trữ có thời hạn: chỉ lưu trong thời gian phù hợp với mục đích xử lý;</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8. Trách nhiệm giải trình: tuân thủ và chứng minh sự tuân thủ các nguyên tắc bảo vệ dữ liệu.</w:t>
      </w:r>
    </w:p>
    <w:p>
      <w:pPr>
        <w:spacing w:after="140" w:before="260"/>
        <w:jc w:val="center"/>
      </w:pPr>
      <w:r>
        <w:rPr>
          <w:rFonts w:ascii="Times New Roman" w:cs="Times New Roman" w:eastAsia="Times New Roman" w:hAnsi="Times New Roman"/>
          <w:b/>
          <w:bCs/>
          <w:sz w:val="26"/>
          <w:szCs w:val="26"/>
        </w:rPr>
        <w:t xml:space="preserve">CHƯƠNG II — XỬ LÝ DỮ LIỆU CÁ NHÂN</w:t>
      </w:r>
    </w:p>
    <w:p>
      <w:pPr>
        <w:spacing w:after="80" w:before="140" w:line="300"/>
      </w:pPr>
      <w:r>
        <w:rPr>
          <w:rFonts w:ascii="Times New Roman" w:cs="Times New Roman" w:eastAsia="Times New Roman" w:hAnsi="Times New Roman"/>
          <w:b/>
          <w:bCs/>
          <w:sz w:val="24"/>
          <w:szCs w:val="24"/>
        </w:rPr>
        <w:t xml:space="preserve">Điều 4. Loại dữ liệu và mục đích xử lý</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Công ty thu thập, xử lý dữ liệu cá nhân phục vụ các mục đích:</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a) Dữ liệu người lao động (họ tên, ngày sinh, CCCD, địa chỉ, số điện thoại, tài khoản ngân hàng, thông tin bảo hiểm, sức khỏe, lương): quản lý nhân sự, chấm công, trả lương, đóng bảo hiểm, thực hiện chế độ và nghĩa vụ theo hợp đồng lao động và pháp luật;</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b) Dữ liệu khách hàng, người liên hệ (họ tên, chức vụ, email, số điện thoại): giao dịch bán hàng, chăm sóc khách hàng, thực hiện hợp đồng;</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c) Dữ liệu nhà cung cấp, đối tác: giao dịch mua hàng, quản lý cung ứng, thanh toán.</w:t>
      </w:r>
    </w:p>
    <w:p>
      <w:pPr>
        <w:spacing w:after="80" w:before="140" w:line="300"/>
      </w:pPr>
      <w:r>
        <w:rPr>
          <w:rFonts w:ascii="Times New Roman" w:cs="Times New Roman" w:eastAsia="Times New Roman" w:hAnsi="Times New Roman"/>
          <w:b/>
          <w:bCs/>
          <w:sz w:val="24"/>
          <w:szCs w:val="24"/>
        </w:rPr>
        <w:t xml:space="preserve">Điều 5. Sự đồng ý và căn cứ pháp lý</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Việc xử lý dữ liệu cá nhân phải có sự đồng ý của chủ thể dữ liệu, trừ các trường hợp pháp luật cho phép không cần sự đồng ý.</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Đối với dữ liệu người lao động, Công ty thông báo mục đích, phạm vi xử lý và lấy sự đồng ý khi giao kết hợp đồng lao động; việc xử lý để thực hiện hợp đồng và nghĩa vụ pháp luật được thực hiện theo quy định.</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Sự đồng ý phải được thể hiện rõ ràng, có thể kiểm chứng và được lưu trữ.</w:t>
      </w:r>
    </w:p>
    <w:p>
      <w:pPr>
        <w:spacing w:after="80" w:before="140" w:line="300"/>
      </w:pPr>
      <w:r>
        <w:rPr>
          <w:rFonts w:ascii="Times New Roman" w:cs="Times New Roman" w:eastAsia="Times New Roman" w:hAnsi="Times New Roman"/>
          <w:b/>
          <w:bCs/>
          <w:sz w:val="24"/>
          <w:szCs w:val="24"/>
        </w:rPr>
        <w:t xml:space="preserve">Điều 6. Quyền của chủ thể dữ liệu</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Chủ thể dữ liệu có các quyền theo Nghị định 13/2023/NĐ-CP: quyền được biết; quyền đồng ý; quyền truy cập; quyền rút lại sự đồng ý; quyền xóa dữ liệu; quyền hạn chế xử lý; quyền cung cấp dữ liệu; quyền phản đối xử lý; quyền khiếu nại, tố cáo, khởi kiện; quyền yêu cầu bồi thường thiệt hại; quyền tự bảo vệ.</w:t>
      </w:r>
    </w:p>
    <w:p>
      <w:pPr>
        <w:spacing w:after="80" w:before="140" w:line="300"/>
      </w:pPr>
      <w:r>
        <w:rPr>
          <w:rFonts w:ascii="Times New Roman" w:cs="Times New Roman" w:eastAsia="Times New Roman" w:hAnsi="Times New Roman"/>
          <w:b/>
          <w:bCs/>
          <w:sz w:val="24"/>
          <w:szCs w:val="24"/>
        </w:rPr>
        <w:t xml:space="preserve">Điều 7. Chuyển giao và bên thứ ba</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Công ty chỉ chuyển giao dữ liệu cá nhân cho bên thứ ba (cơ quan bảo hiểm, ngân hàng, cơ quan nhà nước, nhà cung cấp dịch vụ công nghệ thông tin/lưu trữ) khi cần thiết để thực hiện mục đích đã thông báo hoặc theo yêu cầu của pháp luật.</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Trường hợp chuyển dữ liệu cá nhân ra nước ngoài (ví dụ sử dụng dịch vụ lưu trữ đám mây, dịch vụ trí tuệ nhân tạo), Công ty thực hiện lập và lưu hồ sơ đánh giá tác động chuyển dữ liệu cá nhân ra nước ngoài theo quy định và áp dụng biện pháp bảo vệ phù hợp.</w:t>
      </w:r>
    </w:p>
    <w:p>
      <w:pPr>
        <w:spacing w:after="140" w:before="260"/>
        <w:jc w:val="center"/>
      </w:pPr>
      <w:r>
        <w:rPr>
          <w:rFonts w:ascii="Times New Roman" w:cs="Times New Roman" w:eastAsia="Times New Roman" w:hAnsi="Times New Roman"/>
          <w:b/>
          <w:bCs/>
          <w:sz w:val="26"/>
          <w:szCs w:val="26"/>
        </w:rPr>
        <w:t xml:space="preserve">CHƯƠNG III — BIỆN PHÁP BẢO VỆ VÀ TRÁCH NHIỆM</w:t>
      </w:r>
    </w:p>
    <w:p>
      <w:pPr>
        <w:spacing w:after="80" w:before="140" w:line="300"/>
      </w:pPr>
      <w:r>
        <w:rPr>
          <w:rFonts w:ascii="Times New Roman" w:cs="Times New Roman" w:eastAsia="Times New Roman" w:hAnsi="Times New Roman"/>
          <w:b/>
          <w:bCs/>
          <w:sz w:val="24"/>
          <w:szCs w:val="24"/>
        </w:rPr>
        <w:t xml:space="preserve">Điều 8. Biện pháp bảo vệ dữ liệu</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1. Quản lý truy cập theo vai trò trên Hệ thống; mỗi người dùng một tài khoản, phân quyền tối thiểu cần thiết;</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2. Bảo mật mật khẩu, khóa/API; không chia sẻ tài khoản; ghi nhật ký thao tác (audit);</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3. Sao lưu dữ liệu định kỳ; mã hóa hoặc bảo vệ dữ liệu nhạy cảm khi lưu trữ, truyền tải;</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4. Lưu chứng từ, tài liệu tại Kho tệp dùng chung trên máy chủ; không lưu trữ dữ liệu cá nhân trên thiết bị cá nhân không được kiểm soát;</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5. Ký cam kết bảo mật đối với người lao động tiếp cận dữ liệu cá nhân.</w:t>
      </w:r>
    </w:p>
    <w:p>
      <w:pPr>
        <w:spacing w:after="80" w:before="140" w:line="300"/>
      </w:pPr>
      <w:r>
        <w:rPr>
          <w:rFonts w:ascii="Times New Roman" w:cs="Times New Roman" w:eastAsia="Times New Roman" w:hAnsi="Times New Roman"/>
          <w:b/>
          <w:bCs/>
          <w:sz w:val="24"/>
          <w:szCs w:val="24"/>
        </w:rPr>
        <w:t xml:space="preserve">Điều 9. Xử lý sự cố lộ, lọt dữ liệu</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Khi phát hiện vi phạm quy định về bảo vệ dữ liệu cá nhân, người lao động báo ngay cho Quản trị hệ thống và Giám đốc.</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Công ty thông báo cho cơ quan chuyên trách bảo vệ dữ liệu cá nhân (Bộ Công an) chậm nhất 72 giờ sau khi xảy ra hành vi vi phạm theo quy định; thực hiện biện pháp khắc phục và thông báo cho chủ thể dữ liệu khi cần thiết.</w:t>
      </w:r>
    </w:p>
    <w:p>
      <w:pPr>
        <w:spacing w:after="80" w:before="140" w:line="300"/>
      </w:pPr>
      <w:r>
        <w:rPr>
          <w:rFonts w:ascii="Times New Roman" w:cs="Times New Roman" w:eastAsia="Times New Roman" w:hAnsi="Times New Roman"/>
          <w:b/>
          <w:bCs/>
          <w:sz w:val="24"/>
          <w:szCs w:val="24"/>
        </w:rPr>
        <w:t xml:space="preserve">Điều 10. Thời hạn lưu trữ</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Dữ liệu cá nhân được lưu trữ trong thời gian phù hợp với mục đích xử lý và theo quy định của pháp luật (hồ sơ lao động, kế toán, thuế, bảo hiểm); khi hết thời hạn hoặc mục đích xử lý đã hoàn thành, dữ liệu được xóa hoặc hủy theo quy định, trừ trường hợp pháp luật yêu cầu lưu giữ.</w:t>
      </w:r>
    </w:p>
    <w:p>
      <w:pPr>
        <w:spacing w:after="80" w:before="140" w:line="300"/>
      </w:pPr>
      <w:r>
        <w:rPr>
          <w:rFonts w:ascii="Times New Roman" w:cs="Times New Roman" w:eastAsia="Times New Roman" w:hAnsi="Times New Roman"/>
          <w:b/>
          <w:bCs/>
          <w:sz w:val="24"/>
          <w:szCs w:val="24"/>
        </w:rPr>
        <w:t xml:space="preserve">Điều 11. Trách nhiệm và xử lý vi phạm</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Quản trị hệ thống là đầu mối kỹ thuật bảo vệ dữ liệu; bộ phận Hành chính – Nhân sự quản lý dữ liệu người lao động; các bộ phận nghiệp vụ chịu trách nhiệm về dữ liệu do mình xử lý.</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Người lao động vi phạm chính sách này bị xử lý kỷ luật theo Nội quy lao động; trường hợp gây thiệt hại phải bồi thường và có thể bị xử lý theo quy định của pháp luật.</w:t>
      </w:r>
    </w:p>
    <w:p>
      <w:pPr>
        <w:spacing w:after="80" w:before="140" w:line="300"/>
      </w:pPr>
      <w:r>
        <w:rPr>
          <w:rFonts w:ascii="Times New Roman" w:cs="Times New Roman" w:eastAsia="Times New Roman" w:hAnsi="Times New Roman"/>
          <w:b/>
          <w:bCs/>
          <w:sz w:val="24"/>
          <w:szCs w:val="24"/>
        </w:rPr>
        <w:t xml:space="preserve">Điều 12. Hiệu lực thi hành</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Chính sách này có hiệu lực kể từ ngày ký và được phổ biến đến toàn thể người lao động.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Mọi sửa đổi, bổ sung do Giám đốc quyết định phù hợp với thay đổi của pháp luật.</w:t>
      </w:r>
    </w:p>
    <w:p>
      <w:pPr>
        <w:spacing w:before="400"/>
      </w:pPr>
      <w:r>
        <w:rPr>
          <w:rFonts w:ascii="Times New Roman" w:cs="Times New Roman" w:eastAsia="Times New Roman" w:hAnsi="Times New Roman"/>
        </w:rPr>
        <w:t xml:space="preserve"/>
      </w:r>
    </w:p>
    <w:tbl>
      <w:tblPr>
        <w:tblW w:type="auto" w:w="100"/>
        <w:tblBorders>
          <w:top w:val="none"/>
          <w:left w:val="none"/>
          <w:bottom w:val="none"/>
          <w:right w:val="none"/>
          <w:insideH w:val="none"/>
          <w:insideV w:val="none"/>
        </w:tblBorders>
      </w:tblPr>
      <w:tblGrid>
        <w:gridCol w:w="9600"/>
      </w:tblGrid>
      <w:tr>
        <w:tc>
          <w:tcPr>
            <w:tcW w:type="dxa" w:w="9600"/>
            <w:tcBorders>
              <w:top w:val="none"/>
              <w:left w:val="none"/>
              <w:bottom w:val="none"/>
              <w:right w:val="none"/>
            </w:tcBorders>
          </w:tcPr>
          <w:p>
            <w:pPr>
              <w:jc w:val="right"/>
            </w:pPr>
            <w:r>
              <w:rPr>
                <w:rFonts w:ascii="Times New Roman" w:cs="Times New Roman" w:eastAsia="Times New Roman" w:hAnsi="Times New Roman"/>
                <w:b/>
                <w:bCs/>
                <w:sz w:val="24"/>
                <w:szCs w:val="24"/>
              </w:rPr>
              <w:t xml:space="preserve">GIÁM ĐỐC</w:t>
            </w:r>
          </w:p>
          <w:p>
            <w:pPr>
              <w:spacing w:after="900"/>
              <w:jc w:val="right"/>
            </w:pPr>
            <w:r>
              <w:rPr>
                <w:rFonts w:ascii="Times New Roman" w:cs="Times New Roman" w:eastAsia="Times New Roman" w:hAnsi="Times New Roman"/>
                <w:i/>
                <w:iCs/>
                <w:sz w:val="22"/>
                <w:szCs w:val="22"/>
              </w:rPr>
              <w:t xml:space="preserve">(Ký tên, đóng dấu)</w:t>
            </w:r>
          </w:p>
          <w:p>
            <w:pPr>
              <w:jc w:val="right"/>
            </w:pPr>
            <w:r>
              <w:rPr>
                <w:rFonts w:ascii="Times New Roman" w:cs="Times New Roman" w:eastAsia="Times New Roman" w:hAnsi="Times New Roman"/>
                <w:b/>
                <w:bCs/>
                <w:sz w:val="24"/>
                <w:szCs w:val="24"/>
              </w:rPr>
              <w:t xml:space="preserve">NGUYỄN LÊ HIẾU</w:t>
            </w:r>
          </w:p>
        </w:tc>
      </w:tr>
    </w:tbl>
    <w:p>
      <w:r>
        <w:br w:type="page"/>
      </w:r>
    </w:p>
    <w:p>
      <w:pPr>
        <w:spacing w:after="0"/>
        <w:jc w:val="center"/>
      </w:pPr>
      <w:r>
        <w:rPr>
          <w:rFonts w:ascii="Times New Roman" w:cs="Times New Roman" w:eastAsia="Times New Roman" w:hAnsi="Times New Roman"/>
          <w:b/>
          <w:bCs/>
          <w:sz w:val="24"/>
          <w:szCs w:val="24"/>
        </w:rPr>
        <w:t xml:space="preserve">CÔNG TY TNHH GIẢI PHÁP KỸ THUẬT SÓNG VIỆT</w:t>
      </w:r>
    </w:p>
    <w:p>
      <w:pPr>
        <w:spacing w:after="60"/>
        <w:jc w:val="center"/>
      </w:pPr>
      <w:r>
        <w:rPr>
          <w:rFonts w:ascii="Times New Roman" w:cs="Times New Roman" w:eastAsia="Times New Roman" w:hAnsi="Times New Roman"/>
          <w:sz w:val="24"/>
          <w:szCs w:val="24"/>
        </w:rPr>
        <w:t xml:space="preserve">Số: ......../2026/CTP-SV</w:t>
      </w:r>
    </w:p>
    <w:p>
      <w:pPr>
        <w:spacing w:after="0"/>
        <w:jc w:val="center"/>
      </w:pPr>
      <w:r>
        <w:rPr>
          <w:rFonts w:ascii="Times New Roman" w:cs="Times New Roman" w:eastAsia="Times New Roman" w:hAnsi="Times New Roman"/>
          <w:b/>
          <w:bCs/>
          <w:sz w:val="24"/>
          <w:szCs w:val="24"/>
        </w:rPr>
        <w:t xml:space="preserve">CỘNG HÒA XÃ HỘI CHỦ NGHĨA VIỆT NAM</w:t>
      </w:r>
    </w:p>
    <w:p>
      <w:pPr>
        <w:spacing w:after="240"/>
        <w:jc w:val="center"/>
      </w:pPr>
      <w:r>
        <w:rPr>
          <w:rFonts w:ascii="Times New Roman" w:cs="Times New Roman" w:eastAsia="Times New Roman" w:hAnsi="Times New Roman"/>
          <w:b/>
          <w:bCs/>
          <w:sz w:val="24"/>
          <w:szCs w:val="24"/>
        </w:rPr>
        <w:t xml:space="preserve">Độc lập – Tự do – Hạnh phúc</w:t>
      </w:r>
    </w:p>
    <w:p>
      <w:pPr>
        <w:spacing w:after="60"/>
        <w:jc w:val="center"/>
      </w:pPr>
      <w:r>
        <w:rPr>
          <w:rFonts w:ascii="Times New Roman" w:cs="Times New Roman" w:eastAsia="Times New Roman" w:hAnsi="Times New Roman"/>
          <w:b/>
          <w:bCs/>
          <w:sz w:val="30"/>
          <w:szCs w:val="30"/>
        </w:rPr>
        <w:t xml:space="preserve">QUY CHẾ CÔNG TÁC PHÍ VÀ ĐI CÔNG TRƯỜNG</w:t>
      </w:r>
    </w:p>
    <w:p>
      <w:pPr>
        <w:spacing w:after="240"/>
        <w:jc w:val="center"/>
      </w:pPr>
      <w:r>
        <w:rPr>
          <w:rFonts w:ascii="Times New Roman" w:cs="Times New Roman" w:eastAsia="Times New Roman" w:hAnsi="Times New Roman"/>
          <w:i/>
          <w:iCs/>
          <w:sz w:val="22"/>
          <w:szCs w:val="22"/>
        </w:rPr>
        <w:t xml:space="preserve">(Ban hành kèm theo Quyết định số ......../2026/QĐ-SV ngày ...... tháng ...... năm 2026 của Giám đốc Công ty TNHH Giải pháp Kỹ thuật Sóng Việt)</w:t>
      </w:r>
    </w:p>
    <w:p>
      <w:pPr>
        <w:spacing w:after="100" w:line="300"/>
        <w:jc w:val="both"/>
      </w:pPr>
      <w:r>
        <w:rPr>
          <w:rFonts w:ascii="Times New Roman" w:cs="Times New Roman" w:eastAsia="Times New Roman" w:hAnsi="Times New Roman"/>
          <w:b w:val="false"/>
          <w:bCs w:val="false"/>
          <w:i w:val="false"/>
          <w:iCs w:val="false"/>
          <w:sz w:val="24"/>
          <w:szCs w:val="24"/>
        </w:rPr>
        <w:t xml:space="preserve">- Căn cứ Bộ luật Lao động số 45/2019/QH14;</w:t>
      </w:r>
    </w:p>
    <w:p>
      <w:pPr>
        <w:spacing w:after="100" w:line="300"/>
        <w:jc w:val="both"/>
      </w:pPr>
      <w:r>
        <w:rPr>
          <w:rFonts w:ascii="Times New Roman" w:cs="Times New Roman" w:eastAsia="Times New Roman" w:hAnsi="Times New Roman"/>
          <w:b w:val="false"/>
          <w:bCs w:val="false"/>
          <w:i w:val="false"/>
          <w:iCs w:val="false"/>
          <w:sz w:val="24"/>
          <w:szCs w:val="24"/>
        </w:rPr>
        <w:t xml:space="preserve">- Căn cứ đặc thù hoạt động thi công, vận hành, bảo trì hệ thống xử lý nước tại công trường, trạm xử lý của khách hàng;</w:t>
      </w:r>
    </w:p>
    <w:p>
      <w:pPr>
        <w:spacing w:after="100" w:line="300"/>
        <w:jc w:val="both"/>
      </w:pPr>
      <w:r>
        <w:rPr>
          <w:rFonts w:ascii="Times New Roman" w:cs="Times New Roman" w:eastAsia="Times New Roman" w:hAnsi="Times New Roman"/>
          <w:b/>
          <w:bCs/>
          <w:i w:val="false"/>
          <w:iCs w:val="false"/>
          <w:sz w:val="24"/>
          <w:szCs w:val="24"/>
        </w:rPr>
        <w:t xml:space="preserve">Giám đốc Công ty ban hành Quy chế công tác phí và đi công trường như sau:</w:t>
      </w:r>
    </w:p>
    <w:p>
      <w:pPr>
        <w:spacing w:after="140" w:before="260"/>
        <w:jc w:val="center"/>
      </w:pPr>
      <w:r>
        <w:rPr>
          <w:rFonts w:ascii="Times New Roman" w:cs="Times New Roman" w:eastAsia="Times New Roman" w:hAnsi="Times New Roman"/>
          <w:b/>
          <w:bCs/>
          <w:sz w:val="26"/>
          <w:szCs w:val="26"/>
        </w:rPr>
        <w:t xml:space="preserve">CHƯƠNG I — QUY ĐỊNH CHUNG</w:t>
      </w:r>
    </w:p>
    <w:p>
      <w:pPr>
        <w:spacing w:after="80" w:before="140" w:line="300"/>
      </w:pPr>
      <w:r>
        <w:rPr>
          <w:rFonts w:ascii="Times New Roman" w:cs="Times New Roman" w:eastAsia="Times New Roman" w:hAnsi="Times New Roman"/>
          <w:b/>
          <w:bCs/>
          <w:sz w:val="24"/>
          <w:szCs w:val="24"/>
        </w:rPr>
        <w:t xml:space="preserve">Điều 1. Phạm vi và đối tượng áp dụng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Quy chế này quy định điều kiện, mức chi, thủ tục tạm ứng và thanh toán công tác phí đối với người lao động được cử đi công tác, đi công trường ngoài trụ sở, kho, xưởng của Công ty.</w:t>
      </w:r>
    </w:p>
    <w:p>
      <w:pPr>
        <w:spacing w:after="80" w:before="140" w:line="300"/>
      </w:pPr>
      <w:r>
        <w:rPr>
          <w:rFonts w:ascii="Times New Roman" w:cs="Times New Roman" w:eastAsia="Times New Roman" w:hAnsi="Times New Roman"/>
          <w:b/>
          <w:bCs/>
          <w:sz w:val="24"/>
          <w:szCs w:val="24"/>
        </w:rPr>
        <w:t xml:space="preserve">Điều 2. Giải thích</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“Đi công tác” là việc người lao động được cử đi thực hiện nhiệm vụ ngoài địa điểm làm việc thường xuyên theo văn bản/lệnh điều động.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“Công tác phí” gồm: chi phí đi lại, phụ cấp lưu trú, tiền thuê phòng nghỉ và các chi phí phát sinh hợp lý phục vụ công việc.</w:t>
      </w:r>
    </w:p>
    <w:p>
      <w:pPr>
        <w:spacing w:after="80" w:before="140" w:line="300"/>
      </w:pPr>
      <w:r>
        <w:rPr>
          <w:rFonts w:ascii="Times New Roman" w:cs="Times New Roman" w:eastAsia="Times New Roman" w:hAnsi="Times New Roman"/>
          <w:b/>
          <w:bCs/>
          <w:sz w:val="24"/>
          <w:szCs w:val="24"/>
        </w:rPr>
        <w:t xml:space="preserve">Điều 3. Nguyên tắc</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Chi đúng người, đúng việc, tiết kiệm, có chứng từ hợp lệ; ưu tiên đặt vé, phòng nghỉ theo đầu mối của Công ty khi có.</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Người đi công tác chịu trách nhiệm về tính trung thực của chứng từ; nghiêm cấm kê khai khống.</w:t>
      </w:r>
    </w:p>
    <w:p>
      <w:pPr>
        <w:spacing w:after="140" w:before="260"/>
        <w:jc w:val="center"/>
      </w:pPr>
      <w:r>
        <w:rPr>
          <w:rFonts w:ascii="Times New Roman" w:cs="Times New Roman" w:eastAsia="Times New Roman" w:hAnsi="Times New Roman"/>
          <w:b/>
          <w:bCs/>
          <w:sz w:val="26"/>
          <w:szCs w:val="26"/>
        </w:rPr>
        <w:t xml:space="preserve">CHƯƠNG II — MỨC CHI VÀ THANH TOÁN</w:t>
      </w:r>
    </w:p>
    <w:p>
      <w:pPr>
        <w:spacing w:after="80" w:before="140" w:line="300"/>
      </w:pPr>
      <w:r>
        <w:rPr>
          <w:rFonts w:ascii="Times New Roman" w:cs="Times New Roman" w:eastAsia="Times New Roman" w:hAnsi="Times New Roman"/>
          <w:b/>
          <w:bCs/>
          <w:sz w:val="24"/>
          <w:szCs w:val="24"/>
        </w:rPr>
        <w:t xml:space="preserve">Điều 4. Chi phí đi lại</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Thanh toán theo chứng từ thực tế (vé xe, vé máy bay, vé tàu, phí cầu đường, taxi/xe công nghệ phục vụ công việc).</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Trường hợp sử dụng phương tiện cá nhân được Công ty đồng ý, hỗ trợ nhiên liệu theo định mức: ………………… đồng/km hoặc theo thỏa thuận.</w:t>
      </w:r>
    </w:p>
    <w:p>
      <w:pPr>
        <w:spacing w:after="80" w:before="140" w:line="300"/>
      </w:pPr>
      <w:r>
        <w:rPr>
          <w:rFonts w:ascii="Times New Roman" w:cs="Times New Roman" w:eastAsia="Times New Roman" w:hAnsi="Times New Roman"/>
          <w:b/>
          <w:bCs/>
          <w:sz w:val="24"/>
          <w:szCs w:val="24"/>
        </w:rPr>
        <w:t xml:space="preserve">Điều 5. Phụ cấp lưu trú</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Phụ cấp lưu trú (khoán/ngày) áp dụng cho ngày đi công tác xa, tính cả ngày đi và ngày về:</w:t>
      </w:r>
    </w:p>
    <w:p>
      <w:pPr>
        <w:spacing w:after="60" w:line="300"/>
        <w:jc w:val="both"/>
      </w:pPr>
      <w:r>
        <w:rPr>
          <w:rFonts w:ascii="Times New Roman" w:cs="Times New Roman" w:eastAsia="Times New Roman" w:hAnsi="Times New Roman"/>
          <w:b w:val="false"/>
          <w:bCs w:val="false"/>
          <w:i w:val="false"/>
          <w:iCs w:val="false"/>
          <w:sz w:val="24"/>
          <w:szCs w:val="24"/>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800"/>
        <w:gridCol w:w="2400"/>
        <w:gridCol w:w="2400"/>
      </w:tblGrid>
      <w:tr>
        <w:tc>
          <w:tcPr>
            <w:tcW w:type="dxa" w:w="4800"/>
            <w:tcBorders>
              <w:top w:val="single" w:color="888888" w:sz="1"/>
              <w:left w:val="single" w:color="888888" w:sz="1"/>
              <w:bottom w:val="single" w:color="888888" w:sz="1"/>
              <w:right w:val="single" w:color="888888" w:sz="1"/>
            </w:tcBorders>
            <w:shd w:fill="E8EEF2" w:val="clear"/>
            <w:tcMar>
              <w:top w:type="dxa" w:w="60"/>
              <w:left w:type="dxa" w:w="90"/>
              <w:bottom w:type="dxa" w:w="60"/>
              <w:right w:type="dxa" w:w="90"/>
            </w:tcMar>
          </w:tcPr>
          <w:p>
            <w:pPr>
              <w:spacing w:line="260"/>
              <w:jc w:val="center"/>
            </w:pPr>
            <w:r>
              <w:rPr>
                <w:rFonts w:ascii="Times New Roman" w:cs="Times New Roman" w:eastAsia="Times New Roman" w:hAnsi="Times New Roman"/>
                <w:b/>
                <w:bCs/>
                <w:sz w:val="21"/>
                <w:szCs w:val="21"/>
              </w:rPr>
              <w:t xml:space="preserve">Đối tượng</w:t>
            </w:r>
          </w:p>
        </w:tc>
        <w:tc>
          <w:tcPr>
            <w:tcW w:type="dxa" w:w="2400"/>
            <w:tcBorders>
              <w:top w:val="single" w:color="888888" w:sz="1"/>
              <w:left w:val="single" w:color="888888" w:sz="1"/>
              <w:bottom w:val="single" w:color="888888" w:sz="1"/>
              <w:right w:val="single" w:color="888888" w:sz="1"/>
            </w:tcBorders>
            <w:shd w:fill="E8EEF2" w:val="clear"/>
            <w:tcMar>
              <w:top w:type="dxa" w:w="60"/>
              <w:left w:type="dxa" w:w="90"/>
              <w:bottom w:type="dxa" w:w="60"/>
              <w:right w:type="dxa" w:w="90"/>
            </w:tcMar>
          </w:tcPr>
          <w:p>
            <w:pPr>
              <w:spacing w:line="260"/>
              <w:jc w:val="center"/>
            </w:pPr>
            <w:r>
              <w:rPr>
                <w:rFonts w:ascii="Times New Roman" w:cs="Times New Roman" w:eastAsia="Times New Roman" w:hAnsi="Times New Roman"/>
                <w:b/>
                <w:bCs/>
                <w:sz w:val="21"/>
                <w:szCs w:val="21"/>
              </w:rPr>
              <w:t xml:space="preserve">Trong tỉnh/TP</w:t>
            </w:r>
          </w:p>
        </w:tc>
        <w:tc>
          <w:tcPr>
            <w:tcW w:type="dxa" w:w="2400"/>
            <w:tcBorders>
              <w:top w:val="single" w:color="888888" w:sz="1"/>
              <w:left w:val="single" w:color="888888" w:sz="1"/>
              <w:bottom w:val="single" w:color="888888" w:sz="1"/>
              <w:right w:val="single" w:color="888888" w:sz="1"/>
            </w:tcBorders>
            <w:shd w:fill="E8EEF2" w:val="clear"/>
            <w:tcMar>
              <w:top w:type="dxa" w:w="60"/>
              <w:left w:type="dxa" w:w="90"/>
              <w:bottom w:type="dxa" w:w="60"/>
              <w:right w:type="dxa" w:w="90"/>
            </w:tcMar>
          </w:tcPr>
          <w:p>
            <w:pPr>
              <w:spacing w:line="260"/>
              <w:jc w:val="center"/>
            </w:pPr>
            <w:r>
              <w:rPr>
                <w:rFonts w:ascii="Times New Roman" w:cs="Times New Roman" w:eastAsia="Times New Roman" w:hAnsi="Times New Roman"/>
                <w:b/>
                <w:bCs/>
                <w:sz w:val="21"/>
                <w:szCs w:val="21"/>
              </w:rPr>
              <w:t xml:space="preserve">Ngoài tỉnh</w:t>
            </w:r>
          </w:p>
        </w:tc>
      </w:tr>
      <w:tr>
        <w:tc>
          <w:tcPr>
            <w:tcW w:type="dxa" w:w="48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Quản lý (nhóm I, II)</w:t>
            </w:r>
          </w:p>
        </w:tc>
        <w:tc>
          <w:tcPr>
            <w:tcW w:type="dxa" w:w="24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 đ/ngày</w:t>
            </w:r>
          </w:p>
        </w:tc>
        <w:tc>
          <w:tcPr>
            <w:tcW w:type="dxa" w:w="24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 đ/ngày</w:t>
            </w:r>
          </w:p>
        </w:tc>
      </w:tr>
      <w:tr>
        <w:tc>
          <w:tcPr>
            <w:tcW w:type="dxa" w:w="48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Nhân viên nghiệp vụ, kỹ thuật (nhóm III, IV)</w:t>
            </w:r>
          </w:p>
        </w:tc>
        <w:tc>
          <w:tcPr>
            <w:tcW w:type="dxa" w:w="24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 đ/ngày</w:t>
            </w:r>
          </w:p>
        </w:tc>
        <w:tc>
          <w:tcPr>
            <w:tcW w:type="dxa" w:w="24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 đ/ngày</w:t>
            </w:r>
          </w:p>
        </w:tc>
      </w:tr>
    </w:tbl>
    <w:p>
      <w:pPr>
        <w:spacing w:after="100" w:line="300"/>
        <w:ind w:left="360"/>
        <w:jc w:val="both"/>
      </w:pPr>
      <w:r>
        <w:rPr>
          <w:rFonts w:ascii="Times New Roman" w:cs="Times New Roman" w:eastAsia="Times New Roman" w:hAnsi="Times New Roman"/>
          <w:b w:val="false"/>
          <w:bCs w:val="false"/>
          <w:i/>
          <w:iCs/>
          <w:sz w:val="24"/>
          <w:szCs w:val="24"/>
        </w:rPr>
        <w:t xml:space="preserve">Ngày đi công trường trong phạm vi Thành phố (đi và về trong ngày) áp dụng phụ cấp công trường theo mức khoán do Giám đốc quyết định.</w:t>
      </w:r>
    </w:p>
    <w:p>
      <w:pPr>
        <w:spacing w:after="80" w:before="140" w:line="300"/>
      </w:pPr>
      <w:r>
        <w:rPr>
          <w:rFonts w:ascii="Times New Roman" w:cs="Times New Roman" w:eastAsia="Times New Roman" w:hAnsi="Times New Roman"/>
          <w:b/>
          <w:bCs/>
          <w:sz w:val="24"/>
          <w:szCs w:val="24"/>
        </w:rPr>
        <w:t xml:space="preserve">Điều 6. Tiền thuê phòng nghỉ</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Trường hợp Công ty không bố trí được chỗ nghỉ, người đi công tác được thanh toán tiền phòng theo hóa đơn thực tế, không vượt hạn mức: Quản lý ………… đ/ngày; nhân viên ………… đ/ngày (phòng đôi khi đi từ 02 người).</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Khuyến khích ở ghép để tiết kiệm; ưu tiên cơ sở lưu trú gần công trường, bảo đảm an toàn.</w:t>
      </w:r>
    </w:p>
    <w:p>
      <w:pPr>
        <w:spacing w:after="80" w:before="140" w:line="300"/>
      </w:pPr>
      <w:r>
        <w:rPr>
          <w:rFonts w:ascii="Times New Roman" w:cs="Times New Roman" w:eastAsia="Times New Roman" w:hAnsi="Times New Roman"/>
          <w:b/>
          <w:bCs/>
          <w:sz w:val="24"/>
          <w:szCs w:val="24"/>
        </w:rPr>
        <w:t xml:space="preserve">Điều 7. Chế độ khi làm việc dài ngày tại công trường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Đối với công trường ở xa phải lưu trú dài ngày, Công ty bố trí chỗ ở và hỗ trợ ăn ở theo phương án riêng được Giám đốc phê duyệt cho từng dự án; bảo đảm điều kiện an toàn, vệ sinh.</w:t>
      </w:r>
    </w:p>
    <w:p>
      <w:pPr>
        <w:spacing w:after="140" w:before="260"/>
        <w:jc w:val="center"/>
      </w:pPr>
      <w:r>
        <w:rPr>
          <w:rFonts w:ascii="Times New Roman" w:cs="Times New Roman" w:eastAsia="Times New Roman" w:hAnsi="Times New Roman"/>
          <w:b/>
          <w:bCs/>
          <w:sz w:val="26"/>
          <w:szCs w:val="26"/>
        </w:rPr>
        <w:t xml:space="preserve">CHƯƠNG III — THỦ TỤC TẠM ỨNG VÀ QUYẾT TOÁN</w:t>
      </w:r>
    </w:p>
    <w:p>
      <w:pPr>
        <w:spacing w:after="80" w:before="140" w:line="300"/>
      </w:pPr>
      <w:r>
        <w:rPr>
          <w:rFonts w:ascii="Times New Roman" w:cs="Times New Roman" w:eastAsia="Times New Roman" w:hAnsi="Times New Roman"/>
          <w:b/>
          <w:bCs/>
          <w:sz w:val="24"/>
          <w:szCs w:val="24"/>
        </w:rPr>
        <w:t xml:space="preserve">Điều 8. Tạm ứng công tác phí</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Người đi công tác lập đề nghị tạm ứng, được cấp quản lý trực tiếp và Kế toán trưởng duyệt trong hạn mức, Giám đốc duyệt nếu vượt hạn mức.</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Đề nghị tạm ứng nêu rõ: nội dung công việc, địa điểm, thời gian, dự toán chi phí. Tạm ứng được ghi nhận trên Hệ thống.</w:t>
      </w:r>
    </w:p>
    <w:p>
      <w:pPr>
        <w:spacing w:after="80" w:before="140" w:line="300"/>
      </w:pPr>
      <w:r>
        <w:rPr>
          <w:rFonts w:ascii="Times New Roman" w:cs="Times New Roman" w:eastAsia="Times New Roman" w:hAnsi="Times New Roman"/>
          <w:b/>
          <w:bCs/>
          <w:sz w:val="24"/>
          <w:szCs w:val="24"/>
        </w:rPr>
        <w:t xml:space="preserve">Điều 9. Quyết toán</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Trong vòng 07 ngày làm việc kể từ ngày kết thúc công tác, người đi công tác lập bảng quyết toán kèm chứng từ hợp lệ, đối chiếu với khoản tạm ứng.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Chênh lệch thừa phải hoàn trả; chênh lệch thiếu (hợp lệ) được Công ty thanh toán bổ sung.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Quá thời hạn 30 ngày chưa quyết toán mà không có lý do chính đáng, Công ty được khấu trừ khoản tạm ứng vào lương theo quy định (không quá 30%/tháng).</w:t>
      </w:r>
    </w:p>
    <w:p>
      <w:pPr>
        <w:spacing w:after="80" w:before="140" w:line="300"/>
      </w:pPr>
      <w:r>
        <w:rPr>
          <w:rFonts w:ascii="Times New Roman" w:cs="Times New Roman" w:eastAsia="Times New Roman" w:hAnsi="Times New Roman"/>
          <w:b/>
          <w:bCs/>
          <w:sz w:val="24"/>
          <w:szCs w:val="24"/>
        </w:rPr>
        <w:t xml:space="preserve">Điều 10. Xử lý vi phạm và hiệu lực</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Người kê khai khống, gian lận chứng từ bị xử lý kỷ luật theo Nội quy lao động và bồi hoàn.</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Quy chế có hiệu lực kể từ ngày ký; các mức chi cụ thể được Giám đốc quyết định và có thể điều chỉnh theo thực tế.</w:t>
      </w:r>
    </w:p>
    <w:p>
      <w:pPr>
        <w:spacing w:before="400"/>
      </w:pPr>
      <w:r>
        <w:rPr>
          <w:rFonts w:ascii="Times New Roman" w:cs="Times New Roman" w:eastAsia="Times New Roman" w:hAnsi="Times New Roman"/>
        </w:rPr>
        <w:t xml:space="preserve"/>
      </w:r>
    </w:p>
    <w:tbl>
      <w:tblPr>
        <w:tblW w:type="auto" w:w="100"/>
        <w:tblBorders>
          <w:top w:val="none"/>
          <w:left w:val="none"/>
          <w:bottom w:val="none"/>
          <w:right w:val="none"/>
          <w:insideH w:val="none"/>
          <w:insideV w:val="none"/>
        </w:tblBorders>
      </w:tblPr>
      <w:tblGrid>
        <w:gridCol w:w="9600"/>
      </w:tblGrid>
      <w:tr>
        <w:tc>
          <w:tcPr>
            <w:tcW w:type="dxa" w:w="9600"/>
            <w:tcBorders>
              <w:top w:val="none"/>
              <w:left w:val="none"/>
              <w:bottom w:val="none"/>
              <w:right w:val="none"/>
            </w:tcBorders>
          </w:tcPr>
          <w:p>
            <w:pPr>
              <w:jc w:val="right"/>
            </w:pPr>
            <w:r>
              <w:rPr>
                <w:rFonts w:ascii="Times New Roman" w:cs="Times New Roman" w:eastAsia="Times New Roman" w:hAnsi="Times New Roman"/>
                <w:b/>
                <w:bCs/>
                <w:sz w:val="24"/>
                <w:szCs w:val="24"/>
              </w:rPr>
              <w:t xml:space="preserve">GIÁM ĐỐC</w:t>
            </w:r>
          </w:p>
          <w:p>
            <w:pPr>
              <w:spacing w:after="900"/>
              <w:jc w:val="right"/>
            </w:pPr>
            <w:r>
              <w:rPr>
                <w:rFonts w:ascii="Times New Roman" w:cs="Times New Roman" w:eastAsia="Times New Roman" w:hAnsi="Times New Roman"/>
                <w:i/>
                <w:iCs/>
                <w:sz w:val="22"/>
                <w:szCs w:val="22"/>
              </w:rPr>
              <w:t xml:space="preserve">(Ký tên, đóng dấu)</w:t>
            </w:r>
          </w:p>
          <w:p>
            <w:pPr>
              <w:jc w:val="right"/>
            </w:pPr>
            <w:r>
              <w:rPr>
                <w:rFonts w:ascii="Times New Roman" w:cs="Times New Roman" w:eastAsia="Times New Roman" w:hAnsi="Times New Roman"/>
                <w:b/>
                <w:bCs/>
                <w:sz w:val="24"/>
                <w:szCs w:val="24"/>
              </w:rPr>
              <w:t xml:space="preserve">NGUYỄN LÊ HIẾU</w:t>
            </w:r>
          </w:p>
        </w:tc>
      </w:tr>
    </w:tbl>
    <w:p>
      <w:r>
        <w:br w:type="page"/>
      </w:r>
    </w:p>
    <w:p>
      <w:pPr>
        <w:spacing w:after="0"/>
        <w:jc w:val="center"/>
      </w:pPr>
      <w:r>
        <w:rPr>
          <w:rFonts w:ascii="Times New Roman" w:cs="Times New Roman" w:eastAsia="Times New Roman" w:hAnsi="Times New Roman"/>
          <w:b/>
          <w:bCs/>
          <w:sz w:val="24"/>
          <w:szCs w:val="24"/>
        </w:rPr>
        <w:t xml:space="preserve">CÔNG TY TNHH GIẢI PHÁP KỸ THUẬT SÓNG VIỆT</w:t>
      </w:r>
    </w:p>
    <w:p>
      <w:pPr>
        <w:spacing w:after="60"/>
        <w:jc w:val="center"/>
      </w:pPr>
      <w:r>
        <w:rPr>
          <w:rFonts w:ascii="Times New Roman" w:cs="Times New Roman" w:eastAsia="Times New Roman" w:hAnsi="Times New Roman"/>
          <w:sz w:val="24"/>
          <w:szCs w:val="24"/>
        </w:rPr>
        <w:t xml:space="preserve">Số: ......../2026/UXLI-SV</w:t>
      </w:r>
    </w:p>
    <w:p>
      <w:pPr>
        <w:spacing w:after="0"/>
        <w:jc w:val="center"/>
      </w:pPr>
      <w:r>
        <w:rPr>
          <w:rFonts w:ascii="Times New Roman" w:cs="Times New Roman" w:eastAsia="Times New Roman" w:hAnsi="Times New Roman"/>
          <w:b/>
          <w:bCs/>
          <w:sz w:val="24"/>
          <w:szCs w:val="24"/>
        </w:rPr>
        <w:t xml:space="preserve">CỘNG HÒA XÃ HỘI CHỦ NGHĨA VIỆT NAM</w:t>
      </w:r>
    </w:p>
    <w:p>
      <w:pPr>
        <w:spacing w:after="240"/>
        <w:jc w:val="center"/>
      </w:pPr>
      <w:r>
        <w:rPr>
          <w:rFonts w:ascii="Times New Roman" w:cs="Times New Roman" w:eastAsia="Times New Roman" w:hAnsi="Times New Roman"/>
          <w:b/>
          <w:bCs/>
          <w:sz w:val="24"/>
          <w:szCs w:val="24"/>
        </w:rPr>
        <w:t xml:space="preserve">Độc lập – Tự do – Hạnh phúc</w:t>
      </w:r>
    </w:p>
    <w:p>
      <w:pPr>
        <w:spacing w:after="60"/>
        <w:jc w:val="center"/>
      </w:pPr>
      <w:r>
        <w:rPr>
          <w:rFonts w:ascii="Times New Roman" w:cs="Times New Roman" w:eastAsia="Times New Roman" w:hAnsi="Times New Roman"/>
          <w:b/>
          <w:bCs/>
          <w:sz w:val="30"/>
          <w:szCs w:val="30"/>
        </w:rPr>
        <w:t xml:space="preserve">QUY TẮC ỨNG XỬ VÀ PHÒNG, CHỐNG XUNG ĐỘT LỢI ÍCH</w:t>
      </w:r>
    </w:p>
    <w:p>
      <w:pPr>
        <w:spacing w:after="240"/>
        <w:jc w:val="center"/>
      </w:pPr>
      <w:r>
        <w:rPr>
          <w:rFonts w:ascii="Times New Roman" w:cs="Times New Roman" w:eastAsia="Times New Roman" w:hAnsi="Times New Roman"/>
          <w:i/>
          <w:iCs/>
          <w:sz w:val="22"/>
          <w:szCs w:val="22"/>
        </w:rPr>
        <w:t xml:space="preserve">(Ban hành kèm theo Quyết định số ......../2026/QĐ-SV ngày ...... tháng ...... năm 2026 của Giám đốc Công ty TNHH Giải pháp Kỹ thuật Sóng Việt)</w:t>
      </w:r>
    </w:p>
    <w:p>
      <w:pPr>
        <w:spacing w:after="100" w:line="300"/>
        <w:jc w:val="both"/>
      </w:pPr>
      <w:r>
        <w:rPr>
          <w:rFonts w:ascii="Times New Roman" w:cs="Times New Roman" w:eastAsia="Times New Roman" w:hAnsi="Times New Roman"/>
          <w:b w:val="false"/>
          <w:bCs w:val="false"/>
          <w:i w:val="false"/>
          <w:iCs w:val="false"/>
          <w:sz w:val="24"/>
          <w:szCs w:val="24"/>
        </w:rPr>
        <w:t xml:space="preserve">- Căn cứ Bộ luật Lao động số 45/2019/QH14;</w:t>
      </w:r>
    </w:p>
    <w:p>
      <w:pPr>
        <w:spacing w:after="100" w:line="300"/>
        <w:jc w:val="both"/>
      </w:pPr>
      <w:r>
        <w:rPr>
          <w:rFonts w:ascii="Times New Roman" w:cs="Times New Roman" w:eastAsia="Times New Roman" w:hAnsi="Times New Roman"/>
          <w:b w:val="false"/>
          <w:bCs w:val="false"/>
          <w:i w:val="false"/>
          <w:iCs w:val="false"/>
          <w:sz w:val="24"/>
          <w:szCs w:val="24"/>
        </w:rPr>
        <w:t xml:space="preserve">- Nhằm xây dựng môi trường làm việc liêm chính, minh bạch, phòng ngừa thất thoát và bảo vệ uy tín của Công ty,</w:t>
      </w:r>
    </w:p>
    <w:p>
      <w:pPr>
        <w:spacing w:after="100" w:line="300"/>
        <w:jc w:val="both"/>
      </w:pPr>
      <w:r>
        <w:rPr>
          <w:rFonts w:ascii="Times New Roman" w:cs="Times New Roman" w:eastAsia="Times New Roman" w:hAnsi="Times New Roman"/>
          <w:b/>
          <w:bCs/>
          <w:i w:val="false"/>
          <w:iCs w:val="false"/>
          <w:sz w:val="24"/>
          <w:szCs w:val="24"/>
        </w:rPr>
        <w:t xml:space="preserve">Giám đốc Công ty ban hành Quy tắc ứng xử và phòng, chống xung đột lợi ích như sau:</w:t>
      </w:r>
    </w:p>
    <w:p>
      <w:pPr>
        <w:spacing w:after="140" w:before="260"/>
        <w:jc w:val="center"/>
      </w:pPr>
      <w:r>
        <w:rPr>
          <w:rFonts w:ascii="Times New Roman" w:cs="Times New Roman" w:eastAsia="Times New Roman" w:hAnsi="Times New Roman"/>
          <w:b/>
          <w:bCs/>
          <w:sz w:val="26"/>
          <w:szCs w:val="26"/>
        </w:rPr>
        <w:t xml:space="preserve">CHƯƠNG I — QUY TẮC ỨNG XỬ</w:t>
      </w:r>
    </w:p>
    <w:p>
      <w:pPr>
        <w:spacing w:after="80" w:before="140" w:line="300"/>
      </w:pPr>
      <w:r>
        <w:rPr>
          <w:rFonts w:ascii="Times New Roman" w:cs="Times New Roman" w:eastAsia="Times New Roman" w:hAnsi="Times New Roman"/>
          <w:b/>
          <w:bCs/>
          <w:sz w:val="24"/>
          <w:szCs w:val="24"/>
        </w:rPr>
        <w:t xml:space="preserve">Điều 1. Phạm vi áp dụng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Quy tắc này áp dụng đối với toàn bộ người lao động của Công ty trong quan hệ nội bộ và trong giao dịch với khách hàng, nhà cung cấp, đối tác.</w:t>
      </w:r>
    </w:p>
    <w:p>
      <w:pPr>
        <w:spacing w:after="80" w:before="140" w:line="300"/>
      </w:pPr>
      <w:r>
        <w:rPr>
          <w:rFonts w:ascii="Times New Roman" w:cs="Times New Roman" w:eastAsia="Times New Roman" w:hAnsi="Times New Roman"/>
          <w:b/>
          <w:bCs/>
          <w:sz w:val="24"/>
          <w:szCs w:val="24"/>
        </w:rPr>
        <w:t xml:space="preserve">Điều 2. Giá trị cốt lõi và chuẩn mực ứng xử</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1. Liêm chính, trung thực trong công việc và báo cáo;</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2. Tôn trọng đồng nghiệp, khách hàng, đối tác; hợp tác, giữ đoàn kết nội bộ;</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3. Chuyên nghiệp, đúng hẹn, giữ chữ tín; bảo mật thông tin;</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4. Đặt lợi ích hợp pháp của Công ty và khách hàng lên trên lợi ích cá nhân;</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5. Tuân thủ pháp luật và các quy chế của Công ty.</w:t>
      </w:r>
    </w:p>
    <w:p>
      <w:pPr>
        <w:spacing w:after="80" w:before="140" w:line="300"/>
      </w:pPr>
      <w:r>
        <w:rPr>
          <w:rFonts w:ascii="Times New Roman" w:cs="Times New Roman" w:eastAsia="Times New Roman" w:hAnsi="Times New Roman"/>
          <w:b/>
          <w:bCs/>
          <w:sz w:val="24"/>
          <w:szCs w:val="24"/>
        </w:rPr>
        <w:t xml:space="preserve">Điều 3. Ứng xử với khách hàng, nhà cung cấp, đối tác</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Giao dịch qua Hệ thống và địa chỉ thư điện tử của Công ty; nghiêm cấm thỏa thuận riêng ngoài Hệ thống.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Cung cấp thông tin trung thực; không hứa hẹn vượt thẩm quyền; không phát ngôn nhân danh Công ty khi không được phân công.</w:t>
      </w:r>
    </w:p>
    <w:p>
      <w:pPr>
        <w:spacing w:after="140" w:before="260"/>
        <w:jc w:val="center"/>
      </w:pPr>
      <w:r>
        <w:rPr>
          <w:rFonts w:ascii="Times New Roman" w:cs="Times New Roman" w:eastAsia="Times New Roman" w:hAnsi="Times New Roman"/>
          <w:b/>
          <w:bCs/>
          <w:sz w:val="26"/>
          <w:szCs w:val="26"/>
        </w:rPr>
        <w:t xml:space="preserve">CHƯƠNG II — XUNG ĐỘT LỢI ÍCH</w:t>
      </w:r>
    </w:p>
    <w:p>
      <w:pPr>
        <w:spacing w:after="80" w:before="140" w:line="300"/>
      </w:pPr>
      <w:r>
        <w:rPr>
          <w:rFonts w:ascii="Times New Roman" w:cs="Times New Roman" w:eastAsia="Times New Roman" w:hAnsi="Times New Roman"/>
          <w:b/>
          <w:bCs/>
          <w:sz w:val="24"/>
          <w:szCs w:val="24"/>
        </w:rPr>
        <w:t xml:space="preserve">Điều 4. Định nghĩa xung đột lợi ích</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Xung đột lợi ích là tình huống mà lợi ích cá nhân của người lao động (hoặc người thân) có thể ảnh hưởng, hoặc bị nhìn nhận là có thể ảnh hưởng, đến việc thực hiện khách quan, trung thực nhiệm vụ được giao.</w:t>
      </w:r>
    </w:p>
    <w:p>
      <w:pPr>
        <w:spacing w:after="80" w:before="140" w:line="300"/>
      </w:pPr>
      <w:r>
        <w:rPr>
          <w:rFonts w:ascii="Times New Roman" w:cs="Times New Roman" w:eastAsia="Times New Roman" w:hAnsi="Times New Roman"/>
          <w:b/>
          <w:bCs/>
          <w:sz w:val="24"/>
          <w:szCs w:val="24"/>
        </w:rPr>
        <w:t xml:space="preserve">Điều 5. Các tình huống xung đột lợi ích phải khai báo</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1. Người lao động hoặc người thân (vợ, chồng, cha, mẹ, con, anh, chị, em ruột) có sở hữu, góp vốn, giữ chức vụ quản lý tại khách hàng, nhà cung cấp, đối tác của Công ty;</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2. Người lao động tham gia quyết định lựa chọn, ký kết, nghiệm thu, thanh toán với đối tác mà mình có quan hệ lợi ích;</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3. Người lao động làm thêm, tư vấn, hợp tác cho đối thủ cạnh tranh hoặc cho khách hàng/nhà cung cấp của Công ty;</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4. Nhận lời mời, tài trợ, chuyến đi, quà tặng có giá trị từ đối tác liên quan đến công việc.</w:t>
      </w:r>
    </w:p>
    <w:p>
      <w:pPr>
        <w:spacing w:after="80" w:before="140" w:line="300"/>
      </w:pPr>
      <w:r>
        <w:rPr>
          <w:rFonts w:ascii="Times New Roman" w:cs="Times New Roman" w:eastAsia="Times New Roman" w:hAnsi="Times New Roman"/>
          <w:b/>
          <w:bCs/>
          <w:sz w:val="24"/>
          <w:szCs w:val="24"/>
        </w:rPr>
        <w:t xml:space="preserve">Điều 6. Nghiêm cấm nhận hoa hồng, quà tặng, “lại quả”</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Nghiêm cấm người lao động nhận tiền, hoa hồng, phần trăm, “lại quả”, quà tặng có giá trị hoặc lợi ích khác từ khách hàng, nhà cung cấp, đối tác liên quan đến công việc được giao.</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Quà tặng mang tính xã giao thông thường có giá trị nhỏ (không quá ………………… đồng) được phép nhận nhưng phải báo cáo Trưởng bộ phận; quà có giá trị lớn hơn phải từ chối hoặc nộp về Công ty.</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Cấm gợi ý, đòi hỏi lợi ích từ đối tác; cấm đưa hối lộ nhân danh Công ty.</w:t>
      </w:r>
    </w:p>
    <w:p>
      <w:pPr>
        <w:spacing w:after="80" w:before="140" w:line="300"/>
      </w:pPr>
      <w:r>
        <w:rPr>
          <w:rFonts w:ascii="Times New Roman" w:cs="Times New Roman" w:eastAsia="Times New Roman" w:hAnsi="Times New Roman"/>
          <w:b/>
          <w:bCs/>
          <w:sz w:val="24"/>
          <w:szCs w:val="24"/>
        </w:rPr>
        <w:t xml:space="preserve">Điều 7. Nghĩa vụ khai báo và xử lý</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Người lao động phải chủ động khai báo bằng văn bản cho Giám đốc ngay khi phát sinh hoặc nhận thấy có khả năng phát sinh xung đột lợi ích.</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Sau khi khai báo, người có xung đột lợi ích không được tham gia vào quá trình ra quyết định liên quan; Công ty bố trí người khác thay thế.</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Người che giấu xung đột lợi ích, nhận hoa hồng/“lại quả” gây thiệt hại cho Công ty bị xử lý kỷ luật đến mức sa thải theo Nội quy lao động, bồi thường thiệt hại và có thể bị xử lý theo pháp luật.</w:t>
      </w:r>
    </w:p>
    <w:p>
      <w:pPr>
        <w:spacing w:after="80" w:before="140" w:line="300"/>
      </w:pPr>
      <w:r>
        <w:rPr>
          <w:rFonts w:ascii="Times New Roman" w:cs="Times New Roman" w:eastAsia="Times New Roman" w:hAnsi="Times New Roman"/>
          <w:b/>
          <w:bCs/>
          <w:sz w:val="24"/>
          <w:szCs w:val="24"/>
        </w:rPr>
        <w:t xml:space="preserve">Điều 8. Kênh báo cáo và bảo vệ người báo cáo</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Người lao động báo cáo hành vi vi phạm liêm chính qua Trưởng bộ phận, bộ phận Hành chính – Nhân sự, Giám đốc hoặc hòm thư bảo mật.</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Thông tin người báo cáo được giữ bí mật; nghiêm cấm trả thù, trù dập người báo cáo trung thực. Người báo cáo sai sự thật nhằm vu khống bị xử lý kỷ luật.</w:t>
      </w:r>
    </w:p>
    <w:p>
      <w:pPr>
        <w:spacing w:after="80" w:before="140" w:line="300"/>
      </w:pPr>
      <w:r>
        <w:rPr>
          <w:rFonts w:ascii="Times New Roman" w:cs="Times New Roman" w:eastAsia="Times New Roman" w:hAnsi="Times New Roman"/>
          <w:b/>
          <w:bCs/>
          <w:sz w:val="24"/>
          <w:szCs w:val="24"/>
        </w:rPr>
        <w:t xml:space="preserve">Điều 9. Hiệu lực thi hành</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Quy tắc này có hiệu lực kể từ ngày ký; người lao động ký cam kết tuân thủ khi giao kết hợp đồng lao động và khi được phân công công việc nhạy cảm về lợi ích.</w:t>
      </w:r>
    </w:p>
    <w:p>
      <w:pPr>
        <w:spacing w:before="400"/>
      </w:pPr>
      <w:r>
        <w:rPr>
          <w:rFonts w:ascii="Times New Roman" w:cs="Times New Roman" w:eastAsia="Times New Roman" w:hAnsi="Times New Roman"/>
        </w:rPr>
        <w:t xml:space="preserve"/>
      </w:r>
    </w:p>
    <w:tbl>
      <w:tblPr>
        <w:tblW w:type="auto" w:w="100"/>
        <w:tblBorders>
          <w:top w:val="none"/>
          <w:left w:val="none"/>
          <w:bottom w:val="none"/>
          <w:right w:val="none"/>
          <w:insideH w:val="none"/>
          <w:insideV w:val="none"/>
        </w:tblBorders>
      </w:tblPr>
      <w:tblGrid>
        <w:gridCol w:w="9600"/>
      </w:tblGrid>
      <w:tr>
        <w:tc>
          <w:tcPr>
            <w:tcW w:type="dxa" w:w="9600"/>
            <w:tcBorders>
              <w:top w:val="none"/>
              <w:left w:val="none"/>
              <w:bottom w:val="none"/>
              <w:right w:val="none"/>
            </w:tcBorders>
          </w:tcPr>
          <w:p>
            <w:pPr>
              <w:jc w:val="right"/>
            </w:pPr>
            <w:r>
              <w:rPr>
                <w:rFonts w:ascii="Times New Roman" w:cs="Times New Roman" w:eastAsia="Times New Roman" w:hAnsi="Times New Roman"/>
                <w:b/>
                <w:bCs/>
                <w:sz w:val="24"/>
                <w:szCs w:val="24"/>
              </w:rPr>
              <w:t xml:space="preserve">GIÁM ĐỐC</w:t>
            </w:r>
          </w:p>
          <w:p>
            <w:pPr>
              <w:spacing w:after="900"/>
              <w:jc w:val="right"/>
            </w:pPr>
            <w:r>
              <w:rPr>
                <w:rFonts w:ascii="Times New Roman" w:cs="Times New Roman" w:eastAsia="Times New Roman" w:hAnsi="Times New Roman"/>
                <w:i/>
                <w:iCs/>
                <w:sz w:val="22"/>
                <w:szCs w:val="22"/>
              </w:rPr>
              <w:t xml:space="preserve">(Ký tên, đóng dấu)</w:t>
            </w:r>
          </w:p>
          <w:p>
            <w:pPr>
              <w:jc w:val="right"/>
            </w:pPr>
            <w:r>
              <w:rPr>
                <w:rFonts w:ascii="Times New Roman" w:cs="Times New Roman" w:eastAsia="Times New Roman" w:hAnsi="Times New Roman"/>
                <w:b/>
                <w:bCs/>
                <w:sz w:val="24"/>
                <w:szCs w:val="24"/>
              </w:rPr>
              <w:t xml:space="preserve">NGUYỄN LÊ HIẾU</w:t>
            </w:r>
          </w:p>
        </w:tc>
      </w:tr>
    </w:tbl>
    <w:p>
      <w:r>
        <w:br w:type="page"/>
      </w:r>
    </w:p>
    <w:p>
      <w:pPr>
        <w:spacing w:after="0"/>
        <w:jc w:val="center"/>
      </w:pPr>
      <w:r>
        <w:rPr>
          <w:rFonts w:ascii="Times New Roman" w:cs="Times New Roman" w:eastAsia="Times New Roman" w:hAnsi="Times New Roman"/>
          <w:b/>
          <w:bCs/>
          <w:sz w:val="24"/>
          <w:szCs w:val="24"/>
        </w:rPr>
        <w:t xml:space="preserve">CÔNG TY TNHH GIẢI PHÁP KỸ THUẬT SÓNG VIỆT</w:t>
      </w:r>
    </w:p>
    <w:p>
      <w:pPr>
        <w:spacing w:after="60"/>
        <w:jc w:val="center"/>
      </w:pPr>
      <w:r>
        <w:rPr>
          <w:rFonts w:ascii="Times New Roman" w:cs="Times New Roman" w:eastAsia="Times New Roman" w:hAnsi="Times New Roman"/>
          <w:sz w:val="24"/>
          <w:szCs w:val="24"/>
        </w:rPr>
        <w:t xml:space="preserve">Số: ......../2026/PCPD-SV</w:t>
      </w:r>
    </w:p>
    <w:p>
      <w:pPr>
        <w:spacing w:after="0"/>
        <w:jc w:val="center"/>
      </w:pPr>
      <w:r>
        <w:rPr>
          <w:rFonts w:ascii="Times New Roman" w:cs="Times New Roman" w:eastAsia="Times New Roman" w:hAnsi="Times New Roman"/>
          <w:b/>
          <w:bCs/>
          <w:sz w:val="24"/>
          <w:szCs w:val="24"/>
        </w:rPr>
        <w:t xml:space="preserve">CỘNG HÒA XÃ HỘI CHỦ NGHĨA VIỆT NAM</w:t>
      </w:r>
    </w:p>
    <w:p>
      <w:pPr>
        <w:spacing w:after="240"/>
        <w:jc w:val="center"/>
      </w:pPr>
      <w:r>
        <w:rPr>
          <w:rFonts w:ascii="Times New Roman" w:cs="Times New Roman" w:eastAsia="Times New Roman" w:hAnsi="Times New Roman"/>
          <w:b/>
          <w:bCs/>
          <w:sz w:val="24"/>
          <w:szCs w:val="24"/>
        </w:rPr>
        <w:t xml:space="preserve">Độc lập – Tự do – Hạnh phúc</w:t>
      </w:r>
    </w:p>
    <w:p>
      <w:pPr>
        <w:spacing w:after="60"/>
        <w:jc w:val="center"/>
      </w:pPr>
      <w:r>
        <w:rPr>
          <w:rFonts w:ascii="Times New Roman" w:cs="Times New Roman" w:eastAsia="Times New Roman" w:hAnsi="Times New Roman"/>
          <w:b/>
          <w:bCs/>
          <w:sz w:val="30"/>
          <w:szCs w:val="30"/>
        </w:rPr>
        <w:t xml:space="preserve">QUY CHẾ PHÂN CẤP, ỦY QUYỀN PHÊ DUYỆT</w:t>
      </w:r>
    </w:p>
    <w:p>
      <w:pPr>
        <w:spacing w:after="240"/>
        <w:jc w:val="center"/>
      </w:pPr>
      <w:r>
        <w:rPr>
          <w:rFonts w:ascii="Times New Roman" w:cs="Times New Roman" w:eastAsia="Times New Roman" w:hAnsi="Times New Roman"/>
          <w:i/>
          <w:iCs/>
          <w:sz w:val="22"/>
          <w:szCs w:val="22"/>
        </w:rPr>
        <w:t xml:space="preserve">(Ban hành kèm theo Quyết định số ......../2026/QĐ-SV ngày ...... tháng ...... năm 2026 của Giám đốc Công ty TNHH Giải pháp Kỹ thuật Sóng Việt)</w:t>
      </w:r>
    </w:p>
    <w:p>
      <w:pPr>
        <w:spacing w:after="100" w:line="300"/>
        <w:jc w:val="both"/>
      </w:pPr>
      <w:r>
        <w:rPr>
          <w:rFonts w:ascii="Times New Roman" w:cs="Times New Roman" w:eastAsia="Times New Roman" w:hAnsi="Times New Roman"/>
          <w:b w:val="false"/>
          <w:bCs w:val="false"/>
          <w:i w:val="false"/>
          <w:iCs w:val="false"/>
          <w:sz w:val="24"/>
          <w:szCs w:val="24"/>
        </w:rPr>
        <w:t xml:space="preserve">- Căn cứ Điều lệ và cơ cấu tổ chức của Công ty;</w:t>
      </w:r>
    </w:p>
    <w:p>
      <w:pPr>
        <w:spacing w:after="100" w:line="300"/>
        <w:jc w:val="both"/>
      </w:pPr>
      <w:r>
        <w:rPr>
          <w:rFonts w:ascii="Times New Roman" w:cs="Times New Roman" w:eastAsia="Times New Roman" w:hAnsi="Times New Roman"/>
          <w:b w:val="false"/>
          <w:bCs w:val="false"/>
          <w:i w:val="false"/>
          <w:iCs w:val="false"/>
          <w:sz w:val="24"/>
          <w:szCs w:val="24"/>
        </w:rPr>
        <w:t xml:space="preserve">- Nhằm pháp lý hóa các hạn mức phê duyệt đang vận hành trên Hệ thống quản trị SVWS, bảo đảm kiểm soát nội bộ,</w:t>
      </w:r>
    </w:p>
    <w:p>
      <w:pPr>
        <w:spacing w:after="100" w:line="300"/>
        <w:jc w:val="both"/>
      </w:pPr>
      <w:r>
        <w:rPr>
          <w:rFonts w:ascii="Times New Roman" w:cs="Times New Roman" w:eastAsia="Times New Roman" w:hAnsi="Times New Roman"/>
          <w:b/>
          <w:bCs/>
          <w:i w:val="false"/>
          <w:iCs w:val="false"/>
          <w:sz w:val="24"/>
          <w:szCs w:val="24"/>
        </w:rPr>
        <w:t xml:space="preserve">Giám đốc Công ty ban hành Quy chế phân cấp, ủy quyền phê duyệt như sau:</w:t>
      </w:r>
    </w:p>
    <w:p>
      <w:pPr>
        <w:spacing w:after="140" w:before="260"/>
        <w:jc w:val="center"/>
      </w:pPr>
      <w:r>
        <w:rPr>
          <w:rFonts w:ascii="Times New Roman" w:cs="Times New Roman" w:eastAsia="Times New Roman" w:hAnsi="Times New Roman"/>
          <w:b/>
          <w:bCs/>
          <w:sz w:val="26"/>
          <w:szCs w:val="26"/>
        </w:rPr>
        <w:t xml:space="preserve">CHƯƠNG I — QUY ĐỊNH CHUNG</w:t>
      </w:r>
    </w:p>
    <w:p>
      <w:pPr>
        <w:spacing w:after="80" w:before="140" w:line="300"/>
      </w:pPr>
      <w:r>
        <w:rPr>
          <w:rFonts w:ascii="Times New Roman" w:cs="Times New Roman" w:eastAsia="Times New Roman" w:hAnsi="Times New Roman"/>
          <w:b/>
          <w:bCs/>
          <w:sz w:val="24"/>
          <w:szCs w:val="24"/>
        </w:rPr>
        <w:t xml:space="preserve">Điều 1. Phạm vi và nguyên tắc</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Quy chế quy định thẩm quyền phê duyệt đối với báo giá, đơn hàng, đơn mua (PO), chi phí, thanh toán, tuyển dụng và các nghiệp vụ khác.</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Nguyên tắc: phân định rõ trách nhiệm; người đề nghị khác người phê duyệt; phê duyệt trong hạn mức; vượt hạn mức phải trình cấp cao hơn; mọi phê duyệt được ghi nhật ký trên Hệ thống.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Hạn mức bằng tiền dưới đây là hạn mức GIÁ TRỊ CỦA MỘT GIAO DỊCH (chưa gồm thuế nếu không ghi khác); nghiêm cấm chia nhỏ giao dịch để lách hạn mức.</w:t>
      </w:r>
    </w:p>
    <w:p>
      <w:pPr>
        <w:spacing w:after="80" w:before="140" w:line="300"/>
      </w:pPr>
      <w:r>
        <w:rPr>
          <w:rFonts w:ascii="Times New Roman" w:cs="Times New Roman" w:eastAsia="Times New Roman" w:hAnsi="Times New Roman"/>
          <w:b/>
          <w:bCs/>
          <w:sz w:val="24"/>
          <w:szCs w:val="24"/>
        </w:rPr>
        <w:t xml:space="preserve">Điều 2. Bốn mức quyền trên Hệ thống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Hệ thống áp dụng 04 mức: Xem (chỉ đọc); Thao tác (nhập liệu, đề xuất); Duyệt (phê duyệt trong hạn mức); Quản trị (toàn quyền). Việc gán quyền theo vị trí do Giám đốc phê duyệt.</w:t>
      </w:r>
    </w:p>
    <w:p>
      <w:pPr>
        <w:spacing w:after="140" w:before="260"/>
        <w:jc w:val="center"/>
      </w:pPr>
      <w:r>
        <w:rPr>
          <w:rFonts w:ascii="Times New Roman" w:cs="Times New Roman" w:eastAsia="Times New Roman" w:hAnsi="Times New Roman"/>
          <w:b/>
          <w:bCs/>
          <w:sz w:val="26"/>
          <w:szCs w:val="26"/>
        </w:rPr>
        <w:t xml:space="preserve">CHƯƠNG II — HẠN MỨC PHÊ DUYỆT</w:t>
      </w:r>
    </w:p>
    <w:p>
      <w:pPr>
        <w:spacing w:after="80" w:before="140" w:line="300"/>
      </w:pPr>
      <w:r>
        <w:rPr>
          <w:rFonts w:ascii="Times New Roman" w:cs="Times New Roman" w:eastAsia="Times New Roman" w:hAnsi="Times New Roman"/>
          <w:b/>
          <w:bCs/>
          <w:sz w:val="24"/>
          <w:szCs w:val="24"/>
        </w:rPr>
        <w:t xml:space="preserve">Điều 3. Bảng phân cấp phê duyệt</w:t>
      </w:r>
    </w:p>
    <w:p>
      <w:pPr>
        <w:spacing w:after="100" w:line="300"/>
        <w:ind w:left="360"/>
        <w:jc w:val="both"/>
      </w:pPr>
      <w:r>
        <w:rPr>
          <w:rFonts w:ascii="Times New Roman" w:cs="Times New Roman" w:eastAsia="Times New Roman" w:hAnsi="Times New Roman"/>
          <w:b w:val="false"/>
          <w:bCs w:val="false"/>
          <w:i/>
          <w:iCs/>
          <w:sz w:val="24"/>
          <w:szCs w:val="24"/>
        </w:rPr>
        <w:t xml:space="preserve">(Các mức tiền dưới đây là gợi ý, Giám đốc điều chỉnh cho phù hợp và cấu hình trên Hệ thống.)</w:t>
      </w:r>
    </w:p>
    <w:p>
      <w:pPr>
        <w:spacing w:after="60" w:line="300"/>
        <w:jc w:val="both"/>
      </w:pPr>
      <w:r>
        <w:rPr>
          <w:rFonts w:ascii="Times New Roman" w:cs="Times New Roman" w:eastAsia="Times New Roman" w:hAnsi="Times New Roman"/>
          <w:b w:val="false"/>
          <w:bCs w:val="false"/>
          <w:i w:val="false"/>
          <w:iCs w:val="false"/>
          <w:sz w:val="24"/>
          <w:szCs w:val="24"/>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00"/>
      </w:tblGrid>
      <w:tr>
        <w:tc>
          <w:tcPr>
            <w:tcW w:type="dxa" w:w="3000"/>
            <w:tcBorders>
              <w:top w:val="single" w:color="888888" w:sz="1"/>
              <w:left w:val="single" w:color="888888" w:sz="1"/>
              <w:bottom w:val="single" w:color="888888" w:sz="1"/>
              <w:right w:val="single" w:color="888888" w:sz="1"/>
            </w:tcBorders>
            <w:shd w:fill="E8EEF2" w:val="clear"/>
            <w:tcMar>
              <w:top w:type="dxa" w:w="60"/>
              <w:left w:type="dxa" w:w="90"/>
              <w:bottom w:type="dxa" w:w="60"/>
              <w:right w:type="dxa" w:w="90"/>
            </w:tcMar>
          </w:tcPr>
          <w:p>
            <w:pPr>
              <w:spacing w:line="260"/>
              <w:jc w:val="center"/>
            </w:pPr>
            <w:r>
              <w:rPr>
                <w:rFonts w:ascii="Times New Roman" w:cs="Times New Roman" w:eastAsia="Times New Roman" w:hAnsi="Times New Roman"/>
                <w:b/>
                <w:bCs/>
                <w:sz w:val="21"/>
                <w:szCs w:val="21"/>
              </w:rPr>
              <w:t xml:space="preserve">Nội dung phê duyệt</w:t>
            </w:r>
          </w:p>
        </w:tc>
        <w:tc>
          <w:tcPr>
            <w:tcW w:type="dxa" w:w="3300"/>
            <w:tcBorders>
              <w:top w:val="single" w:color="888888" w:sz="1"/>
              <w:left w:val="single" w:color="888888" w:sz="1"/>
              <w:bottom w:val="single" w:color="888888" w:sz="1"/>
              <w:right w:val="single" w:color="888888" w:sz="1"/>
            </w:tcBorders>
            <w:shd w:fill="E8EEF2" w:val="clear"/>
            <w:tcMar>
              <w:top w:type="dxa" w:w="60"/>
              <w:left w:type="dxa" w:w="90"/>
              <w:bottom w:type="dxa" w:w="60"/>
              <w:right w:type="dxa" w:w="90"/>
            </w:tcMar>
          </w:tcPr>
          <w:p>
            <w:pPr>
              <w:spacing w:line="260"/>
              <w:jc w:val="center"/>
            </w:pPr>
            <w:r>
              <w:rPr>
                <w:rFonts w:ascii="Times New Roman" w:cs="Times New Roman" w:eastAsia="Times New Roman" w:hAnsi="Times New Roman"/>
                <w:b/>
                <w:bCs/>
                <w:sz w:val="21"/>
                <w:szCs w:val="21"/>
              </w:rPr>
              <w:t xml:space="preserve">Cấp duyệt trong hạn mức</w:t>
            </w:r>
          </w:p>
        </w:tc>
        <w:tc>
          <w:tcPr>
            <w:tcW w:type="dxa" w:w="3300"/>
            <w:tcBorders>
              <w:top w:val="single" w:color="888888" w:sz="1"/>
              <w:left w:val="single" w:color="888888" w:sz="1"/>
              <w:bottom w:val="single" w:color="888888" w:sz="1"/>
              <w:right w:val="single" w:color="888888" w:sz="1"/>
            </w:tcBorders>
            <w:shd w:fill="E8EEF2" w:val="clear"/>
            <w:tcMar>
              <w:top w:type="dxa" w:w="60"/>
              <w:left w:type="dxa" w:w="90"/>
              <w:bottom w:type="dxa" w:w="60"/>
              <w:right w:type="dxa" w:w="90"/>
            </w:tcMar>
          </w:tcPr>
          <w:p>
            <w:pPr>
              <w:spacing w:line="260"/>
              <w:jc w:val="center"/>
            </w:pPr>
            <w:r>
              <w:rPr>
                <w:rFonts w:ascii="Times New Roman" w:cs="Times New Roman" w:eastAsia="Times New Roman" w:hAnsi="Times New Roman"/>
                <w:b/>
                <w:bCs/>
                <w:sz w:val="21"/>
                <w:szCs w:val="21"/>
              </w:rPr>
              <w:t xml:space="preserve">Vượt hạn mức trình</w:t>
            </w:r>
          </w:p>
        </w:tc>
      </w:tr>
      <w:tr>
        <w:tc>
          <w:tcPr>
            <w:tcW w:type="dxa" w:w="3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Báo giá bán cho khách</w:t>
            </w:r>
          </w:p>
        </w:tc>
        <w:tc>
          <w:tcPr>
            <w:tcW w:type="dxa" w:w="33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Trưởng P. Kinh doanh đến 100 triệu</w:t>
            </w:r>
          </w:p>
        </w:tc>
        <w:tc>
          <w:tcPr>
            <w:tcW w:type="dxa" w:w="33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Trên 100 triệu: Giám đốc</w:t>
            </w:r>
          </w:p>
        </w:tc>
      </w:tr>
      <w:tr>
        <w:tc>
          <w:tcPr>
            <w:tcW w:type="dxa" w:w="3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Đơn hàng bán</w:t>
            </w:r>
          </w:p>
        </w:tc>
        <w:tc>
          <w:tcPr>
            <w:tcW w:type="dxa" w:w="33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Trưởng P. Kinh doanh trong hạn mức</w:t>
            </w:r>
          </w:p>
        </w:tc>
        <w:tc>
          <w:tcPr>
            <w:tcW w:type="dxa" w:w="33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Vượt hạn mức: Giám đốc</w:t>
            </w:r>
          </w:p>
        </w:tc>
      </w:tr>
      <w:tr>
        <w:tc>
          <w:tcPr>
            <w:tcW w:type="dxa" w:w="3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Đề xuất mua / Đơn mua (PO)</w:t>
            </w:r>
          </w:p>
        </w:tc>
        <w:tc>
          <w:tcPr>
            <w:tcW w:type="dxa" w:w="33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Trưởng P. Cung ứng đến 50 triệu</w:t>
            </w:r>
          </w:p>
        </w:tc>
        <w:tc>
          <w:tcPr>
            <w:tcW w:type="dxa" w:w="33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Trên 50 triệu: Giám đốc</w:t>
            </w:r>
          </w:p>
        </w:tc>
      </w:tr>
      <w:tr>
        <w:tc>
          <w:tcPr>
            <w:tcW w:type="dxa" w:w="3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Chi phí dự án</w:t>
            </w:r>
          </w:p>
        </w:tc>
        <w:tc>
          <w:tcPr>
            <w:tcW w:type="dxa" w:w="33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Trưởng Dự án trong hạn mức được giao</w:t>
            </w:r>
          </w:p>
        </w:tc>
        <w:tc>
          <w:tcPr>
            <w:tcW w:type="dxa" w:w="33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Vượt hạn mức: Giám đốc</w:t>
            </w:r>
          </w:p>
        </w:tc>
      </w:tr>
      <w:tr>
        <w:tc>
          <w:tcPr>
            <w:tcW w:type="dxa" w:w="3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Phiếu thu / phiếu chi</w:t>
            </w:r>
          </w:p>
        </w:tc>
        <w:tc>
          <w:tcPr>
            <w:tcW w:type="dxa" w:w="33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Kế toán trưởng trong hạn mức</w:t>
            </w:r>
          </w:p>
        </w:tc>
        <w:tc>
          <w:tcPr>
            <w:tcW w:type="dxa" w:w="33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Vượt hạn mức: Giám đốc</w:t>
            </w:r>
          </w:p>
        </w:tc>
      </w:tr>
      <w:tr>
        <w:tc>
          <w:tcPr>
            <w:tcW w:type="dxa" w:w="3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Mua bổ sung khi trùng mã bán hàng</w:t>
            </w:r>
          </w:p>
        </w:tc>
        <w:tc>
          <w:tcPr>
            <w:tcW w:type="dxa" w:w="33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Chỉ Giám đốc / Quản trị xác nhận</w:t>
            </w:r>
          </w:p>
        </w:tc>
        <w:tc>
          <w:tcPr>
            <w:tcW w:type="dxa" w:w="33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w:t>
            </w:r>
          </w:p>
        </w:tc>
      </w:tr>
      <w:tr>
        <w:tc>
          <w:tcPr>
            <w:tcW w:type="dxa" w:w="3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Bảng lương</w:t>
            </w:r>
          </w:p>
        </w:tc>
        <w:tc>
          <w:tcPr>
            <w:tcW w:type="dxa" w:w="33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HC-NS lập → Kế toán trưởng duyệt</w:t>
            </w:r>
          </w:p>
        </w:tc>
        <w:tc>
          <w:tcPr>
            <w:tcW w:type="dxa" w:w="33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Giám đốc ký duyệt cuối</w:t>
            </w:r>
          </w:p>
        </w:tc>
      </w:tr>
      <w:tr>
        <w:tc>
          <w:tcPr>
            <w:tcW w:type="dxa" w:w="3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Tuyển dụng</w:t>
            </w:r>
          </w:p>
        </w:tc>
        <w:tc>
          <w:tcPr>
            <w:tcW w:type="dxa" w:w="33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Trưởng bộ phận đề xuất</w:t>
            </w:r>
          </w:p>
        </w:tc>
        <w:tc>
          <w:tcPr>
            <w:tcW w:type="dxa" w:w="33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Giám đốc quyết định</w:t>
            </w:r>
          </w:p>
        </w:tc>
      </w:tr>
      <w:tr>
        <w:tc>
          <w:tcPr>
            <w:tcW w:type="dxa" w:w="30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Phân quyền hệ thống theo vị trí</w:t>
            </w:r>
          </w:p>
        </w:tc>
        <w:tc>
          <w:tcPr>
            <w:tcW w:type="dxa" w:w="33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left"/>
            </w:pPr>
            <w:r>
              <w:rPr>
                <w:rFonts w:ascii="Times New Roman" w:cs="Times New Roman" w:eastAsia="Times New Roman" w:hAnsi="Times New Roman"/>
                <w:b w:val="false"/>
                <w:bCs w:val="false"/>
                <w:sz w:val="21"/>
                <w:szCs w:val="21"/>
              </w:rPr>
              <w:t xml:space="preserve">Chỉ Giám đốc / Quản trị</w:t>
            </w:r>
          </w:p>
        </w:tc>
        <w:tc>
          <w:tcPr>
            <w:tcW w:type="dxa" w:w="3300"/>
            <w:tcBorders>
              <w:top w:val="single" w:color="888888" w:sz="1"/>
              <w:left w:val="single" w:color="888888" w:sz="1"/>
              <w:bottom w:val="single" w:color="888888" w:sz="1"/>
              <w:right w:val="single" w:color="888888" w:sz="1"/>
            </w:tcBorders>
            <w:tcMar>
              <w:top w:type="dxa" w:w="60"/>
              <w:left w:type="dxa" w:w="90"/>
              <w:bottom w:type="dxa" w:w="60"/>
              <w:right w:type="dxa" w:w="90"/>
            </w:tcMar>
          </w:tcPr>
          <w:p>
            <w:pPr>
              <w:spacing w:line="260"/>
              <w:jc w:val="center"/>
            </w:pPr>
            <w:r>
              <w:rPr>
                <w:rFonts w:ascii="Times New Roman" w:cs="Times New Roman" w:eastAsia="Times New Roman" w:hAnsi="Times New Roman"/>
                <w:b w:val="false"/>
                <w:bCs w:val="false"/>
                <w:sz w:val="21"/>
                <w:szCs w:val="21"/>
              </w:rPr>
              <w:t xml:space="preserve">—</w:t>
            </w:r>
          </w:p>
        </w:tc>
      </w:tr>
    </w:tbl>
    <w:p>
      <w:pPr>
        <w:spacing w:after="80" w:before="140" w:line="300"/>
      </w:pPr>
      <w:r>
        <w:rPr>
          <w:rFonts w:ascii="Times New Roman" w:cs="Times New Roman" w:eastAsia="Times New Roman" w:hAnsi="Times New Roman"/>
          <w:b/>
          <w:bCs/>
          <w:sz w:val="24"/>
          <w:szCs w:val="24"/>
        </w:rPr>
        <w:t xml:space="preserve">Điều 4. Kiểm soát công nợ và mua trùng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Việc duyệt đơn mua làm dư nợ nhà cung cấp vượt hạn mức công nợ của nhà cung cấp đó bị Hệ thống chặn.</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Mặt hàng đã có đơn mua cho cùng mã bán hàng thì Hệ thống chặn mua trùng; chỉ Giám đốc/Quản trị xác nhận mới được mua bổ sung.</w:t>
      </w:r>
    </w:p>
    <w:p>
      <w:pPr>
        <w:spacing w:after="140" w:before="260"/>
        <w:jc w:val="center"/>
      </w:pPr>
      <w:r>
        <w:rPr>
          <w:rFonts w:ascii="Times New Roman" w:cs="Times New Roman" w:eastAsia="Times New Roman" w:hAnsi="Times New Roman"/>
          <w:b/>
          <w:bCs/>
          <w:sz w:val="26"/>
          <w:szCs w:val="26"/>
        </w:rPr>
        <w:t xml:space="preserve">CHƯƠNG III — ỦY QUYỀN</w:t>
      </w:r>
    </w:p>
    <w:p>
      <w:pPr>
        <w:spacing w:after="80" w:before="140" w:line="300"/>
      </w:pPr>
      <w:r>
        <w:rPr>
          <w:rFonts w:ascii="Times New Roman" w:cs="Times New Roman" w:eastAsia="Times New Roman" w:hAnsi="Times New Roman"/>
          <w:b/>
          <w:bCs/>
          <w:sz w:val="24"/>
          <w:szCs w:val="24"/>
        </w:rPr>
        <w:t xml:space="preserve">Điều 5. Ủy quyền phê duyệt</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Giám đốc có thể ủy quyền cho người khác phê duyệt trong phạm vi, thời hạn và hạn mức nhất định. Việc ủy quyền phải lập thành văn bản và cập nhật trên Hệ thống.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Người được ủy quyền chịu trách nhiệm về quyết định của mình trong phạm vi ủy quyền và không được ủy quyền lại nếu không được cho phép.</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Ủy quyền chấm dứt khi hết thời hạn, khi có văn bản thu hồi hoặc khi người ủy quyền/được ủy quyền không còn đảm nhiệm vị trí.</w:t>
      </w:r>
    </w:p>
    <w:p>
      <w:pPr>
        <w:spacing w:after="80" w:before="140" w:line="300"/>
      </w:pPr>
      <w:r>
        <w:rPr>
          <w:rFonts w:ascii="Times New Roman" w:cs="Times New Roman" w:eastAsia="Times New Roman" w:hAnsi="Times New Roman"/>
          <w:b/>
          <w:bCs/>
          <w:sz w:val="24"/>
          <w:szCs w:val="24"/>
        </w:rPr>
        <w:t xml:space="preserve">Điều 6. Trách nhiệm và hiệu lực</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Người phê duyệt sai thẩm quyền, vượt hạn mức, gây thiệt hại phải chịu trách nhiệm và bồi thường.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Quy chế có hiệu lực kể từ ngày ký; các hạn mức cụ thể được Giám đốc quyết định và cấu hình trên Hệ thống.</w:t>
      </w:r>
    </w:p>
    <w:p>
      <w:pPr>
        <w:spacing w:before="400"/>
      </w:pPr>
      <w:r>
        <w:rPr>
          <w:rFonts w:ascii="Times New Roman" w:cs="Times New Roman" w:eastAsia="Times New Roman" w:hAnsi="Times New Roman"/>
        </w:rPr>
        <w:t xml:space="preserve"/>
      </w:r>
    </w:p>
    <w:tbl>
      <w:tblPr>
        <w:tblW w:type="auto" w:w="100"/>
        <w:tblBorders>
          <w:top w:val="none"/>
          <w:left w:val="none"/>
          <w:bottom w:val="none"/>
          <w:right w:val="none"/>
          <w:insideH w:val="none"/>
          <w:insideV w:val="none"/>
        </w:tblBorders>
      </w:tblPr>
      <w:tblGrid>
        <w:gridCol w:w="9600"/>
      </w:tblGrid>
      <w:tr>
        <w:tc>
          <w:tcPr>
            <w:tcW w:type="dxa" w:w="9600"/>
            <w:tcBorders>
              <w:top w:val="none"/>
              <w:left w:val="none"/>
              <w:bottom w:val="none"/>
              <w:right w:val="none"/>
            </w:tcBorders>
          </w:tcPr>
          <w:p>
            <w:pPr>
              <w:jc w:val="right"/>
            </w:pPr>
            <w:r>
              <w:rPr>
                <w:rFonts w:ascii="Times New Roman" w:cs="Times New Roman" w:eastAsia="Times New Roman" w:hAnsi="Times New Roman"/>
                <w:b/>
                <w:bCs/>
                <w:sz w:val="24"/>
                <w:szCs w:val="24"/>
              </w:rPr>
              <w:t xml:space="preserve">GIÁM ĐỐC</w:t>
            </w:r>
          </w:p>
          <w:p>
            <w:pPr>
              <w:spacing w:after="900"/>
              <w:jc w:val="right"/>
            </w:pPr>
            <w:r>
              <w:rPr>
                <w:rFonts w:ascii="Times New Roman" w:cs="Times New Roman" w:eastAsia="Times New Roman" w:hAnsi="Times New Roman"/>
                <w:i/>
                <w:iCs/>
                <w:sz w:val="22"/>
                <w:szCs w:val="22"/>
              </w:rPr>
              <w:t xml:space="preserve">(Ký tên, đóng dấu)</w:t>
            </w:r>
          </w:p>
          <w:p>
            <w:pPr>
              <w:jc w:val="right"/>
            </w:pPr>
            <w:r>
              <w:rPr>
                <w:rFonts w:ascii="Times New Roman" w:cs="Times New Roman" w:eastAsia="Times New Roman" w:hAnsi="Times New Roman"/>
                <w:b/>
                <w:bCs/>
                <w:sz w:val="24"/>
                <w:szCs w:val="24"/>
              </w:rPr>
              <w:t xml:space="preserve">NGUYỄN LÊ HIẾU</w:t>
            </w:r>
          </w:p>
        </w:tc>
      </w:tr>
    </w:tbl>
    <w:p>
      <w:r>
        <w:br w:type="page"/>
      </w:r>
    </w:p>
    <w:p>
      <w:pPr>
        <w:spacing w:after="0"/>
        <w:jc w:val="center"/>
      </w:pPr>
      <w:r>
        <w:rPr>
          <w:rFonts w:ascii="Times New Roman" w:cs="Times New Roman" w:eastAsia="Times New Roman" w:hAnsi="Times New Roman"/>
          <w:b/>
          <w:bCs/>
          <w:sz w:val="24"/>
          <w:szCs w:val="24"/>
        </w:rPr>
        <w:t xml:space="preserve">CÔNG TY TNHH GIẢI PHÁP KỸ THUẬT SÓNG VIỆT</w:t>
      </w:r>
    </w:p>
    <w:p>
      <w:pPr>
        <w:spacing w:after="60"/>
        <w:jc w:val="center"/>
      </w:pPr>
      <w:r>
        <w:rPr>
          <w:rFonts w:ascii="Times New Roman" w:cs="Times New Roman" w:eastAsia="Times New Roman" w:hAnsi="Times New Roman"/>
          <w:sz w:val="24"/>
          <w:szCs w:val="24"/>
        </w:rPr>
        <w:t xml:space="preserve">Số: ......../2026/MHNCC-SV</w:t>
      </w:r>
    </w:p>
    <w:p>
      <w:pPr>
        <w:spacing w:after="0"/>
        <w:jc w:val="center"/>
      </w:pPr>
      <w:r>
        <w:rPr>
          <w:rFonts w:ascii="Times New Roman" w:cs="Times New Roman" w:eastAsia="Times New Roman" w:hAnsi="Times New Roman"/>
          <w:b/>
          <w:bCs/>
          <w:sz w:val="24"/>
          <w:szCs w:val="24"/>
        </w:rPr>
        <w:t xml:space="preserve">CỘNG HÒA XÃ HỘI CHỦ NGHĨA VIỆT NAM</w:t>
      </w:r>
    </w:p>
    <w:p>
      <w:pPr>
        <w:spacing w:after="240"/>
        <w:jc w:val="center"/>
      </w:pPr>
      <w:r>
        <w:rPr>
          <w:rFonts w:ascii="Times New Roman" w:cs="Times New Roman" w:eastAsia="Times New Roman" w:hAnsi="Times New Roman"/>
          <w:b/>
          <w:bCs/>
          <w:sz w:val="24"/>
          <w:szCs w:val="24"/>
        </w:rPr>
        <w:t xml:space="preserve">Độc lập – Tự do – Hạnh phúc</w:t>
      </w:r>
    </w:p>
    <w:p>
      <w:pPr>
        <w:spacing w:after="60"/>
        <w:jc w:val="center"/>
      </w:pPr>
      <w:r>
        <w:rPr>
          <w:rFonts w:ascii="Times New Roman" w:cs="Times New Roman" w:eastAsia="Times New Roman" w:hAnsi="Times New Roman"/>
          <w:b/>
          <w:bCs/>
          <w:sz w:val="30"/>
          <w:szCs w:val="30"/>
        </w:rPr>
        <w:t xml:space="preserve">QUY CHẾ MUA HÀNG VÀ LỰA CHỌN NHÀ CUNG CẤP</w:t>
      </w:r>
    </w:p>
    <w:p>
      <w:pPr>
        <w:spacing w:after="240"/>
        <w:jc w:val="center"/>
      </w:pPr>
      <w:r>
        <w:rPr>
          <w:rFonts w:ascii="Times New Roman" w:cs="Times New Roman" w:eastAsia="Times New Roman" w:hAnsi="Times New Roman"/>
          <w:i/>
          <w:iCs/>
          <w:sz w:val="22"/>
          <w:szCs w:val="22"/>
        </w:rPr>
        <w:t xml:space="preserve">(Ban hành kèm theo Quyết định số ......../2026/QĐ-SV ngày ...... tháng ...... năm 2026 của Giám đốc Công ty TNHH Giải pháp Kỹ thuật Sóng Việt)</w:t>
      </w:r>
    </w:p>
    <w:p>
      <w:pPr>
        <w:spacing w:after="100" w:line="300"/>
        <w:jc w:val="both"/>
      </w:pPr>
      <w:r>
        <w:rPr>
          <w:rFonts w:ascii="Times New Roman" w:cs="Times New Roman" w:eastAsia="Times New Roman" w:hAnsi="Times New Roman"/>
          <w:b w:val="false"/>
          <w:bCs w:val="false"/>
          <w:i w:val="false"/>
          <w:iCs w:val="false"/>
          <w:sz w:val="24"/>
          <w:szCs w:val="24"/>
        </w:rPr>
        <w:t xml:space="preserve">- Nhằm bảo đảm mua sắm đúng nhu cầu, tối ưu chi phí, minh bạch và phòng chống thông đồng, thất thoát,</w:t>
      </w:r>
    </w:p>
    <w:p>
      <w:pPr>
        <w:spacing w:after="100" w:line="300"/>
        <w:jc w:val="both"/>
      </w:pPr>
      <w:r>
        <w:rPr>
          <w:rFonts w:ascii="Times New Roman" w:cs="Times New Roman" w:eastAsia="Times New Roman" w:hAnsi="Times New Roman"/>
          <w:b/>
          <w:bCs/>
          <w:i w:val="false"/>
          <w:iCs w:val="false"/>
          <w:sz w:val="24"/>
          <w:szCs w:val="24"/>
        </w:rPr>
        <w:t xml:space="preserve">Giám đốc Công ty ban hành Quy chế mua hàng và lựa chọn nhà cung cấp như sau:</w:t>
      </w:r>
    </w:p>
    <w:p>
      <w:pPr>
        <w:spacing w:after="140" w:before="260"/>
        <w:jc w:val="center"/>
      </w:pPr>
      <w:r>
        <w:rPr>
          <w:rFonts w:ascii="Times New Roman" w:cs="Times New Roman" w:eastAsia="Times New Roman" w:hAnsi="Times New Roman"/>
          <w:b/>
          <w:bCs/>
          <w:sz w:val="26"/>
          <w:szCs w:val="26"/>
        </w:rPr>
        <w:t xml:space="preserve">CHƯƠNG I — QUY ĐỊNH CHUNG</w:t>
      </w:r>
    </w:p>
    <w:p>
      <w:pPr>
        <w:spacing w:after="80" w:before="140" w:line="300"/>
      </w:pPr>
      <w:r>
        <w:rPr>
          <w:rFonts w:ascii="Times New Roman" w:cs="Times New Roman" w:eastAsia="Times New Roman" w:hAnsi="Times New Roman"/>
          <w:b/>
          <w:bCs/>
          <w:sz w:val="24"/>
          <w:szCs w:val="24"/>
        </w:rPr>
        <w:t xml:space="preserve">Điều 1. Phạm vi áp dụng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Quy chế áp dụng cho hoạt động mua vật tư, thiết bị, hóa chất, dịch vụ phục vụ dự án, cho thuê và vận hành nội bộ của Công ty.</w:t>
      </w:r>
    </w:p>
    <w:p>
      <w:pPr>
        <w:spacing w:after="80" w:before="140" w:line="300"/>
      </w:pPr>
      <w:r>
        <w:rPr>
          <w:rFonts w:ascii="Times New Roman" w:cs="Times New Roman" w:eastAsia="Times New Roman" w:hAnsi="Times New Roman"/>
          <w:b/>
          <w:bCs/>
          <w:sz w:val="24"/>
          <w:szCs w:val="24"/>
        </w:rPr>
        <w:t xml:space="preserve">Điều 2. Nguyên tắc mua hàng</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1. Mua theo nhu cầu thực tế, có đề xuất và phê duyệt; gắn với mã bán hàng để kiểm soát giá vốn;</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2. Cạnh tranh, công bằng, minh bạch; ưu tiên chất lượng – tiến độ – giá hợp lý – điều khoản thanh toán tốt;</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3. Tách bạch người đề nghị, người phê duyệt, người nhận hàng;</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4. Toàn bộ quy trình thực hiện và lưu vết trên Hệ thống.</w:t>
      </w:r>
    </w:p>
    <w:p>
      <w:pPr>
        <w:spacing w:after="140" w:before="260"/>
        <w:jc w:val="center"/>
      </w:pPr>
      <w:r>
        <w:rPr>
          <w:rFonts w:ascii="Times New Roman" w:cs="Times New Roman" w:eastAsia="Times New Roman" w:hAnsi="Times New Roman"/>
          <w:b/>
          <w:bCs/>
          <w:sz w:val="26"/>
          <w:szCs w:val="26"/>
        </w:rPr>
        <w:t xml:space="preserve">CHƯƠNG II — QUY TRÌNH MUA HÀNG</w:t>
      </w:r>
    </w:p>
    <w:p>
      <w:pPr>
        <w:spacing w:after="80" w:before="140" w:line="300"/>
      </w:pPr>
      <w:r>
        <w:rPr>
          <w:rFonts w:ascii="Times New Roman" w:cs="Times New Roman" w:eastAsia="Times New Roman" w:hAnsi="Times New Roman"/>
          <w:b/>
          <w:bCs/>
          <w:sz w:val="24"/>
          <w:szCs w:val="24"/>
        </w:rPr>
        <w:t xml:space="preserve">Điều 3. Trình tự</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Đề xuất mua → phê duyệt đề xuất → yêu cầu báo giá (RFQ) và so sánh → lập đơn mua (PO) → phê duyệt PO theo hạn mức → gửi PO / xác nhận đặt hàng → nhận hàng, nhập kho → đối chiếu, công nợ phải trả → thanh toán.</w:t>
      </w:r>
    </w:p>
    <w:p>
      <w:pPr>
        <w:spacing w:after="80" w:before="140" w:line="300"/>
      </w:pPr>
      <w:r>
        <w:rPr>
          <w:rFonts w:ascii="Times New Roman" w:cs="Times New Roman" w:eastAsia="Times New Roman" w:hAnsi="Times New Roman"/>
          <w:b/>
          <w:bCs/>
          <w:sz w:val="24"/>
          <w:szCs w:val="24"/>
        </w:rPr>
        <w:t xml:space="preserve">Điều 4. Yêu cầu báo giá và số lượng nhà cung cấp</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Đối với gói mua có giá trị từ ………………… đồng trở lên, phải lấy tối thiểu 03 báo giá từ 03 nhà cung cấp độc lập.</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Trường hợp hàng đặc thù, độc quyền, hoặc cấp bách phục vụ khắc phục sự cố, có thể chỉ định nhà cung cấp nhưng phải nêu lý do và được Giám đốc phê duyệt.</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So sánh báo giá trên Hệ thống, lập bảng so sánh gồm giá, chất lượng, tiến độ, điều khoản thanh toán, uy tín.</w:t>
      </w:r>
    </w:p>
    <w:p>
      <w:pPr>
        <w:spacing w:after="80" w:before="140" w:line="300"/>
      </w:pPr>
      <w:r>
        <w:rPr>
          <w:rFonts w:ascii="Times New Roman" w:cs="Times New Roman" w:eastAsia="Times New Roman" w:hAnsi="Times New Roman"/>
          <w:b/>
          <w:bCs/>
          <w:sz w:val="24"/>
          <w:szCs w:val="24"/>
        </w:rPr>
        <w:t xml:space="preserve">Điều 5. Chống mua trùng, kiểm soát giá vốn</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Hệ thống chặn mua trùng đối với mặt hàng đã có PO cho cùng mã bán hàng; chỉ Giám đốc/Quản trị xác nhận mới được mua bổ sung. Giá vốn theo mã bán hàng được theo dõi để kiểm soát lãi/lỗ.</w:t>
      </w:r>
    </w:p>
    <w:p>
      <w:pPr>
        <w:spacing w:after="140" w:before="260"/>
        <w:jc w:val="center"/>
      </w:pPr>
      <w:r>
        <w:rPr>
          <w:rFonts w:ascii="Times New Roman" w:cs="Times New Roman" w:eastAsia="Times New Roman" w:hAnsi="Times New Roman"/>
          <w:b/>
          <w:bCs/>
          <w:sz w:val="26"/>
          <w:szCs w:val="26"/>
        </w:rPr>
        <w:t xml:space="preserve">CHƯƠNG III — LỰA CHỌN VÀ ĐÁNH GIÁ NHÀ CUNG CẤP</w:t>
      </w:r>
    </w:p>
    <w:p>
      <w:pPr>
        <w:spacing w:after="80" w:before="140" w:line="300"/>
      </w:pPr>
      <w:r>
        <w:rPr>
          <w:rFonts w:ascii="Times New Roman" w:cs="Times New Roman" w:eastAsia="Times New Roman" w:hAnsi="Times New Roman"/>
          <w:b/>
          <w:bCs/>
          <w:sz w:val="24"/>
          <w:szCs w:val="24"/>
        </w:rPr>
        <w:t xml:space="preserve">Điều 6. Tiêu chí lựa chọn nhà cung cấp</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a) Tư cách pháp lý, năng lực cung cấp, uy tín trên thị trường;</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b) Chất lượng hàng hóa/dịch vụ, chứng từ chất lượng (CO/CQ) khi cần;</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c) Giá cả cạnh tranh, điều khoản thanh toán;</w:t>
      </w:r>
    </w:p>
    <w:p>
      <w:pPr>
        <w:spacing w:after="100" w:line="300"/>
        <w:ind w:left="720"/>
        <w:jc w:val="both"/>
      </w:pPr>
      <w:r>
        <w:rPr>
          <w:rFonts w:ascii="Times New Roman" w:cs="Times New Roman" w:eastAsia="Times New Roman" w:hAnsi="Times New Roman"/>
          <w:b w:val="false"/>
          <w:bCs w:val="false"/>
          <w:i w:val="false"/>
          <w:iCs w:val="false"/>
          <w:sz w:val="24"/>
          <w:szCs w:val="24"/>
        </w:rPr>
        <w:t xml:space="preserve">d) Khả năng giao hàng đúng tiến độ, dịch vụ sau bán hàng, bảo hành.</w:t>
      </w:r>
    </w:p>
    <w:p>
      <w:pPr>
        <w:spacing w:after="80" w:before="140" w:line="300"/>
      </w:pPr>
      <w:r>
        <w:rPr>
          <w:rFonts w:ascii="Times New Roman" w:cs="Times New Roman" w:eastAsia="Times New Roman" w:hAnsi="Times New Roman"/>
          <w:b/>
          <w:bCs/>
          <w:sz w:val="24"/>
          <w:szCs w:val="24"/>
        </w:rPr>
        <w:t xml:space="preserve">Điều 7. Đánh giá nhà cung cấp sau giao hàng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Sau mỗi lần nhận hàng, Công ty chấm điểm nhà cung cấp trên Hệ thống theo tiêu chí: đúng hạn, đạt chất lượng (QC), đủ số lượng.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Nhà cung cấp giao trễ, không đạt chất lượng nhiều lần bị hạ điểm; nhà cung cấp có điểm đánh giá thấp kéo dài bị đưa vào danh sách hạn chế/loại (blacklist) và không được chọn cho các giao dịch mới.</w:t>
      </w:r>
    </w:p>
    <w:p>
      <w:pPr>
        <w:spacing w:after="80" w:before="140" w:line="300"/>
      </w:pPr>
      <w:r>
        <w:rPr>
          <w:rFonts w:ascii="Times New Roman" w:cs="Times New Roman" w:eastAsia="Times New Roman" w:hAnsi="Times New Roman"/>
          <w:b/>
          <w:bCs/>
          <w:sz w:val="24"/>
          <w:szCs w:val="24"/>
        </w:rPr>
        <w:t xml:space="preserve">Điều 8. Liêm chính trong mua hàng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Người tham gia mua hàng tuân thủ Quy tắc ứng xử và phòng, chống xung đột lợi ích; nghiêm cấm nhận hoa hồng, “lại quả”, thông đồng nâng giá; vi phạm bị xử lý kỷ luật đến mức sa thải và bồi thường.</w:t>
      </w:r>
    </w:p>
    <w:p>
      <w:pPr>
        <w:spacing w:after="80" w:before="140" w:line="300"/>
      </w:pPr>
      <w:r>
        <w:rPr>
          <w:rFonts w:ascii="Times New Roman" w:cs="Times New Roman" w:eastAsia="Times New Roman" w:hAnsi="Times New Roman"/>
          <w:b/>
          <w:bCs/>
          <w:sz w:val="24"/>
          <w:szCs w:val="24"/>
        </w:rPr>
        <w:t xml:space="preserve">Điều 9. Hiệu lực thi hành</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Quy chế có hiệu lực kể từ ngày ký; các ngưỡng giá trị cụ thể do Giám đốc quyết định và cấu hình trên Hệ thống.</w:t>
      </w:r>
    </w:p>
    <w:p>
      <w:pPr>
        <w:spacing w:before="400"/>
      </w:pPr>
      <w:r>
        <w:rPr>
          <w:rFonts w:ascii="Times New Roman" w:cs="Times New Roman" w:eastAsia="Times New Roman" w:hAnsi="Times New Roman"/>
        </w:rPr>
        <w:t xml:space="preserve"/>
      </w:r>
    </w:p>
    <w:tbl>
      <w:tblPr>
        <w:tblW w:type="auto" w:w="100"/>
        <w:tblBorders>
          <w:top w:val="none"/>
          <w:left w:val="none"/>
          <w:bottom w:val="none"/>
          <w:right w:val="none"/>
          <w:insideH w:val="none"/>
          <w:insideV w:val="none"/>
        </w:tblBorders>
      </w:tblPr>
      <w:tblGrid>
        <w:gridCol w:w="9600"/>
      </w:tblGrid>
      <w:tr>
        <w:tc>
          <w:tcPr>
            <w:tcW w:type="dxa" w:w="9600"/>
            <w:tcBorders>
              <w:top w:val="none"/>
              <w:left w:val="none"/>
              <w:bottom w:val="none"/>
              <w:right w:val="none"/>
            </w:tcBorders>
          </w:tcPr>
          <w:p>
            <w:pPr>
              <w:jc w:val="right"/>
            </w:pPr>
            <w:r>
              <w:rPr>
                <w:rFonts w:ascii="Times New Roman" w:cs="Times New Roman" w:eastAsia="Times New Roman" w:hAnsi="Times New Roman"/>
                <w:b/>
                <w:bCs/>
                <w:sz w:val="24"/>
                <w:szCs w:val="24"/>
              </w:rPr>
              <w:t xml:space="preserve">GIÁM ĐỐC</w:t>
            </w:r>
          </w:p>
          <w:p>
            <w:pPr>
              <w:spacing w:after="900"/>
              <w:jc w:val="right"/>
            </w:pPr>
            <w:r>
              <w:rPr>
                <w:rFonts w:ascii="Times New Roman" w:cs="Times New Roman" w:eastAsia="Times New Roman" w:hAnsi="Times New Roman"/>
                <w:i/>
                <w:iCs/>
                <w:sz w:val="22"/>
                <w:szCs w:val="22"/>
              </w:rPr>
              <w:t xml:space="preserve">(Ký tên, đóng dấu)</w:t>
            </w:r>
          </w:p>
          <w:p>
            <w:pPr>
              <w:jc w:val="right"/>
            </w:pPr>
            <w:r>
              <w:rPr>
                <w:rFonts w:ascii="Times New Roman" w:cs="Times New Roman" w:eastAsia="Times New Roman" w:hAnsi="Times New Roman"/>
                <w:b/>
                <w:bCs/>
                <w:sz w:val="24"/>
                <w:szCs w:val="24"/>
              </w:rPr>
              <w:t xml:space="preserve">NGUYỄN LÊ HIẾU</w:t>
            </w:r>
          </w:p>
        </w:tc>
      </w:tr>
    </w:tbl>
    <w:p>
      <w:r>
        <w:br w:type="page"/>
      </w:r>
    </w:p>
    <w:p>
      <w:pPr>
        <w:spacing w:after="0"/>
        <w:jc w:val="center"/>
      </w:pPr>
      <w:r>
        <w:rPr>
          <w:rFonts w:ascii="Times New Roman" w:cs="Times New Roman" w:eastAsia="Times New Roman" w:hAnsi="Times New Roman"/>
          <w:b/>
          <w:bCs/>
          <w:sz w:val="24"/>
          <w:szCs w:val="24"/>
        </w:rPr>
        <w:t xml:space="preserve">CÔNG TY TNHH GIẢI PHÁP KỸ THUẬT SÓNG VIỆT</w:t>
      </w:r>
    </w:p>
    <w:p>
      <w:pPr>
        <w:spacing w:after="60"/>
        <w:jc w:val="center"/>
      </w:pPr>
      <w:r>
        <w:rPr>
          <w:rFonts w:ascii="Times New Roman" w:cs="Times New Roman" w:eastAsia="Times New Roman" w:hAnsi="Times New Roman"/>
          <w:sz w:val="24"/>
          <w:szCs w:val="24"/>
        </w:rPr>
        <w:t xml:space="preserve">Số: ......../2026/QLDA-SV</w:t>
      </w:r>
    </w:p>
    <w:p>
      <w:pPr>
        <w:spacing w:after="0"/>
        <w:jc w:val="center"/>
      </w:pPr>
      <w:r>
        <w:rPr>
          <w:rFonts w:ascii="Times New Roman" w:cs="Times New Roman" w:eastAsia="Times New Roman" w:hAnsi="Times New Roman"/>
          <w:b/>
          <w:bCs/>
          <w:sz w:val="24"/>
          <w:szCs w:val="24"/>
        </w:rPr>
        <w:t xml:space="preserve">CỘNG HÒA XÃ HỘI CHỦ NGHĨA VIỆT NAM</w:t>
      </w:r>
    </w:p>
    <w:p>
      <w:pPr>
        <w:spacing w:after="240"/>
        <w:jc w:val="center"/>
      </w:pPr>
      <w:r>
        <w:rPr>
          <w:rFonts w:ascii="Times New Roman" w:cs="Times New Roman" w:eastAsia="Times New Roman" w:hAnsi="Times New Roman"/>
          <w:b/>
          <w:bCs/>
          <w:sz w:val="24"/>
          <w:szCs w:val="24"/>
        </w:rPr>
        <w:t xml:space="preserve">Độc lập – Tự do – Hạnh phúc</w:t>
      </w:r>
    </w:p>
    <w:p>
      <w:pPr>
        <w:spacing w:after="60"/>
        <w:jc w:val="center"/>
      </w:pPr>
      <w:r>
        <w:rPr>
          <w:rFonts w:ascii="Times New Roman" w:cs="Times New Roman" w:eastAsia="Times New Roman" w:hAnsi="Times New Roman"/>
          <w:b/>
          <w:bCs/>
          <w:sz w:val="30"/>
          <w:szCs w:val="30"/>
        </w:rPr>
        <w:t xml:space="preserve">QUY CHẾ QUẢN LÝ DỰ ÁN, NGHIỆM THU VÀ BẢO HÀNH</w:t>
      </w:r>
    </w:p>
    <w:p>
      <w:pPr>
        <w:spacing w:after="240"/>
        <w:jc w:val="center"/>
      </w:pPr>
      <w:r>
        <w:rPr>
          <w:rFonts w:ascii="Times New Roman" w:cs="Times New Roman" w:eastAsia="Times New Roman" w:hAnsi="Times New Roman"/>
          <w:i/>
          <w:iCs/>
          <w:sz w:val="22"/>
          <w:szCs w:val="22"/>
        </w:rPr>
        <w:t xml:space="preserve">(Ban hành kèm theo Quyết định số ......../2026/QĐ-SV ngày ...... tháng ...... năm 2026 của Giám đốc Công ty TNHH Giải pháp Kỹ thuật Sóng Việt)</w:t>
      </w:r>
    </w:p>
    <w:p>
      <w:pPr>
        <w:spacing w:after="100" w:line="300"/>
        <w:jc w:val="both"/>
      </w:pPr>
      <w:r>
        <w:rPr>
          <w:rFonts w:ascii="Times New Roman" w:cs="Times New Roman" w:eastAsia="Times New Roman" w:hAnsi="Times New Roman"/>
          <w:b w:val="false"/>
          <w:bCs w:val="false"/>
          <w:i w:val="false"/>
          <w:iCs w:val="false"/>
          <w:sz w:val="24"/>
          <w:szCs w:val="24"/>
        </w:rPr>
        <w:t xml:space="preserve">- Căn cứ hoạt động tư vấn – thiết kế – thi công – lắp đặt – vận hành hệ thống xử lý nước, nước thải, khí thải của Công ty;</w:t>
      </w:r>
    </w:p>
    <w:p>
      <w:pPr>
        <w:spacing w:after="100" w:line="300"/>
        <w:jc w:val="both"/>
      </w:pPr>
      <w:r>
        <w:rPr>
          <w:rFonts w:ascii="Times New Roman" w:cs="Times New Roman" w:eastAsia="Times New Roman" w:hAnsi="Times New Roman"/>
          <w:b w:val="false"/>
          <w:bCs w:val="false"/>
          <w:i w:val="false"/>
          <w:iCs w:val="false"/>
          <w:sz w:val="24"/>
          <w:szCs w:val="24"/>
        </w:rPr>
        <w:t xml:space="preserve">- Nhằm chuẩn hóa việc triển khai, kiểm soát chất lượng, tiến độ, chi phí, an toàn và bảo hành,</w:t>
      </w:r>
    </w:p>
    <w:p>
      <w:pPr>
        <w:spacing w:after="100" w:line="300"/>
        <w:jc w:val="both"/>
      </w:pPr>
      <w:r>
        <w:rPr>
          <w:rFonts w:ascii="Times New Roman" w:cs="Times New Roman" w:eastAsia="Times New Roman" w:hAnsi="Times New Roman"/>
          <w:b/>
          <w:bCs/>
          <w:i w:val="false"/>
          <w:iCs w:val="false"/>
          <w:sz w:val="24"/>
          <w:szCs w:val="24"/>
        </w:rPr>
        <w:t xml:space="preserve">Giám đốc Công ty ban hành Quy chế quản lý dự án, nghiệm thu và bảo hành như sau:</w:t>
      </w:r>
    </w:p>
    <w:p>
      <w:pPr>
        <w:spacing w:after="140" w:before="260"/>
        <w:jc w:val="center"/>
      </w:pPr>
      <w:r>
        <w:rPr>
          <w:rFonts w:ascii="Times New Roman" w:cs="Times New Roman" w:eastAsia="Times New Roman" w:hAnsi="Times New Roman"/>
          <w:b/>
          <w:bCs/>
          <w:sz w:val="26"/>
          <w:szCs w:val="26"/>
        </w:rPr>
        <w:t xml:space="preserve">CHƯƠNG I — QUY ĐỊNH CHUNG</w:t>
      </w:r>
    </w:p>
    <w:p>
      <w:pPr>
        <w:spacing w:after="80" w:before="140" w:line="300"/>
      </w:pPr>
      <w:r>
        <w:rPr>
          <w:rFonts w:ascii="Times New Roman" w:cs="Times New Roman" w:eastAsia="Times New Roman" w:hAnsi="Times New Roman"/>
          <w:b/>
          <w:bCs/>
          <w:sz w:val="24"/>
          <w:szCs w:val="24"/>
        </w:rPr>
        <w:t xml:space="preserve">Điều 1. Phạm vi áp dụng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Quy chế áp dụng cho toàn bộ dự án Công ty thực hiện cho khách hàng và các dự án nội bộ, từ khi ký hợp đồng đến khi hết thời hạn bảo hành.</w:t>
      </w:r>
    </w:p>
    <w:p>
      <w:pPr>
        <w:spacing w:after="80" w:before="140" w:line="300"/>
      </w:pPr>
      <w:r>
        <w:rPr>
          <w:rFonts w:ascii="Times New Roman" w:cs="Times New Roman" w:eastAsia="Times New Roman" w:hAnsi="Times New Roman"/>
          <w:b/>
          <w:bCs/>
          <w:sz w:val="24"/>
          <w:szCs w:val="24"/>
        </w:rPr>
        <w:t xml:space="preserve">Điều 2. Vai trò</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Trưởng Dự án chịu trách nhiệm toàn diện về tiến độ, chất lượng, chi phí, an toàn và hồ sơ của dự án được giao.</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Nhân viên Dự án/Kỹ thuật thực hiện thi công, giám sát, vận hành thử, lấy mẫu, ghi nhật ký theo phân công.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Các bộ phận Cung ứng, Kho, Kế toán phối hợp bảo đảm vật tư, thiết bị và kiểm soát chi phí theo mã bán hàng.</w:t>
      </w:r>
    </w:p>
    <w:p>
      <w:pPr>
        <w:spacing w:after="140" w:before="260"/>
        <w:jc w:val="center"/>
      </w:pPr>
      <w:r>
        <w:rPr>
          <w:rFonts w:ascii="Times New Roman" w:cs="Times New Roman" w:eastAsia="Times New Roman" w:hAnsi="Times New Roman"/>
          <w:b/>
          <w:bCs/>
          <w:sz w:val="26"/>
          <w:szCs w:val="26"/>
        </w:rPr>
        <w:t xml:space="preserve">CHƯƠNG II — TRIỂN KHAI DỰ ÁN</w:t>
      </w:r>
    </w:p>
    <w:p>
      <w:pPr>
        <w:spacing w:after="80" w:before="140" w:line="300"/>
      </w:pPr>
      <w:r>
        <w:rPr>
          <w:rFonts w:ascii="Times New Roman" w:cs="Times New Roman" w:eastAsia="Times New Roman" w:hAnsi="Times New Roman"/>
          <w:b/>
          <w:bCs/>
          <w:sz w:val="24"/>
          <w:szCs w:val="24"/>
        </w:rPr>
        <w:t xml:space="preserve">Điều 3. Khởi tạo và kế hoạch dự án</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Mỗi dự án được mở trên Hệ thống, gắn Mã bán hàng, có kế hoạch tiến độ theo mốc, danh mục thiết bị – vật tư – nhân sự (dự toán) và ngân sách chi phí.</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Trưởng Dự án lập chỉ tiêu đầu ra cần đạt (chất lượng nước/khí sau xử lý theo QCVN áp dụng) và các mốc nghiệm thu.</w:t>
      </w:r>
    </w:p>
    <w:p>
      <w:pPr>
        <w:spacing w:after="80" w:before="140" w:line="300"/>
      </w:pPr>
      <w:r>
        <w:rPr>
          <w:rFonts w:ascii="Times New Roman" w:cs="Times New Roman" w:eastAsia="Times New Roman" w:hAnsi="Times New Roman"/>
          <w:b/>
          <w:bCs/>
          <w:sz w:val="24"/>
          <w:szCs w:val="24"/>
        </w:rPr>
        <w:t xml:space="preserve">Điều 4. Kiểm soát tiến độ, chi phí, KPI</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Cập nhật tiến độ theo mốc, khối lượng thực hiện, rủi ro và nhật ký thi công trên Hệ thống.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Kiểm soát chi phí thực tế so với dự toán; chênh lệch vượt ngưỡng phải giải trình và được phê duyệt theo hạn mức.</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Theo dõi bộ chỉ tiêu KPI dự án: đúng tiến độ, chỉ tiêu đầu ra đạt quy chuẩn, chênh lệch chi phí, sự cố an toàn.</w:t>
      </w:r>
    </w:p>
    <w:p>
      <w:pPr>
        <w:spacing w:after="80" w:before="140" w:line="300"/>
      </w:pPr>
      <w:r>
        <w:rPr>
          <w:rFonts w:ascii="Times New Roman" w:cs="Times New Roman" w:eastAsia="Times New Roman" w:hAnsi="Times New Roman"/>
          <w:b/>
          <w:bCs/>
          <w:sz w:val="24"/>
          <w:szCs w:val="24"/>
        </w:rPr>
        <w:t xml:space="preserve">Điều 5. An toàn và chất lượng trong thi công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Trước khi thi công/vận hành phải lập đánh giá rủi ro (HIRA) và tuân thủ Quy chế ATVSLĐ.</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Vật tư, thiết bị đưa vào dự án phải đúng chủng loại, có chứng từ chất lượng; quản lý theo Quy chế quản lý vật tư – thiết bị – dụng cụ khi triển khai dự án (PRO-01).</w:t>
      </w:r>
    </w:p>
    <w:p>
      <w:pPr>
        <w:spacing w:after="140" w:before="260"/>
        <w:jc w:val="center"/>
      </w:pPr>
      <w:r>
        <w:rPr>
          <w:rFonts w:ascii="Times New Roman" w:cs="Times New Roman" w:eastAsia="Times New Roman" w:hAnsi="Times New Roman"/>
          <w:b/>
          <w:bCs/>
          <w:sz w:val="26"/>
          <w:szCs w:val="26"/>
        </w:rPr>
        <w:t xml:space="preserve">CHƯƠNG III — NGHIỆM THU</w:t>
      </w:r>
    </w:p>
    <w:p>
      <w:pPr>
        <w:spacing w:after="80" w:before="140" w:line="300"/>
      </w:pPr>
      <w:r>
        <w:rPr>
          <w:rFonts w:ascii="Times New Roman" w:cs="Times New Roman" w:eastAsia="Times New Roman" w:hAnsi="Times New Roman"/>
          <w:b/>
          <w:bCs/>
          <w:sz w:val="24"/>
          <w:szCs w:val="24"/>
        </w:rPr>
        <w:t xml:space="preserve">Điều 6. Nghiệm thu nội bộ</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Trước khi nghiệm thu với khách hàng, Trưởng Dự án tổ chức nghiệm thu nội bộ: kiểm tra lắp đặt theo thiết kế, chạy thử, đo các chỉ tiêu vận hành, khắc phục tồn tại.</w:t>
      </w:r>
    </w:p>
    <w:p>
      <w:pPr>
        <w:spacing w:after="80" w:before="140" w:line="300"/>
      </w:pPr>
      <w:r>
        <w:rPr>
          <w:rFonts w:ascii="Times New Roman" w:cs="Times New Roman" w:eastAsia="Times New Roman" w:hAnsi="Times New Roman"/>
          <w:b/>
          <w:bCs/>
          <w:sz w:val="24"/>
          <w:szCs w:val="24"/>
        </w:rPr>
        <w:t xml:space="preserve">Điều 7. Nghiệm thu với khách hàng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Nghiệm thu theo giai đoạn/mốc và nghiệm thu hoàn thành, lập biên bản nghiệm thu có xác nhận của khách hàng, kèm kết quả đo chỉ tiêu đầu ra đạt quy chuẩn.</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Hồ sơ nghiệm thu gồm: biên bản nghiệm thu, bản vẽ hoàn công, kết quả thử nghiệm/đo mẫu, hướng dẫn vận hành, danh mục thiết bị và điều khoản bảo hành.</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Biên bản nghiệm thu hoàn thành là căn cứ để xuất hóa đơn, ghi nhận doanh thu và bắt đầu tính thời hạn bảo hành.</w:t>
      </w:r>
    </w:p>
    <w:p>
      <w:pPr>
        <w:spacing w:after="80" w:before="140" w:line="300"/>
      </w:pPr>
      <w:r>
        <w:rPr>
          <w:rFonts w:ascii="Times New Roman" w:cs="Times New Roman" w:eastAsia="Times New Roman" w:hAnsi="Times New Roman"/>
          <w:b/>
          <w:bCs/>
          <w:sz w:val="24"/>
          <w:szCs w:val="24"/>
        </w:rPr>
        <w:t xml:space="preserve">Điều 8. Bàn giao và đào tạo vận hành</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Công ty bàn giao hệ thống, tài liệu vận hành và tổ chức hướng dẫn/đào tạo vận hành cho nhân sự của khách hàng khi có yêu cầu trong hợp đồng.</w:t>
      </w:r>
    </w:p>
    <w:p>
      <w:pPr>
        <w:spacing w:after="140" w:before="260"/>
        <w:jc w:val="center"/>
      </w:pPr>
      <w:r>
        <w:rPr>
          <w:rFonts w:ascii="Times New Roman" w:cs="Times New Roman" w:eastAsia="Times New Roman" w:hAnsi="Times New Roman"/>
          <w:b/>
          <w:bCs/>
          <w:sz w:val="26"/>
          <w:szCs w:val="26"/>
        </w:rPr>
        <w:t xml:space="preserve">CHƯƠNG IV — BẢO HÀNH VÀ HẬU MÃI</w:t>
      </w:r>
    </w:p>
    <w:p>
      <w:pPr>
        <w:spacing w:after="80" w:before="140" w:line="300"/>
      </w:pPr>
      <w:r>
        <w:rPr>
          <w:rFonts w:ascii="Times New Roman" w:cs="Times New Roman" w:eastAsia="Times New Roman" w:hAnsi="Times New Roman"/>
          <w:b/>
          <w:bCs/>
          <w:sz w:val="24"/>
          <w:szCs w:val="24"/>
        </w:rPr>
        <w:t xml:space="preserve">Điều 9. Thời hạn và phạm vi bảo hành</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Thời hạn bảo hành theo hợp đồng; trường hợp không quy định thì áp dụng tối thiểu 12 tháng kể từ ngày nghiệm thu hoàn thành đối với phần Công ty thi công/lắp đặt.</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Phạm vi bảo hành: khắc phục lỗi kỹ thuật do thi công, lắp đặt của Công ty; thiết bị được bảo hành theo chính sách của nhà sản xuất.</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Không bảo hành đối với hư hỏng do khách hàng vận hành sai hướng dẫn, tự ý sửa chữa, do thiên tai, do hóa chất/nguồn nước ngoài thông số thiết kế.</w:t>
      </w:r>
    </w:p>
    <w:p>
      <w:pPr>
        <w:spacing w:after="80" w:before="140" w:line="300"/>
      </w:pPr>
      <w:r>
        <w:rPr>
          <w:rFonts w:ascii="Times New Roman" w:cs="Times New Roman" w:eastAsia="Times New Roman" w:hAnsi="Times New Roman"/>
          <w:b/>
          <w:bCs/>
          <w:sz w:val="24"/>
          <w:szCs w:val="24"/>
        </w:rPr>
        <w:t xml:space="preserve">Điều 10. Tiếp nhận và xử lý yêu cầu bảo hành</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Yêu cầu bảo hành được tiếp nhận qua Hệ thống/đầu mối chăm sóc khách hàng; ghi nhận thời điểm tiếp nhận.</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Thời gian phản hồi và có mặt xử lý theo cam kết dịch vụ (SLA) của hợp đồng; ưu tiên sự cố ảnh hưởng chất lượng nước đầu ra.</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Ghi nhận kết quả xử lý, chi phí (nếu ngoài phạm vi bảo hành) và cập nhật lịch bảo trì định kỳ.</w:t>
      </w:r>
    </w:p>
    <w:p>
      <w:pPr>
        <w:spacing w:after="80" w:before="140" w:line="300"/>
      </w:pPr>
      <w:r>
        <w:rPr>
          <w:rFonts w:ascii="Times New Roman" w:cs="Times New Roman" w:eastAsia="Times New Roman" w:hAnsi="Times New Roman"/>
          <w:b/>
          <w:bCs/>
          <w:sz w:val="24"/>
          <w:szCs w:val="24"/>
        </w:rPr>
        <w:t xml:space="preserve">Điều 11. Bảo trì định kỳ (hợp đồng dịch vụ)</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Đối với khách hàng ký hợp đồng bảo trì/vận hành, Công ty lập lịch bảo trì định kỳ, thực hiện và báo cáo theo chu kỳ; theo dõi vật tư, hóa chất tiêu hao và định mức.</w:t>
      </w:r>
    </w:p>
    <w:p>
      <w:pPr>
        <w:spacing w:after="80" w:before="140" w:line="300"/>
      </w:pPr>
      <w:r>
        <w:rPr>
          <w:rFonts w:ascii="Times New Roman" w:cs="Times New Roman" w:eastAsia="Times New Roman" w:hAnsi="Times New Roman"/>
          <w:b/>
          <w:bCs/>
          <w:sz w:val="24"/>
          <w:szCs w:val="24"/>
        </w:rPr>
        <w:t xml:space="preserve">Điều 12. Hiệu lực thi hành</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Quy chế có hiệu lực kể từ ngày ký; Trưởng Dự án và các bộ phận liên quan chịu trách nhiệm thực hiện.</w:t>
      </w:r>
    </w:p>
    <w:p>
      <w:pPr>
        <w:spacing w:before="400"/>
      </w:pPr>
      <w:r>
        <w:rPr>
          <w:rFonts w:ascii="Times New Roman" w:cs="Times New Roman" w:eastAsia="Times New Roman" w:hAnsi="Times New Roman"/>
        </w:rPr>
        <w:t xml:space="preserve"/>
      </w:r>
    </w:p>
    <w:tbl>
      <w:tblPr>
        <w:tblW w:type="auto" w:w="100"/>
        <w:tblBorders>
          <w:top w:val="none"/>
          <w:left w:val="none"/>
          <w:bottom w:val="none"/>
          <w:right w:val="none"/>
          <w:insideH w:val="none"/>
          <w:insideV w:val="none"/>
        </w:tblBorders>
      </w:tblPr>
      <w:tblGrid>
        <w:gridCol w:w="9600"/>
      </w:tblGrid>
      <w:tr>
        <w:tc>
          <w:tcPr>
            <w:tcW w:type="dxa" w:w="9600"/>
            <w:tcBorders>
              <w:top w:val="none"/>
              <w:left w:val="none"/>
              <w:bottom w:val="none"/>
              <w:right w:val="none"/>
            </w:tcBorders>
          </w:tcPr>
          <w:p>
            <w:pPr>
              <w:jc w:val="right"/>
            </w:pPr>
            <w:r>
              <w:rPr>
                <w:rFonts w:ascii="Times New Roman" w:cs="Times New Roman" w:eastAsia="Times New Roman" w:hAnsi="Times New Roman"/>
                <w:b/>
                <w:bCs/>
                <w:sz w:val="24"/>
                <w:szCs w:val="24"/>
              </w:rPr>
              <w:t xml:space="preserve">GIÁM ĐỐC</w:t>
            </w:r>
          </w:p>
          <w:p>
            <w:pPr>
              <w:spacing w:after="900"/>
              <w:jc w:val="right"/>
            </w:pPr>
            <w:r>
              <w:rPr>
                <w:rFonts w:ascii="Times New Roman" w:cs="Times New Roman" w:eastAsia="Times New Roman" w:hAnsi="Times New Roman"/>
                <w:i/>
                <w:iCs/>
                <w:sz w:val="22"/>
                <w:szCs w:val="22"/>
              </w:rPr>
              <w:t xml:space="preserve">(Ký tên, đóng dấu)</w:t>
            </w:r>
          </w:p>
          <w:p>
            <w:pPr>
              <w:jc w:val="right"/>
            </w:pPr>
            <w:r>
              <w:rPr>
                <w:rFonts w:ascii="Times New Roman" w:cs="Times New Roman" w:eastAsia="Times New Roman" w:hAnsi="Times New Roman"/>
                <w:b/>
                <w:bCs/>
                <w:sz w:val="24"/>
                <w:szCs w:val="24"/>
              </w:rPr>
              <w:t xml:space="preserve">NGUYỄN LÊ HIẾU</w:t>
            </w:r>
          </w:p>
        </w:tc>
      </w:tr>
    </w:tbl>
    <w:p>
      <w:r>
        <w:br w:type="page"/>
      </w:r>
    </w:p>
    <w:p>
      <w:pPr>
        <w:spacing w:after="0"/>
        <w:jc w:val="center"/>
      </w:pPr>
      <w:r>
        <w:rPr>
          <w:rFonts w:ascii="Times New Roman" w:cs="Times New Roman" w:eastAsia="Times New Roman" w:hAnsi="Times New Roman"/>
          <w:b/>
          <w:bCs/>
          <w:sz w:val="24"/>
          <w:szCs w:val="24"/>
        </w:rPr>
        <w:t xml:space="preserve">CÔNG TY TNHH GIẢI PHÁP KỸ THUẬT SÓNG VIỆT</w:t>
      </w:r>
    </w:p>
    <w:p>
      <w:pPr>
        <w:spacing w:after="60"/>
        <w:jc w:val="center"/>
      </w:pPr>
      <w:r>
        <w:rPr>
          <w:rFonts w:ascii="Times New Roman" w:cs="Times New Roman" w:eastAsia="Times New Roman" w:hAnsi="Times New Roman"/>
          <w:sz w:val="24"/>
          <w:szCs w:val="24"/>
        </w:rPr>
        <w:t xml:space="preserve">Số: ......../2026/CT-SV</w:t>
      </w:r>
    </w:p>
    <w:p>
      <w:pPr>
        <w:spacing w:after="0"/>
        <w:jc w:val="center"/>
      </w:pPr>
      <w:r>
        <w:rPr>
          <w:rFonts w:ascii="Times New Roman" w:cs="Times New Roman" w:eastAsia="Times New Roman" w:hAnsi="Times New Roman"/>
          <w:b/>
          <w:bCs/>
          <w:sz w:val="24"/>
          <w:szCs w:val="24"/>
        </w:rPr>
        <w:t xml:space="preserve">CỘNG HÒA XÃ HỘI CHỦ NGHĨA VIỆT NAM</w:t>
      </w:r>
    </w:p>
    <w:p>
      <w:pPr>
        <w:spacing w:after="240"/>
        <w:jc w:val="center"/>
      </w:pPr>
      <w:r>
        <w:rPr>
          <w:rFonts w:ascii="Times New Roman" w:cs="Times New Roman" w:eastAsia="Times New Roman" w:hAnsi="Times New Roman"/>
          <w:b/>
          <w:bCs/>
          <w:sz w:val="24"/>
          <w:szCs w:val="24"/>
        </w:rPr>
        <w:t xml:space="preserve">Độc lập – Tự do – Hạnh phúc</w:t>
      </w:r>
    </w:p>
    <w:p>
      <w:pPr>
        <w:spacing w:after="60"/>
        <w:jc w:val="center"/>
      </w:pPr>
      <w:r>
        <w:rPr>
          <w:rFonts w:ascii="Times New Roman" w:cs="Times New Roman" w:eastAsia="Times New Roman" w:hAnsi="Times New Roman"/>
          <w:b/>
          <w:bCs/>
          <w:sz w:val="30"/>
          <w:szCs w:val="30"/>
        </w:rPr>
        <w:t xml:space="preserve">QUY CHẾ CHO THUÊ THIẾT BỊ, HỆ THỐNG XỬ LÝ</w:t>
      </w:r>
    </w:p>
    <w:p>
      <w:pPr>
        <w:spacing w:after="240"/>
        <w:jc w:val="center"/>
      </w:pPr>
      <w:r>
        <w:rPr>
          <w:rFonts w:ascii="Times New Roman" w:cs="Times New Roman" w:eastAsia="Times New Roman" w:hAnsi="Times New Roman"/>
          <w:i/>
          <w:iCs/>
          <w:sz w:val="22"/>
          <w:szCs w:val="22"/>
        </w:rPr>
        <w:t xml:space="preserve">(Ban hành kèm theo Quyết định số ......../2026/QĐ-SV ngày ...... tháng ...... năm 2026 của Giám đốc Công ty TNHH Giải pháp Kỹ thuật Sóng Việt)</w:t>
      </w:r>
    </w:p>
    <w:p>
      <w:pPr>
        <w:spacing w:after="100" w:line="300"/>
        <w:jc w:val="both"/>
      </w:pPr>
      <w:r>
        <w:rPr>
          <w:rFonts w:ascii="Times New Roman" w:cs="Times New Roman" w:eastAsia="Times New Roman" w:hAnsi="Times New Roman"/>
          <w:b w:val="false"/>
          <w:bCs w:val="false"/>
          <w:i w:val="false"/>
          <w:iCs w:val="false"/>
          <w:sz w:val="24"/>
          <w:szCs w:val="24"/>
        </w:rPr>
        <w:t xml:space="preserve">- Căn cứ hoạt động cho thuê thiết bị, hệ thống xử lý nước của Công ty;</w:t>
      </w:r>
    </w:p>
    <w:p>
      <w:pPr>
        <w:spacing w:after="100" w:line="300"/>
        <w:jc w:val="both"/>
      </w:pPr>
      <w:r>
        <w:rPr>
          <w:rFonts w:ascii="Times New Roman" w:cs="Times New Roman" w:eastAsia="Times New Roman" w:hAnsi="Times New Roman"/>
          <w:b w:val="false"/>
          <w:bCs w:val="false"/>
          <w:i w:val="false"/>
          <w:iCs w:val="false"/>
          <w:sz w:val="24"/>
          <w:szCs w:val="24"/>
        </w:rPr>
        <w:t xml:space="preserve">- Nhằm quản lý hợp đồng thuê, tài sản cho thuê, công nợ thuê và bảo trì hiệu quả,</w:t>
      </w:r>
    </w:p>
    <w:p>
      <w:pPr>
        <w:spacing w:after="100" w:line="300"/>
        <w:jc w:val="both"/>
      </w:pPr>
      <w:r>
        <w:rPr>
          <w:rFonts w:ascii="Times New Roman" w:cs="Times New Roman" w:eastAsia="Times New Roman" w:hAnsi="Times New Roman"/>
          <w:b/>
          <w:bCs/>
          <w:i w:val="false"/>
          <w:iCs w:val="false"/>
          <w:sz w:val="24"/>
          <w:szCs w:val="24"/>
        </w:rPr>
        <w:t xml:space="preserve">Giám đốc Công ty ban hành Quy chế cho thuê thiết bị, hệ thống xử lý như sau:</w:t>
      </w:r>
    </w:p>
    <w:p>
      <w:pPr>
        <w:spacing w:after="140" w:before="260"/>
        <w:jc w:val="center"/>
      </w:pPr>
      <w:r>
        <w:rPr>
          <w:rFonts w:ascii="Times New Roman" w:cs="Times New Roman" w:eastAsia="Times New Roman" w:hAnsi="Times New Roman"/>
          <w:b/>
          <w:bCs/>
          <w:sz w:val="26"/>
          <w:szCs w:val="26"/>
        </w:rPr>
        <w:t xml:space="preserve">CHƯƠNG I — QUY ĐỊNH CHUNG</w:t>
      </w:r>
    </w:p>
    <w:p>
      <w:pPr>
        <w:spacing w:after="80" w:before="140" w:line="300"/>
      </w:pPr>
      <w:r>
        <w:rPr>
          <w:rFonts w:ascii="Times New Roman" w:cs="Times New Roman" w:eastAsia="Times New Roman" w:hAnsi="Times New Roman"/>
          <w:b/>
          <w:bCs/>
          <w:sz w:val="24"/>
          <w:szCs w:val="24"/>
        </w:rPr>
        <w:t xml:space="preserve">Điều 1. Phạm vi áp dụng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Quy chế áp dụng cho hoạt động cho thuê thiết bị, hệ thống xử lý nước và dịch vụ vận hành kèm theo của Công ty.</w:t>
      </w:r>
    </w:p>
    <w:p>
      <w:pPr>
        <w:spacing w:after="80" w:before="140" w:line="300"/>
      </w:pPr>
      <w:r>
        <w:rPr>
          <w:rFonts w:ascii="Times New Roman" w:cs="Times New Roman" w:eastAsia="Times New Roman" w:hAnsi="Times New Roman"/>
          <w:b/>
          <w:bCs/>
          <w:sz w:val="24"/>
          <w:szCs w:val="24"/>
        </w:rPr>
        <w:t xml:space="preserve">Điều 2. Nguyên tắc</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Quản lý toàn bộ hợp đồng thuê, tài sản, công nợ và bảo trì trên Hệ thống; mỗi tài sản có mã theo dõi; mỗi hợp đồng có mã bán hàng cho thuê.</w:t>
      </w:r>
    </w:p>
    <w:p>
      <w:pPr>
        <w:spacing w:after="140" w:before="260"/>
        <w:jc w:val="center"/>
      </w:pPr>
      <w:r>
        <w:rPr>
          <w:rFonts w:ascii="Times New Roman" w:cs="Times New Roman" w:eastAsia="Times New Roman" w:hAnsi="Times New Roman"/>
          <w:b/>
          <w:bCs/>
          <w:sz w:val="26"/>
          <w:szCs w:val="26"/>
        </w:rPr>
        <w:t xml:space="preserve">CHƯƠNG II — HỢP ĐỒNG VÀ GIÁ THUÊ</w:t>
      </w:r>
    </w:p>
    <w:p>
      <w:pPr>
        <w:spacing w:after="80" w:before="140" w:line="300"/>
      </w:pPr>
      <w:r>
        <w:rPr>
          <w:rFonts w:ascii="Times New Roman" w:cs="Times New Roman" w:eastAsia="Times New Roman" w:hAnsi="Times New Roman"/>
          <w:b/>
          <w:bCs/>
          <w:sz w:val="24"/>
          <w:szCs w:val="24"/>
        </w:rPr>
        <w:t xml:space="preserve">Điều 3. Ký kết hợp đồng thuê</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Hợp đồng thuê nêu rõ: tài sản/hệ thống cho thuê, thời hạn, giá thuê, chu kỳ thanh toán, tiền đặt cọc, trách nhiệm vận hành – bảo trì, điều kiện hoàn trả và bồi thường.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Giá thuê do bộ phận Cho thuê đề xuất theo bảng giá và được phê duyệt theo hạn mức.</w:t>
      </w:r>
    </w:p>
    <w:p>
      <w:pPr>
        <w:spacing w:after="80" w:before="140" w:line="300"/>
      </w:pPr>
      <w:r>
        <w:rPr>
          <w:rFonts w:ascii="Times New Roman" w:cs="Times New Roman" w:eastAsia="Times New Roman" w:hAnsi="Times New Roman"/>
          <w:b/>
          <w:bCs/>
          <w:sz w:val="24"/>
          <w:szCs w:val="24"/>
        </w:rPr>
        <w:t xml:space="preserve">Điều 4. Đặt cọc và công nợ thuê</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Khách thuê đặt cọc theo hợp đồng để bảo đảm nghĩa vụ; tiền cọc được hoàn trả sau khi thanh lý nếu không phát sinh bồi thường.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Công ty theo dõi công nợ thuê trên Hệ thống; đôn đốc thu đúng hạn; khoản đến hạn/quá hạn được cảnh báo tự động.</w:t>
      </w:r>
    </w:p>
    <w:p>
      <w:pPr>
        <w:spacing w:after="140" w:before="260"/>
        <w:jc w:val="center"/>
      </w:pPr>
      <w:r>
        <w:rPr>
          <w:rFonts w:ascii="Times New Roman" w:cs="Times New Roman" w:eastAsia="Times New Roman" w:hAnsi="Times New Roman"/>
          <w:b/>
          <w:bCs/>
          <w:sz w:val="26"/>
          <w:szCs w:val="26"/>
        </w:rPr>
        <w:t xml:space="preserve">CHƯƠNG III — QUẢN LÝ TÀI SẢN, VẬN HÀNH, BẢO TRÌ</w:t>
      </w:r>
    </w:p>
    <w:p>
      <w:pPr>
        <w:spacing w:after="80" w:before="140" w:line="300"/>
      </w:pPr>
      <w:r>
        <w:rPr>
          <w:rFonts w:ascii="Times New Roman" w:cs="Times New Roman" w:eastAsia="Times New Roman" w:hAnsi="Times New Roman"/>
          <w:b/>
          <w:bCs/>
          <w:sz w:val="24"/>
          <w:szCs w:val="24"/>
        </w:rPr>
        <w:t xml:space="preserve">Điều 5. Bàn giao và thu hồi tài sản</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Khi giao và khi thu hồi tài sản cho thuê, hai bên lập biên bản ghi rõ tình trạng, thông số, kèm hình ảnh; đối chiếu khi thu hồi.</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Tài sản hư hỏng do lỗi khách thuê được xác định giá trị bồi thường theo hợp đồng.</w:t>
      </w:r>
    </w:p>
    <w:p>
      <w:pPr>
        <w:spacing w:after="80" w:before="140" w:line="300"/>
      </w:pPr>
      <w:r>
        <w:rPr>
          <w:rFonts w:ascii="Times New Roman" w:cs="Times New Roman" w:eastAsia="Times New Roman" w:hAnsi="Times New Roman"/>
          <w:b/>
          <w:bCs/>
          <w:sz w:val="24"/>
          <w:szCs w:val="24"/>
        </w:rPr>
        <w:t xml:space="preserve">Điều 6. Vận hành và bảo trì</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Đối với hợp đồng có dịch vụ vận hành, Công ty bố trí nhân sự kỹ thuật, thực hiện lịch bảo trì định kỳ, theo dõi vật tư – hóa chất tiêu hao và định mức.</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Theo dõi tình trạng thiết bị; thiết bị đang bảo trì/hỏng được cập nhật trạng thái để điều phối.</w:t>
      </w:r>
    </w:p>
    <w:p>
      <w:pPr>
        <w:spacing w:after="80" w:before="140" w:line="300"/>
      </w:pPr>
      <w:r>
        <w:rPr>
          <w:rFonts w:ascii="Times New Roman" w:cs="Times New Roman" w:eastAsia="Times New Roman" w:hAnsi="Times New Roman"/>
          <w:b/>
          <w:bCs/>
          <w:sz w:val="24"/>
          <w:szCs w:val="24"/>
        </w:rPr>
        <w:t xml:space="preserve">Điều 7. Chỉ tiêu quản lý</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Bộ phận Cho thuê được đánh giá theo: doanh thu cho thuê so với chỉ tiêu, tỷ lệ khai thác thiết bị, tỷ lệ thu đúng hạn, tỷ lệ tái ký hợp đồng, số lần thiết bị hỏng do quản lý kém.</w:t>
      </w:r>
    </w:p>
    <w:p>
      <w:pPr>
        <w:spacing w:after="80" w:before="140" w:line="300"/>
      </w:pPr>
      <w:r>
        <w:rPr>
          <w:rFonts w:ascii="Times New Roman" w:cs="Times New Roman" w:eastAsia="Times New Roman" w:hAnsi="Times New Roman"/>
          <w:b/>
          <w:bCs/>
          <w:sz w:val="24"/>
          <w:szCs w:val="24"/>
        </w:rPr>
        <w:t xml:space="preserve">Điều 8. Gia hạn, thanh lý hợp đồng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Trước khi hợp đồng hết hạn, bộ phận Cho thuê chủ động liên hệ gia hạn hoặc thu hồi; hợp đồng sắp hết hạn (≤ 30 ngày) được cảnh báo. Khi thanh lý, hai bên đối chiếu công nợ, thu hồi tài sản và hoàn cọc.</w:t>
      </w:r>
    </w:p>
    <w:p>
      <w:pPr>
        <w:spacing w:after="80" w:before="140" w:line="300"/>
      </w:pPr>
      <w:r>
        <w:rPr>
          <w:rFonts w:ascii="Times New Roman" w:cs="Times New Roman" w:eastAsia="Times New Roman" w:hAnsi="Times New Roman"/>
          <w:b/>
          <w:bCs/>
          <w:sz w:val="24"/>
          <w:szCs w:val="24"/>
        </w:rPr>
        <w:t xml:space="preserve">Điều 9. Hiệu lực thi hành</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Quy chế có hiệu lực kể từ ngày ký; bộ phận Cho thuê và các bộ phận liên quan chịu trách nhiệm thực hiện.</w:t>
      </w:r>
    </w:p>
    <w:p>
      <w:pPr>
        <w:spacing w:before="400"/>
      </w:pPr>
      <w:r>
        <w:rPr>
          <w:rFonts w:ascii="Times New Roman" w:cs="Times New Roman" w:eastAsia="Times New Roman" w:hAnsi="Times New Roman"/>
        </w:rPr>
        <w:t xml:space="preserve"/>
      </w:r>
    </w:p>
    <w:tbl>
      <w:tblPr>
        <w:tblW w:type="auto" w:w="100"/>
        <w:tblBorders>
          <w:top w:val="none"/>
          <w:left w:val="none"/>
          <w:bottom w:val="none"/>
          <w:right w:val="none"/>
          <w:insideH w:val="none"/>
          <w:insideV w:val="none"/>
        </w:tblBorders>
      </w:tblPr>
      <w:tblGrid>
        <w:gridCol w:w="9600"/>
      </w:tblGrid>
      <w:tr>
        <w:tc>
          <w:tcPr>
            <w:tcW w:type="dxa" w:w="9600"/>
            <w:tcBorders>
              <w:top w:val="none"/>
              <w:left w:val="none"/>
              <w:bottom w:val="none"/>
              <w:right w:val="none"/>
            </w:tcBorders>
          </w:tcPr>
          <w:p>
            <w:pPr>
              <w:jc w:val="right"/>
            </w:pPr>
            <w:r>
              <w:rPr>
                <w:rFonts w:ascii="Times New Roman" w:cs="Times New Roman" w:eastAsia="Times New Roman" w:hAnsi="Times New Roman"/>
                <w:b/>
                <w:bCs/>
                <w:sz w:val="24"/>
                <w:szCs w:val="24"/>
              </w:rPr>
              <w:t xml:space="preserve">GIÁM ĐỐC</w:t>
            </w:r>
          </w:p>
          <w:p>
            <w:pPr>
              <w:spacing w:after="900"/>
              <w:jc w:val="right"/>
            </w:pPr>
            <w:r>
              <w:rPr>
                <w:rFonts w:ascii="Times New Roman" w:cs="Times New Roman" w:eastAsia="Times New Roman" w:hAnsi="Times New Roman"/>
                <w:i/>
                <w:iCs/>
                <w:sz w:val="22"/>
                <w:szCs w:val="22"/>
              </w:rPr>
              <w:t xml:space="preserve">(Ký tên, đóng dấu)</w:t>
            </w:r>
          </w:p>
          <w:p>
            <w:pPr>
              <w:jc w:val="right"/>
            </w:pPr>
            <w:r>
              <w:rPr>
                <w:rFonts w:ascii="Times New Roman" w:cs="Times New Roman" w:eastAsia="Times New Roman" w:hAnsi="Times New Roman"/>
                <w:b/>
                <w:bCs/>
                <w:sz w:val="24"/>
                <w:szCs w:val="24"/>
              </w:rPr>
              <w:t xml:space="preserve">NGUYỄN LÊ HIẾU</w:t>
            </w:r>
          </w:p>
        </w:tc>
      </w:tr>
    </w:tbl>
    <w:p>
      <w:r>
        <w:br w:type="page"/>
      </w:r>
    </w:p>
    <w:p>
      <w:pPr>
        <w:spacing w:after="0"/>
        <w:jc w:val="center"/>
      </w:pPr>
      <w:r>
        <w:rPr>
          <w:rFonts w:ascii="Times New Roman" w:cs="Times New Roman" w:eastAsia="Times New Roman" w:hAnsi="Times New Roman"/>
          <w:b/>
          <w:bCs/>
          <w:sz w:val="24"/>
          <w:szCs w:val="24"/>
        </w:rPr>
        <w:t xml:space="preserve">CÔNG TY TNHH GIẢI PHÁP KỸ THUẬT SÓNG VIỆT</w:t>
      </w:r>
    </w:p>
    <w:p>
      <w:pPr>
        <w:spacing w:after="60"/>
        <w:jc w:val="center"/>
      </w:pPr>
      <w:r>
        <w:rPr>
          <w:rFonts w:ascii="Times New Roman" w:cs="Times New Roman" w:eastAsia="Times New Roman" w:hAnsi="Times New Roman"/>
          <w:sz w:val="24"/>
          <w:szCs w:val="24"/>
        </w:rPr>
        <w:t xml:space="preserve">Số: ......../2026/TDNV-SV</w:t>
      </w:r>
    </w:p>
    <w:p>
      <w:pPr>
        <w:spacing w:after="0"/>
        <w:jc w:val="center"/>
      </w:pPr>
      <w:r>
        <w:rPr>
          <w:rFonts w:ascii="Times New Roman" w:cs="Times New Roman" w:eastAsia="Times New Roman" w:hAnsi="Times New Roman"/>
          <w:b/>
          <w:bCs/>
          <w:sz w:val="24"/>
          <w:szCs w:val="24"/>
        </w:rPr>
        <w:t xml:space="preserve">CỘNG HÒA XÃ HỘI CHỦ NGHĨA VIỆT NAM</w:t>
      </w:r>
    </w:p>
    <w:p>
      <w:pPr>
        <w:spacing w:after="240"/>
        <w:jc w:val="center"/>
      </w:pPr>
      <w:r>
        <w:rPr>
          <w:rFonts w:ascii="Times New Roman" w:cs="Times New Roman" w:eastAsia="Times New Roman" w:hAnsi="Times New Roman"/>
          <w:b/>
          <w:bCs/>
          <w:sz w:val="24"/>
          <w:szCs w:val="24"/>
        </w:rPr>
        <w:t xml:space="preserve">Độc lập – Tự do – Hạnh phúc</w:t>
      </w:r>
    </w:p>
    <w:p>
      <w:pPr>
        <w:spacing w:after="60"/>
        <w:jc w:val="center"/>
      </w:pPr>
      <w:r>
        <w:rPr>
          <w:rFonts w:ascii="Times New Roman" w:cs="Times New Roman" w:eastAsia="Times New Roman" w:hAnsi="Times New Roman"/>
          <w:b/>
          <w:bCs/>
          <w:sz w:val="30"/>
          <w:szCs w:val="30"/>
        </w:rPr>
        <w:t xml:space="preserve">QUY CHẾ TUYỂN DỤNG, TIẾP NHẬN VÀ NGHỈ VIỆC</w:t>
      </w:r>
    </w:p>
    <w:p>
      <w:pPr>
        <w:spacing w:after="240"/>
        <w:jc w:val="center"/>
      </w:pPr>
      <w:r>
        <w:rPr>
          <w:rFonts w:ascii="Times New Roman" w:cs="Times New Roman" w:eastAsia="Times New Roman" w:hAnsi="Times New Roman"/>
          <w:i/>
          <w:iCs/>
          <w:sz w:val="22"/>
          <w:szCs w:val="22"/>
        </w:rPr>
        <w:t xml:space="preserve">(Ban hành kèm theo Quyết định số ......../2026/QĐ-SV ngày ...... tháng ...... năm 2026 của Giám đốc Công ty TNHH Giải pháp Kỹ thuật Sóng Việt)</w:t>
      </w:r>
    </w:p>
    <w:p>
      <w:pPr>
        <w:spacing w:after="100" w:line="300"/>
        <w:jc w:val="both"/>
      </w:pPr>
      <w:r>
        <w:rPr>
          <w:rFonts w:ascii="Times New Roman" w:cs="Times New Roman" w:eastAsia="Times New Roman" w:hAnsi="Times New Roman"/>
          <w:b w:val="false"/>
          <w:bCs w:val="false"/>
          <w:i w:val="false"/>
          <w:iCs w:val="false"/>
          <w:sz w:val="24"/>
          <w:szCs w:val="24"/>
        </w:rPr>
        <w:t xml:space="preserve">- Căn cứ Bộ luật Lao động số 45/2019/QH14;</w:t>
      </w:r>
    </w:p>
    <w:p>
      <w:pPr>
        <w:spacing w:after="100" w:line="300"/>
        <w:jc w:val="both"/>
      </w:pPr>
      <w:r>
        <w:rPr>
          <w:rFonts w:ascii="Times New Roman" w:cs="Times New Roman" w:eastAsia="Times New Roman" w:hAnsi="Times New Roman"/>
          <w:b w:val="false"/>
          <w:bCs w:val="false"/>
          <w:i w:val="false"/>
          <w:iCs w:val="false"/>
          <w:sz w:val="24"/>
          <w:szCs w:val="24"/>
        </w:rPr>
        <w:t xml:space="preserve">- Nhằm chuẩn hóa việc tuyển dụng, tiếp nhận (onboarding), chấm dứt hợp đồng và bàn giao,</w:t>
      </w:r>
    </w:p>
    <w:p>
      <w:pPr>
        <w:spacing w:after="100" w:line="300"/>
        <w:jc w:val="both"/>
      </w:pPr>
      <w:r>
        <w:rPr>
          <w:rFonts w:ascii="Times New Roman" w:cs="Times New Roman" w:eastAsia="Times New Roman" w:hAnsi="Times New Roman"/>
          <w:b/>
          <w:bCs/>
          <w:i w:val="false"/>
          <w:iCs w:val="false"/>
          <w:sz w:val="24"/>
          <w:szCs w:val="24"/>
        </w:rPr>
        <w:t xml:space="preserve">Giám đốc Công ty ban hành Quy chế tuyển dụng, tiếp nhận và nghỉ việc như sau:</w:t>
      </w:r>
    </w:p>
    <w:p>
      <w:pPr>
        <w:spacing w:after="140" w:before="260"/>
        <w:jc w:val="center"/>
      </w:pPr>
      <w:r>
        <w:rPr>
          <w:rFonts w:ascii="Times New Roman" w:cs="Times New Roman" w:eastAsia="Times New Roman" w:hAnsi="Times New Roman"/>
          <w:b/>
          <w:bCs/>
          <w:sz w:val="26"/>
          <w:szCs w:val="26"/>
        </w:rPr>
        <w:t xml:space="preserve">CHƯƠNG I — TUYỂN DỤNG</w:t>
      </w:r>
    </w:p>
    <w:p>
      <w:pPr>
        <w:spacing w:after="80" w:before="140" w:line="300"/>
      </w:pPr>
      <w:r>
        <w:rPr>
          <w:rFonts w:ascii="Times New Roman" w:cs="Times New Roman" w:eastAsia="Times New Roman" w:hAnsi="Times New Roman"/>
          <w:b/>
          <w:bCs/>
          <w:sz w:val="24"/>
          <w:szCs w:val="24"/>
        </w:rPr>
        <w:t xml:space="preserve">Điều 1. Nguyên tắc tuyển dụng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Tuyển dụng công bằng, công khai, không phân biệt giới tính, tôn giáo, dân tộc; chọn người phù hợp với bản mô tả công việc và bộ chỉ tiêu KPI của vị trí.</w:t>
      </w:r>
    </w:p>
    <w:p>
      <w:pPr>
        <w:spacing w:after="80" w:before="140" w:line="300"/>
      </w:pPr>
      <w:r>
        <w:rPr>
          <w:rFonts w:ascii="Times New Roman" w:cs="Times New Roman" w:eastAsia="Times New Roman" w:hAnsi="Times New Roman"/>
          <w:b/>
          <w:bCs/>
          <w:sz w:val="24"/>
          <w:szCs w:val="24"/>
        </w:rPr>
        <w:t xml:space="preserve">Điều 2. Quy trình tuyển dụng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Xác định nhu cầu và bản mô tả công việc → Trưởng bộ phận đề xuất → Giám đốc phê duyệt chỉ tiêu → đăng tin (email nhận hồ sơ sv-admin1@watersolutions.company) → sàng lọc → phỏng vấn → đánh giá → Giám đốc quyết định → thư mời nhận việc.</w:t>
      </w:r>
    </w:p>
    <w:p>
      <w:pPr>
        <w:spacing w:after="80" w:before="140" w:line="300"/>
      </w:pPr>
      <w:r>
        <w:rPr>
          <w:rFonts w:ascii="Times New Roman" w:cs="Times New Roman" w:eastAsia="Times New Roman" w:hAnsi="Times New Roman"/>
          <w:b/>
          <w:bCs/>
          <w:sz w:val="24"/>
          <w:szCs w:val="24"/>
        </w:rPr>
        <w:t xml:space="preserve">Điều 3. Thử việc</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Thời gian thử việc theo Điều 25 Bộ luật Lao động: không quá 180 ngày đối với người quản lý doanh nghiệp; 60 ngày đối với chức danh cần trình độ cao đẳng, đại học trở lên; 30 ngày đối với chức danh cần trình độ trung cấp, công nhân kỹ thuật, nhân viên nghiệp vụ; 06 ngày làm việc đối với công việc khác.</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Tiền lương thử việc do hai bên thỏa thuận nhưng ít nhất bằng 85% mức lương của công việc đó.</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Kết thúc thử việc, Trưởng bộ phận đánh giá kết quả; đạt yêu cầu thì giao kết hợp đồng lao động chính thức.</w:t>
      </w:r>
    </w:p>
    <w:p>
      <w:pPr>
        <w:spacing w:after="140" w:before="260"/>
        <w:jc w:val="center"/>
      </w:pPr>
      <w:r>
        <w:rPr>
          <w:rFonts w:ascii="Times New Roman" w:cs="Times New Roman" w:eastAsia="Times New Roman" w:hAnsi="Times New Roman"/>
          <w:b/>
          <w:bCs/>
          <w:sz w:val="26"/>
          <w:szCs w:val="26"/>
        </w:rPr>
        <w:t xml:space="preserve">CHƯƠNG II — TIẾP NHẬN (ONBOARDING)</w:t>
      </w:r>
    </w:p>
    <w:p>
      <w:pPr>
        <w:spacing w:after="80" w:before="140" w:line="300"/>
      </w:pPr>
      <w:r>
        <w:rPr>
          <w:rFonts w:ascii="Times New Roman" w:cs="Times New Roman" w:eastAsia="Times New Roman" w:hAnsi="Times New Roman"/>
          <w:b/>
          <w:bCs/>
          <w:sz w:val="24"/>
          <w:szCs w:val="24"/>
        </w:rPr>
        <w:t xml:space="preserve">Điều 4. Hồ sơ và giao kết hợp đồng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Nhân viên mới nộp hồ sơ theo yêu cầu; ký hợp đồng lao động, thỏa thuận bảo mật (nếu tiếp cận bí mật kinh doanh) và cam kết tuân thủ Nội quy, các quy chế của Công ty.</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Bộ phận Hành chính – Nhân sự lập hồ sơ nhân sự, đăng ký bảo hiểm, tạo hồ sơ trên Hệ thống.</w:t>
      </w:r>
    </w:p>
    <w:p>
      <w:pPr>
        <w:spacing w:after="80" w:before="140" w:line="300"/>
      </w:pPr>
      <w:r>
        <w:rPr>
          <w:rFonts w:ascii="Times New Roman" w:cs="Times New Roman" w:eastAsia="Times New Roman" w:hAnsi="Times New Roman"/>
          <w:b/>
          <w:bCs/>
          <w:sz w:val="24"/>
          <w:szCs w:val="24"/>
        </w:rPr>
        <w:t xml:space="preserve">Điều 5. Cấp phát và định hướng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Cấp tài khoản Hệ thống theo đúng vị trí (do Quản trị cấp, quyền theo phân quyền của Giám đốc); cấp công cụ, thiết bị, phương tiện bảo vệ cá nhân, lập phiếu bàn giao tài sản.</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Phổ biến Nội quy lao động, ATVSLĐ, bảo mật, quy tắc ứng xử; giới thiệu bản mô tả công việc và bộ chỉ tiêu KPI.</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Huấn luyện an toàn lao động trước khi bố trí công việc có yêu cầu nghiêm ngặt về ATVSLĐ.</w:t>
      </w:r>
    </w:p>
    <w:p>
      <w:pPr>
        <w:spacing w:after="140" w:before="260"/>
        <w:jc w:val="center"/>
      </w:pPr>
      <w:r>
        <w:rPr>
          <w:rFonts w:ascii="Times New Roman" w:cs="Times New Roman" w:eastAsia="Times New Roman" w:hAnsi="Times New Roman"/>
          <w:b/>
          <w:bCs/>
          <w:sz w:val="26"/>
          <w:szCs w:val="26"/>
        </w:rPr>
        <w:t xml:space="preserve">CHƯƠNG III — CHẤM DỨT HỢP ĐỒNG VÀ BÀN GIAO</w:t>
      </w:r>
    </w:p>
    <w:p>
      <w:pPr>
        <w:spacing w:after="80" w:before="140" w:line="300"/>
      </w:pPr>
      <w:r>
        <w:rPr>
          <w:rFonts w:ascii="Times New Roman" w:cs="Times New Roman" w:eastAsia="Times New Roman" w:hAnsi="Times New Roman"/>
          <w:b/>
          <w:bCs/>
          <w:sz w:val="24"/>
          <w:szCs w:val="24"/>
        </w:rPr>
        <w:t xml:space="preserve">Điều 6. Thời hạn báo trước khi đơn phương chấm dứt hợp đồng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Người lao động và Công ty tuân thủ thời hạn báo trước theo Điều 35, Điều 36 Bộ luật Lao động: ít nhất 45 ngày với hợp đồng không xác định thời hạn; ít nhất 30 ngày với hợp đồng xác định thời hạn từ 12 đến 36 tháng; ít nhất 03 ngày làm việc với hợp đồng dưới 12 tháng; các ngành nghề đặc thù theo quy định riêng.</w:t>
      </w:r>
    </w:p>
    <w:p>
      <w:pPr>
        <w:spacing w:after="80" w:before="140" w:line="300"/>
      </w:pPr>
      <w:r>
        <w:rPr>
          <w:rFonts w:ascii="Times New Roman" w:cs="Times New Roman" w:eastAsia="Times New Roman" w:hAnsi="Times New Roman"/>
          <w:b/>
          <w:bCs/>
          <w:sz w:val="24"/>
          <w:szCs w:val="24"/>
        </w:rPr>
        <w:t xml:space="preserve">Điều 7. Bàn giao khi nghỉ việc</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Trước ngày nghỉ việc, người lao động phải hoàn tất bàn giao: công việc đang thực hiện, hồ sơ – tài liệu, dữ liệu trên Hệ thống, tài sản – công cụ – thiết bị được cấp; lập biên bản bàn giao có xác nhận của người nhận.</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Quản trị hệ thống thu hồi hoặc khóa tài khoản, quyền truy cập kể từ thời điểm chấm dứt hợp đồng.</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Người lao động tiếp tục có nghĩa vụ bảo mật bí mật kinh doanh, bí mật công nghệ sau khi nghỉ việc theo cam kết đã ký.</w:t>
      </w:r>
    </w:p>
    <w:p>
      <w:pPr>
        <w:spacing w:after="80" w:before="140" w:line="300"/>
      </w:pPr>
      <w:r>
        <w:rPr>
          <w:rFonts w:ascii="Times New Roman" w:cs="Times New Roman" w:eastAsia="Times New Roman" w:hAnsi="Times New Roman"/>
          <w:b/>
          <w:bCs/>
          <w:sz w:val="24"/>
          <w:szCs w:val="24"/>
        </w:rPr>
        <w:t xml:space="preserve">Điều 8. Thanh toán và trách nhiệm khi chấm dứt</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1. Trong thời hạn 14 ngày làm việc kể từ ngày chấm dứt hợp đồng (hoặc tối đa 30 ngày theo trường hợp luật định), hai bên thanh toán đầy đủ các khoản liên quan đến quyền lợi của mỗi bên, gồm cả tiền lương những ngày chưa nghỉ phép.</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2. Công ty hoàn thành thủ tục xác nhận thời gian đóng bảo hiểm và trả lại giấy tờ đã giữ (nếu có).</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3. Trường hợp người lao động chưa hoàn tất bàn giao hoặc còn nghĩa vụ tài chính, các khoản này được đối chiếu, xử lý theo quy định của pháp luật.</w:t>
      </w:r>
    </w:p>
    <w:p>
      <w:pPr>
        <w:spacing w:after="80" w:before="140" w:line="300"/>
      </w:pPr>
      <w:r>
        <w:rPr>
          <w:rFonts w:ascii="Times New Roman" w:cs="Times New Roman" w:eastAsia="Times New Roman" w:hAnsi="Times New Roman"/>
          <w:b/>
          <w:bCs/>
          <w:sz w:val="24"/>
          <w:szCs w:val="24"/>
        </w:rPr>
        <w:t xml:space="preserve">Điều 9. Hiệu lực thi hành</w:t>
      </w:r>
    </w:p>
    <w:p>
      <w:pPr>
        <w:spacing w:after="100" w:line="300"/>
        <w:ind w:left="360"/>
        <w:jc w:val="both"/>
      </w:pPr>
      <w:r>
        <w:rPr>
          <w:rFonts w:ascii="Times New Roman" w:cs="Times New Roman" w:eastAsia="Times New Roman" w:hAnsi="Times New Roman"/>
          <w:b w:val="false"/>
          <w:bCs w:val="false"/>
          <w:i w:val="false"/>
          <w:iCs w:val="false"/>
          <w:sz w:val="24"/>
          <w:szCs w:val="24"/>
        </w:rPr>
        <w:t xml:space="preserve">Quy chế có hiệu lực kể từ ngày ký; bộ phận Hành chính – Nhân sự chịu trách nhiệm tổ chức thực hiện.</w:t>
      </w:r>
    </w:p>
    <w:p>
      <w:pPr>
        <w:spacing w:before="400"/>
      </w:pPr>
      <w:r>
        <w:rPr>
          <w:rFonts w:ascii="Times New Roman" w:cs="Times New Roman" w:eastAsia="Times New Roman" w:hAnsi="Times New Roman"/>
        </w:rPr>
        <w:t xml:space="preserve"/>
      </w:r>
    </w:p>
    <w:tbl>
      <w:tblPr>
        <w:tblW w:type="auto" w:w="100"/>
        <w:tblBorders>
          <w:top w:val="none"/>
          <w:left w:val="none"/>
          <w:bottom w:val="none"/>
          <w:right w:val="none"/>
          <w:insideH w:val="none"/>
          <w:insideV w:val="none"/>
        </w:tblBorders>
      </w:tblPr>
      <w:tblGrid>
        <w:gridCol w:w="9600"/>
      </w:tblGrid>
      <w:tr>
        <w:tc>
          <w:tcPr>
            <w:tcW w:type="dxa" w:w="9600"/>
            <w:tcBorders>
              <w:top w:val="none"/>
              <w:left w:val="none"/>
              <w:bottom w:val="none"/>
              <w:right w:val="none"/>
            </w:tcBorders>
          </w:tcPr>
          <w:p>
            <w:pPr>
              <w:jc w:val="right"/>
            </w:pPr>
            <w:r>
              <w:rPr>
                <w:rFonts w:ascii="Times New Roman" w:cs="Times New Roman" w:eastAsia="Times New Roman" w:hAnsi="Times New Roman"/>
                <w:b/>
                <w:bCs/>
                <w:sz w:val="24"/>
                <w:szCs w:val="24"/>
              </w:rPr>
              <w:t xml:space="preserve">GIÁM ĐỐC</w:t>
            </w:r>
          </w:p>
          <w:p>
            <w:pPr>
              <w:spacing w:after="900"/>
              <w:jc w:val="right"/>
            </w:pPr>
            <w:r>
              <w:rPr>
                <w:rFonts w:ascii="Times New Roman" w:cs="Times New Roman" w:eastAsia="Times New Roman" w:hAnsi="Times New Roman"/>
                <w:i/>
                <w:iCs/>
                <w:sz w:val="22"/>
                <w:szCs w:val="22"/>
              </w:rPr>
              <w:t xml:space="preserve">(Ký tên, đóng dấu)</w:t>
            </w:r>
          </w:p>
          <w:p>
            <w:pPr>
              <w:jc w:val="right"/>
            </w:pPr>
            <w:r>
              <w:rPr>
                <w:rFonts w:ascii="Times New Roman" w:cs="Times New Roman" w:eastAsia="Times New Roman" w:hAnsi="Times New Roman"/>
                <w:b/>
                <w:bCs/>
                <w:sz w:val="24"/>
                <w:szCs w:val="24"/>
              </w:rPr>
              <w:t xml:space="preserve">NGUYỄN LÊ HIẾU</w:t>
            </w:r>
          </w:p>
        </w:tc>
      </w:tr>
    </w:tbl>
    <w:p>
      <w:r>
        <w:br w:type="page"/>
      </w:r>
    </w:p>
    <w:p>
      <w:pPr>
        <w:spacing w:after="0"/>
        <w:jc w:val="center"/>
      </w:pPr>
      <w:r>
        <w:rPr>
          <w:rFonts w:ascii="Times New Roman" w:hAnsi="Times New Roman" w:eastAsia="Times New Roman" w:cs="Times New Roman"/>
          <w:b/>
          <w:i w:val="0"/>
          <w:sz w:val="24"/>
        </w:rPr>
        <w:t>CÔNG TY TNHH GIẢI PHÁP KỸ THUẬT SÓNG VIỆT (SVWS)</w:t>
      </w:r>
    </w:p>
    <w:p>
      <w:pPr>
        <w:spacing w:after="240"/>
        <w:jc w:val="center"/>
      </w:pPr>
      <w:r>
        <w:rPr>
          <w:rFonts w:ascii="Times New Roman" w:hAnsi="Times New Roman" w:eastAsia="Times New Roman" w:cs="Times New Roman"/>
          <w:b w:val="0"/>
          <w:i w:val="0"/>
          <w:sz w:val="24"/>
        </w:rPr>
        <w:t>448 Võ Văn Tần, TP.HCM · MST 0303620066</w:t>
      </w:r>
    </w:p>
    <w:p>
      <w:pPr>
        <w:spacing w:after="60"/>
        <w:jc w:val="center"/>
      </w:pPr>
      <w:r>
        <w:rPr>
          <w:rFonts w:ascii="Times New Roman" w:hAnsi="Times New Roman" w:eastAsia="Times New Roman" w:cs="Times New Roman"/>
          <w:b/>
          <w:i w:val="0"/>
          <w:sz w:val="34"/>
        </w:rPr>
        <w:t>BỘ CHÍNH SÁCH TUÂN THỦ SVWS</w:t>
      </w:r>
    </w:p>
    <w:p>
      <w:pPr>
        <w:spacing w:after="240"/>
        <w:jc w:val="center"/>
      </w:pPr>
      <w:r>
        <w:rPr>
          <w:rFonts w:ascii="Times New Roman" w:hAnsi="Times New Roman" w:eastAsia="Times New Roman" w:cs="Times New Roman"/>
          <w:b w:val="0"/>
          <w:i/>
          <w:sz w:val="22"/>
        </w:rPr>
        <w:t>(Ban hành theo Quyết định số CSTT-01-0926 ngày 01/09/2026 của Giám đốc Công ty)</w:t>
      </w:r>
    </w:p>
    <w:p>
      <w:pPr>
        <w:keepNext/>
        <w:spacing w:before="260" w:after="140"/>
        <w:jc w:val="center"/>
      </w:pPr>
      <w:r>
        <w:rPr>
          <w:rFonts w:ascii="Times New Roman" w:hAnsi="Times New Roman" w:eastAsia="Times New Roman" w:cs="Times New Roman"/>
          <w:b/>
          <w:i w:val="0"/>
          <w:sz w:val="26"/>
        </w:rPr>
        <w:t>THÔNG TIN VĂN BẢN</w:t>
      </w:r>
    </w:p>
    <w:p>
      <w:pPr>
        <w:spacing w:after="100" w:line="300" w:lineRule="auto"/>
        <w:jc w:val="both"/>
      </w:pPr>
      <w:r>
        <w:rPr>
          <w:rFonts w:ascii="Times New Roman" w:hAnsi="Times New Roman" w:eastAsia="Times New Roman" w:cs="Times New Roman"/>
          <w:b w:val="0"/>
          <w:i w:val="0"/>
          <w:sz w:val="24"/>
        </w:rPr>
        <w:t>Bộ chính sách này gồm 3 văn bản do Giám đốc Công ty TNHH Giải pháp Kỹ thuật Sóng Việt (SVWS, MST 0303620066) ban hành, áp dụng bắt buộc cho mọi người làm việc cho hoặc thay mặt SVWS. Khi pháp luật Việt Nam, yêu cầu của khách hàng (như Coats) và chính sách này quy định khác nhau, SVWS áp dụng yêu cầu cao hơn.</w:t>
      </w: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409"/>
        <w:gridCol w:w="2409"/>
        <w:gridCol w:w="2409"/>
        <w:gridCol w:w="2409"/>
      </w:tblGrid>
      <w:tr>
        <w:tc>
          <w:tcPr>
            <w:tcW w:type="dxa" w:w="2171"/>
          </w:tcPr>
          <w:p>
            <w:pPr>
              <w:spacing w:after="60" w:before="60"/>
            </w:pPr>
            <w:r>
              <w:rPr>
                <w:rFonts w:ascii="Times New Roman" w:hAnsi="Times New Roman" w:eastAsia="Times New Roman" w:cs="Times New Roman"/>
                <w:b/>
                <w:i w:val="0"/>
                <w:sz w:val="22"/>
              </w:rPr>
              <w:t>Mã hiệu</w:t>
            </w:r>
          </w:p>
        </w:tc>
        <w:tc>
          <w:tcPr>
            <w:tcW w:type="dxa" w:w="3005"/>
          </w:tcPr>
          <w:p>
            <w:pPr>
              <w:spacing w:after="60" w:before="60"/>
            </w:pPr>
            <w:r>
              <w:rPr>
                <w:rFonts w:ascii="Times New Roman" w:hAnsi="Times New Roman" w:eastAsia="Times New Roman" w:cs="Times New Roman"/>
                <w:b/>
                <w:i w:val="0"/>
                <w:sz w:val="22"/>
              </w:rPr>
              <w:t>Văn bản</w:t>
            </w:r>
          </w:p>
        </w:tc>
        <w:tc>
          <w:tcPr>
            <w:tcW w:type="dxa" w:w="1506"/>
          </w:tcPr>
          <w:p>
            <w:pPr>
              <w:spacing w:after="60" w:before="60"/>
            </w:pPr>
            <w:r>
              <w:rPr>
                <w:rFonts w:ascii="Times New Roman" w:hAnsi="Times New Roman" w:eastAsia="Times New Roman" w:cs="Times New Roman"/>
                <w:b/>
                <w:i w:val="0"/>
                <w:sz w:val="22"/>
              </w:rPr>
              <w:t>Phiên bản</w:t>
            </w:r>
          </w:p>
        </w:tc>
        <w:tc>
          <w:tcPr>
            <w:tcW w:type="dxa" w:w="2956"/>
          </w:tcPr>
          <w:p>
            <w:pPr>
              <w:spacing w:after="60" w:before="60"/>
            </w:pPr>
            <w:r>
              <w:rPr>
                <w:rFonts w:ascii="Times New Roman" w:hAnsi="Times New Roman" w:eastAsia="Times New Roman" w:cs="Times New Roman"/>
                <w:b/>
                <w:i w:val="0"/>
                <w:sz w:val="22"/>
              </w:rPr>
              <w:t>Đối tượng áp dụng</w:t>
            </w:r>
          </w:p>
        </w:tc>
      </w:tr>
      <w:tr>
        <w:tc>
          <w:tcPr>
            <w:tcW w:type="dxa" w:w="2171"/>
          </w:tcPr>
          <w:p>
            <w:pPr>
              <w:spacing w:after="60" w:before="60"/>
            </w:pPr>
            <w:r>
              <w:rPr>
                <w:rFonts w:ascii="Times New Roman" w:hAnsi="Times New Roman" w:eastAsia="Times New Roman" w:cs="Times New Roman"/>
                <w:b w:val="0"/>
                <w:i w:val="0"/>
                <w:sz w:val="22"/>
              </w:rPr>
              <w:t>SVWS-POL-01</w:t>
            </w:r>
          </w:p>
        </w:tc>
        <w:tc>
          <w:tcPr>
            <w:tcW w:type="dxa" w:w="3005"/>
          </w:tcPr>
          <w:p>
            <w:pPr>
              <w:spacing w:after="60" w:before="60"/>
            </w:pPr>
            <w:r>
              <w:rPr>
                <w:rFonts w:ascii="Times New Roman" w:hAnsi="Times New Roman" w:eastAsia="Times New Roman" w:cs="Times New Roman"/>
                <w:b w:val="0"/>
                <w:i w:val="0"/>
                <w:sz w:val="22"/>
              </w:rPr>
              <w:t>Bộ quy tắc ứng xử</w:t>
            </w:r>
          </w:p>
        </w:tc>
        <w:tc>
          <w:tcPr>
            <w:tcW w:type="dxa" w:w="1506"/>
          </w:tcPr>
          <w:p>
            <w:pPr>
              <w:spacing w:after="60" w:before="60"/>
            </w:pPr>
            <w:r>
              <w:rPr>
                <w:rFonts w:ascii="Times New Roman" w:hAnsi="Times New Roman" w:eastAsia="Times New Roman" w:cs="Times New Roman"/>
                <w:b w:val="0"/>
                <w:i w:val="0"/>
                <w:sz w:val="22"/>
              </w:rPr>
              <w:t>1.0</w:t>
            </w:r>
          </w:p>
        </w:tc>
        <w:tc>
          <w:tcPr>
            <w:tcW w:type="dxa" w:w="2956"/>
          </w:tcPr>
          <w:p>
            <w:pPr>
              <w:spacing w:after="60" w:before="60"/>
            </w:pPr>
            <w:r>
              <w:rPr>
                <w:rFonts w:ascii="Times New Roman" w:hAnsi="Times New Roman" w:eastAsia="Times New Roman" w:cs="Times New Roman"/>
                <w:b w:val="0"/>
                <w:i w:val="0"/>
                <w:sz w:val="22"/>
              </w:rPr>
              <w:t>Ban Giám đốc, người lao động, đại diện, đại lý của SVWS</w:t>
            </w:r>
          </w:p>
        </w:tc>
      </w:tr>
      <w:tr>
        <w:tc>
          <w:tcPr>
            <w:tcW w:type="dxa" w:w="2171"/>
          </w:tcPr>
          <w:p>
            <w:pPr>
              <w:spacing w:after="60" w:before="60"/>
            </w:pPr>
            <w:r>
              <w:rPr>
                <w:rFonts w:ascii="Times New Roman" w:hAnsi="Times New Roman" w:eastAsia="Times New Roman" w:cs="Times New Roman"/>
                <w:b w:val="0"/>
                <w:i w:val="0"/>
                <w:sz w:val="22"/>
              </w:rPr>
              <w:t>SVWS-POL-02</w:t>
            </w:r>
          </w:p>
        </w:tc>
        <w:tc>
          <w:tcPr>
            <w:tcW w:type="dxa" w:w="3005"/>
          </w:tcPr>
          <w:p>
            <w:pPr>
              <w:spacing w:after="60" w:before="60"/>
            </w:pPr>
            <w:r>
              <w:rPr>
                <w:rFonts w:ascii="Times New Roman" w:hAnsi="Times New Roman" w:eastAsia="Times New Roman" w:cs="Times New Roman"/>
                <w:b w:val="0"/>
                <w:i w:val="0"/>
                <w:sz w:val="22"/>
              </w:rPr>
              <w:t>Chính sách không sử dụng lao động trẻ em và lao động cưỡng bức</w:t>
            </w:r>
          </w:p>
        </w:tc>
        <w:tc>
          <w:tcPr>
            <w:tcW w:type="dxa" w:w="1506"/>
          </w:tcPr>
          <w:p>
            <w:pPr>
              <w:spacing w:after="60" w:before="60"/>
            </w:pPr>
            <w:r>
              <w:rPr>
                <w:rFonts w:ascii="Times New Roman" w:hAnsi="Times New Roman" w:eastAsia="Times New Roman" w:cs="Times New Roman"/>
                <w:b w:val="0"/>
                <w:i w:val="0"/>
                <w:sz w:val="22"/>
              </w:rPr>
              <w:t>1.0</w:t>
            </w:r>
          </w:p>
        </w:tc>
        <w:tc>
          <w:tcPr>
            <w:tcW w:type="dxa" w:w="2956"/>
          </w:tcPr>
          <w:p>
            <w:pPr>
              <w:spacing w:after="60" w:before="60"/>
            </w:pPr>
            <w:r>
              <w:rPr>
                <w:rFonts w:ascii="Times New Roman" w:hAnsi="Times New Roman" w:eastAsia="Times New Roman" w:cs="Times New Roman"/>
                <w:b w:val="0"/>
                <w:i w:val="0"/>
                <w:sz w:val="22"/>
              </w:rPr>
              <w:t>SVWS và mọi nhà thầu phụ, tổ đội, đơn vị cung ứng lao động</w:t>
            </w:r>
          </w:p>
        </w:tc>
      </w:tr>
      <w:tr>
        <w:tc>
          <w:tcPr>
            <w:tcW w:type="dxa" w:w="2171"/>
          </w:tcPr>
          <w:p>
            <w:pPr>
              <w:spacing w:after="60" w:before="60"/>
            </w:pPr>
            <w:r>
              <w:rPr>
                <w:rFonts w:ascii="Times New Roman" w:hAnsi="Times New Roman" w:eastAsia="Times New Roman" w:cs="Times New Roman"/>
                <w:b w:val="0"/>
                <w:i w:val="0"/>
                <w:sz w:val="22"/>
              </w:rPr>
              <w:t>SVWS-POL-03</w:t>
            </w:r>
          </w:p>
        </w:tc>
        <w:tc>
          <w:tcPr>
            <w:tcW w:type="dxa" w:w="3005"/>
          </w:tcPr>
          <w:p>
            <w:pPr>
              <w:spacing w:after="60" w:before="60"/>
            </w:pPr>
            <w:r>
              <w:rPr>
                <w:rFonts w:ascii="Times New Roman" w:hAnsi="Times New Roman" w:eastAsia="Times New Roman" w:cs="Times New Roman"/>
                <w:b w:val="0"/>
                <w:i w:val="0"/>
                <w:sz w:val="22"/>
              </w:rPr>
              <w:t>Bộ quy tắc ứng xử nhà cung cấp</w:t>
            </w:r>
          </w:p>
        </w:tc>
        <w:tc>
          <w:tcPr>
            <w:tcW w:type="dxa" w:w="1506"/>
          </w:tcPr>
          <w:p>
            <w:pPr>
              <w:spacing w:after="60" w:before="60"/>
            </w:pPr>
            <w:r>
              <w:rPr>
                <w:rFonts w:ascii="Times New Roman" w:hAnsi="Times New Roman" w:eastAsia="Times New Roman" w:cs="Times New Roman"/>
                <w:b w:val="0"/>
                <w:i w:val="0"/>
                <w:sz w:val="22"/>
              </w:rPr>
              <w:t>1.0</w:t>
            </w:r>
          </w:p>
        </w:tc>
        <w:tc>
          <w:tcPr>
            <w:tcW w:type="dxa" w:w="2956"/>
          </w:tcPr>
          <w:p>
            <w:pPr>
              <w:spacing w:after="60" w:before="60"/>
            </w:pPr>
            <w:r>
              <w:rPr>
                <w:rFonts w:ascii="Times New Roman" w:hAnsi="Times New Roman" w:eastAsia="Times New Roman" w:cs="Times New Roman"/>
                <w:b w:val="0"/>
                <w:i w:val="0"/>
                <w:sz w:val="22"/>
              </w:rPr>
              <w:t>Nhà cung cấp hàng hóa, dịch vụ, nhà thầu phụ của SVWS</w:t>
            </w:r>
          </w:p>
        </w:tc>
      </w:tr>
    </w:tbl>
    <w:p>
      <w:pPr>
        <w:spacing w:before="120" w:after="100" w:line="300" w:lineRule="auto"/>
        <w:jc w:val="both"/>
      </w:pPr>
      <w:r>
        <w:rPr>
          <w:rFonts w:ascii="Times New Roman" w:hAnsi="Times New Roman" w:eastAsia="Times New Roman" w:cs="Times New Roman"/>
          <w:b/>
          <w:i w:val="0"/>
          <w:sz w:val="24"/>
        </w:rPr>
        <w:t>Ban hành:</w:t>
      </w:r>
      <w:r>
        <w:rPr>
          <w:rFonts w:ascii="Times New Roman" w:hAnsi="Times New Roman" w:eastAsia="Times New Roman" w:cs="Times New Roman"/>
          <w:b w:val="0"/>
          <w:i w:val="0"/>
          <w:sz w:val="24"/>
        </w:rPr>
        <w:t xml:space="preserve"> theo Quyết định số CSTT-01-0926 ngày 01/09/2026 của Giám đốc. </w:t>
      </w:r>
      <w:r>
        <w:rPr>
          <w:rFonts w:ascii="Times New Roman" w:hAnsi="Times New Roman" w:eastAsia="Times New Roman" w:cs="Times New Roman"/>
          <w:b/>
          <w:i w:val="0"/>
          <w:sz w:val="24"/>
        </w:rPr>
        <w:t>Hiệu lực:</w:t>
      </w:r>
      <w:r>
        <w:rPr>
          <w:rFonts w:ascii="Times New Roman" w:hAnsi="Times New Roman" w:eastAsia="Times New Roman" w:cs="Times New Roman"/>
          <w:b w:val="0"/>
          <w:i w:val="0"/>
          <w:sz w:val="24"/>
        </w:rPr>
        <w:t xml:space="preserve"> từ ngày ký.</w:t>
      </w:r>
    </w:p>
    <w:p>
      <w:pPr>
        <w:spacing w:after="100" w:line="300" w:lineRule="auto"/>
        <w:jc w:val="both"/>
      </w:pPr>
      <w:r>
        <w:rPr>
          <w:rFonts w:ascii="Times New Roman" w:hAnsi="Times New Roman" w:eastAsia="Times New Roman" w:cs="Times New Roman"/>
          <w:b/>
          <w:i w:val="0"/>
          <w:sz w:val="24"/>
        </w:rPr>
        <w:t>Phạm vi:</w:t>
      </w:r>
      <w:r>
        <w:rPr>
          <w:rFonts w:ascii="Times New Roman" w:hAnsi="Times New Roman" w:eastAsia="Times New Roman" w:cs="Times New Roman"/>
          <w:b w:val="0"/>
          <w:i w:val="0"/>
          <w:sz w:val="24"/>
        </w:rPr>
        <w:t xml:space="preserve"> người lao động theo mọi loại hợp đồng (chính thức, thử việc, thời vụ), thực tập sinh, cộng tác viên; tại văn phòng 448 Võ Văn Tần (TP.HCM), kho, công trường và nhà máy khách hàng.</w:t>
      </w:r>
    </w:p>
    <w:p>
      <w:pPr>
        <w:spacing w:after="100" w:line="300" w:lineRule="auto"/>
        <w:jc w:val="both"/>
      </w:pPr>
      <w:r>
        <w:rPr>
          <w:rFonts w:ascii="Times New Roman" w:hAnsi="Times New Roman" w:eastAsia="Times New Roman" w:cs="Times New Roman"/>
          <w:b/>
          <w:i w:val="0"/>
          <w:sz w:val="24"/>
        </w:rPr>
        <w:t>Căn cứ pháp lý chính:</w:t>
      </w: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213"/>
        <w:gridCol w:w="3213"/>
        <w:gridCol w:w="3213"/>
      </w:tblGrid>
      <w:tr>
        <w:tc>
          <w:tcPr>
            <w:tcW w:type="dxa" w:w="3129"/>
          </w:tcPr>
          <w:p>
            <w:pPr>
              <w:spacing w:after="60" w:before="60"/>
            </w:pPr>
            <w:r>
              <w:rPr>
                <w:rFonts w:ascii="Times New Roman" w:hAnsi="Times New Roman" w:eastAsia="Times New Roman" w:cs="Times New Roman"/>
                <w:b/>
                <w:i w:val="0"/>
                <w:sz w:val="22"/>
              </w:rPr>
              <w:t>Văn bản</w:t>
            </w:r>
          </w:p>
        </w:tc>
        <w:tc>
          <w:tcPr>
            <w:tcW w:type="dxa" w:w="2047"/>
          </w:tcPr>
          <w:p>
            <w:pPr>
              <w:spacing w:after="60" w:before="60"/>
            </w:pPr>
            <w:r>
              <w:rPr>
                <w:rFonts w:ascii="Times New Roman" w:hAnsi="Times New Roman" w:eastAsia="Times New Roman" w:cs="Times New Roman"/>
                <w:b/>
                <w:i w:val="0"/>
                <w:sz w:val="22"/>
              </w:rPr>
              <w:t>Số hiệu</w:t>
            </w:r>
          </w:p>
        </w:tc>
        <w:tc>
          <w:tcPr>
            <w:tcW w:type="dxa" w:w="4462"/>
          </w:tcPr>
          <w:p>
            <w:pPr>
              <w:spacing w:after="60" w:before="60"/>
            </w:pPr>
            <w:r>
              <w:rPr>
                <w:rFonts w:ascii="Times New Roman" w:hAnsi="Times New Roman" w:eastAsia="Times New Roman" w:cs="Times New Roman"/>
                <w:b/>
                <w:i w:val="0"/>
                <w:sz w:val="22"/>
              </w:rPr>
              <w:t>Nội dung liên quan</w:t>
            </w:r>
          </w:p>
        </w:tc>
      </w:tr>
      <w:tr>
        <w:tc>
          <w:tcPr>
            <w:tcW w:type="dxa" w:w="3129"/>
          </w:tcPr>
          <w:p>
            <w:pPr>
              <w:spacing w:after="60" w:before="60"/>
            </w:pPr>
            <w:r>
              <w:rPr>
                <w:rFonts w:ascii="Times New Roman" w:hAnsi="Times New Roman" w:eastAsia="Times New Roman" w:cs="Times New Roman"/>
                <w:b w:val="0"/>
                <w:i w:val="0"/>
                <w:sz w:val="22"/>
              </w:rPr>
              <w:t>Bộ luật Lao động 2019</w:t>
            </w:r>
          </w:p>
        </w:tc>
        <w:tc>
          <w:tcPr>
            <w:tcW w:type="dxa" w:w="2047"/>
          </w:tcPr>
          <w:p>
            <w:pPr>
              <w:spacing w:after="60" w:before="60"/>
            </w:pPr>
            <w:r>
              <w:rPr>
                <w:rFonts w:ascii="Times New Roman" w:hAnsi="Times New Roman" w:eastAsia="Times New Roman" w:cs="Times New Roman"/>
                <w:b w:val="0"/>
                <w:i w:val="0"/>
                <w:sz w:val="22"/>
              </w:rPr>
              <w:t>45/2019/QH14</w:t>
            </w:r>
          </w:p>
        </w:tc>
        <w:tc>
          <w:tcPr>
            <w:tcW w:type="dxa" w:w="4462"/>
          </w:tcPr>
          <w:p>
            <w:pPr>
              <w:spacing w:after="60" w:before="60"/>
            </w:pPr>
            <w:r>
              <w:rPr>
                <w:rFonts w:ascii="Times New Roman" w:hAnsi="Times New Roman" w:eastAsia="Times New Roman" w:cs="Times New Roman"/>
                <w:b w:val="0"/>
                <w:i w:val="0"/>
                <w:sz w:val="22"/>
              </w:rPr>
              <w:t>Cấm lao động cưỡng bức, lao động trẻ em, phân biệt đối xử, quấy rối tình dục (Điều 8); lao động chưa thành niên (Điều 143–147); kỷ luật lao động (Điều 117–127)</w:t>
            </w:r>
          </w:p>
        </w:tc>
      </w:tr>
      <w:tr>
        <w:tc>
          <w:tcPr>
            <w:tcW w:type="dxa" w:w="3129"/>
          </w:tcPr>
          <w:p>
            <w:pPr>
              <w:spacing w:after="60" w:before="60"/>
            </w:pPr>
            <w:r>
              <w:rPr>
                <w:rFonts w:ascii="Times New Roman" w:hAnsi="Times New Roman" w:eastAsia="Times New Roman" w:cs="Times New Roman"/>
                <w:b w:val="0"/>
                <w:i w:val="0"/>
                <w:sz w:val="22"/>
              </w:rPr>
              <w:t>Nghị định 145/2020/NĐ-CP</w:t>
            </w:r>
          </w:p>
        </w:tc>
        <w:tc>
          <w:tcPr>
            <w:tcW w:type="dxa" w:w="2047"/>
          </w:tcPr>
          <w:p>
            <w:pPr>
              <w:spacing w:after="60" w:before="60"/>
            </w:pPr>
            <w:r>
              <w:rPr>
                <w:rFonts w:ascii="Times New Roman" w:hAnsi="Times New Roman" w:eastAsia="Times New Roman" w:cs="Times New Roman"/>
                <w:b w:val="0"/>
                <w:i w:val="0"/>
                <w:sz w:val="22"/>
              </w:rPr>
              <w:t>145/2020/NĐ-CP</w:t>
            </w:r>
          </w:p>
        </w:tc>
        <w:tc>
          <w:tcPr>
            <w:tcW w:type="dxa" w:w="4462"/>
          </w:tcPr>
          <w:p>
            <w:pPr>
              <w:spacing w:after="60" w:before="60"/>
            </w:pPr>
            <w:r>
              <w:rPr>
                <w:rFonts w:ascii="Times New Roman" w:hAnsi="Times New Roman" w:eastAsia="Times New Roman" w:cs="Times New Roman"/>
                <w:b w:val="0"/>
                <w:i w:val="0"/>
                <w:sz w:val="22"/>
              </w:rPr>
              <w:t>Đối thoại tại nơi làm việc; phòng, chống quấy rối tình dục (Điều 84–85)</w:t>
            </w:r>
          </w:p>
        </w:tc>
      </w:tr>
      <w:tr>
        <w:tc>
          <w:tcPr>
            <w:tcW w:type="dxa" w:w="3129"/>
          </w:tcPr>
          <w:p>
            <w:pPr>
              <w:spacing w:after="60" w:before="60"/>
            </w:pPr>
            <w:r>
              <w:rPr>
                <w:rFonts w:ascii="Times New Roman" w:hAnsi="Times New Roman" w:eastAsia="Times New Roman" w:cs="Times New Roman"/>
                <w:b w:val="0"/>
                <w:i w:val="0"/>
                <w:sz w:val="22"/>
              </w:rPr>
              <w:t>Luật An toàn, vệ sinh lao động 2015</w:t>
            </w:r>
          </w:p>
        </w:tc>
        <w:tc>
          <w:tcPr>
            <w:tcW w:type="dxa" w:w="2047"/>
          </w:tcPr>
          <w:p>
            <w:pPr>
              <w:spacing w:after="60" w:before="60"/>
            </w:pPr>
            <w:r>
              <w:rPr>
                <w:rFonts w:ascii="Times New Roman" w:hAnsi="Times New Roman" w:eastAsia="Times New Roman" w:cs="Times New Roman"/>
                <w:b w:val="0"/>
                <w:i w:val="0"/>
                <w:sz w:val="22"/>
              </w:rPr>
              <w:t>84/2015/QH13</w:t>
            </w:r>
          </w:p>
        </w:tc>
        <w:tc>
          <w:tcPr>
            <w:tcW w:type="dxa" w:w="4462"/>
          </w:tcPr>
          <w:p>
            <w:pPr>
              <w:spacing w:after="60" w:before="60"/>
            </w:pPr>
            <w:r>
              <w:rPr>
                <w:rFonts w:ascii="Times New Roman" w:hAnsi="Times New Roman" w:eastAsia="Times New Roman" w:cs="Times New Roman"/>
                <w:b w:val="0"/>
                <w:i w:val="0"/>
                <w:sz w:val="22"/>
              </w:rPr>
              <w:t>Nghĩa vụ bảo đảm ATVSLĐ của người sử dụng lao động</w:t>
            </w:r>
          </w:p>
        </w:tc>
      </w:tr>
      <w:tr>
        <w:tc>
          <w:tcPr>
            <w:tcW w:type="dxa" w:w="3129"/>
          </w:tcPr>
          <w:p>
            <w:pPr>
              <w:spacing w:after="60" w:before="60"/>
            </w:pPr>
            <w:r>
              <w:rPr>
                <w:rFonts w:ascii="Times New Roman" w:hAnsi="Times New Roman" w:eastAsia="Times New Roman" w:cs="Times New Roman"/>
                <w:b w:val="0"/>
                <w:i w:val="0"/>
                <w:sz w:val="22"/>
              </w:rPr>
              <w:t>Luật Phòng, chống tham nhũng 2018</w:t>
            </w:r>
          </w:p>
        </w:tc>
        <w:tc>
          <w:tcPr>
            <w:tcW w:type="dxa" w:w="2047"/>
          </w:tcPr>
          <w:p>
            <w:pPr>
              <w:spacing w:after="60" w:before="60"/>
            </w:pPr>
            <w:r>
              <w:rPr>
                <w:rFonts w:ascii="Times New Roman" w:hAnsi="Times New Roman" w:eastAsia="Times New Roman" w:cs="Times New Roman"/>
                <w:b w:val="0"/>
                <w:i w:val="0"/>
                <w:sz w:val="22"/>
              </w:rPr>
              <w:t>36/2018/QH14</w:t>
            </w:r>
          </w:p>
        </w:tc>
        <w:tc>
          <w:tcPr>
            <w:tcW w:type="dxa" w:w="4462"/>
          </w:tcPr>
          <w:p>
            <w:pPr>
              <w:spacing w:after="60" w:before="60"/>
            </w:pPr>
            <w:r>
              <w:rPr>
                <w:rFonts w:ascii="Times New Roman" w:hAnsi="Times New Roman" w:eastAsia="Times New Roman" w:cs="Times New Roman"/>
                <w:b w:val="0"/>
                <w:i w:val="0"/>
                <w:sz w:val="22"/>
              </w:rPr>
              <w:t>Phòng, chống tham nhũng trong doanh nghiệp ngoài nhà nước</w:t>
            </w:r>
          </w:p>
        </w:tc>
      </w:tr>
      <w:tr>
        <w:tc>
          <w:tcPr>
            <w:tcW w:type="dxa" w:w="3129"/>
          </w:tcPr>
          <w:p>
            <w:pPr>
              <w:spacing w:after="60" w:before="60"/>
            </w:pPr>
            <w:r>
              <w:rPr>
                <w:rFonts w:ascii="Times New Roman" w:hAnsi="Times New Roman" w:eastAsia="Times New Roman" w:cs="Times New Roman"/>
                <w:b w:val="0"/>
                <w:i w:val="0"/>
                <w:sz w:val="22"/>
              </w:rPr>
              <w:t>Bộ luật Hình sự 2015 (sửa đổi 2017)</w:t>
            </w:r>
          </w:p>
        </w:tc>
        <w:tc>
          <w:tcPr>
            <w:tcW w:type="dxa" w:w="2047"/>
          </w:tcPr>
          <w:p>
            <w:pPr>
              <w:spacing w:after="60" w:before="60"/>
            </w:pPr>
            <w:r>
              <w:rPr>
                <w:rFonts w:ascii="Times New Roman" w:hAnsi="Times New Roman" w:eastAsia="Times New Roman" w:cs="Times New Roman"/>
                <w:b w:val="0"/>
                <w:i w:val="0"/>
                <w:sz w:val="22"/>
              </w:rPr>
              <w:t>100/2015/QH13</w:t>
            </w:r>
          </w:p>
        </w:tc>
        <w:tc>
          <w:tcPr>
            <w:tcW w:type="dxa" w:w="4462"/>
          </w:tcPr>
          <w:p>
            <w:pPr>
              <w:spacing w:after="60" w:before="60"/>
            </w:pPr>
            <w:r>
              <w:rPr>
                <w:rFonts w:ascii="Times New Roman" w:hAnsi="Times New Roman" w:eastAsia="Times New Roman" w:cs="Times New Roman"/>
                <w:b w:val="0"/>
                <w:i w:val="0"/>
                <w:sz w:val="22"/>
              </w:rPr>
              <w:t>Nhận hối lộ (Điều 354), đưa hối lộ (Điều 364), môi giới hối lộ (Điều 365) – áp dụng cả khu vực tư</w:t>
            </w:r>
          </w:p>
        </w:tc>
      </w:tr>
      <w:tr>
        <w:tc>
          <w:tcPr>
            <w:tcW w:type="dxa" w:w="3129"/>
          </w:tcPr>
          <w:p>
            <w:pPr>
              <w:spacing w:after="60" w:before="60"/>
            </w:pPr>
            <w:r>
              <w:rPr>
                <w:rFonts w:ascii="Times New Roman" w:hAnsi="Times New Roman" w:eastAsia="Times New Roman" w:cs="Times New Roman"/>
                <w:b w:val="0"/>
                <w:i w:val="0"/>
                <w:sz w:val="22"/>
              </w:rPr>
              <w:t>Luật Cạnh tranh 2018</w:t>
            </w:r>
          </w:p>
        </w:tc>
        <w:tc>
          <w:tcPr>
            <w:tcW w:type="dxa" w:w="2047"/>
          </w:tcPr>
          <w:p>
            <w:pPr>
              <w:spacing w:after="60" w:before="60"/>
            </w:pPr>
            <w:r>
              <w:rPr>
                <w:rFonts w:ascii="Times New Roman" w:hAnsi="Times New Roman" w:eastAsia="Times New Roman" w:cs="Times New Roman"/>
                <w:b w:val="0"/>
                <w:i w:val="0"/>
                <w:sz w:val="22"/>
              </w:rPr>
              <w:t>23/2018/QH14</w:t>
            </w:r>
          </w:p>
        </w:tc>
        <w:tc>
          <w:tcPr>
            <w:tcW w:type="dxa" w:w="4462"/>
          </w:tcPr>
          <w:p>
            <w:pPr>
              <w:spacing w:after="60" w:before="60"/>
            </w:pPr>
            <w:r>
              <w:rPr>
                <w:rFonts w:ascii="Times New Roman" w:hAnsi="Times New Roman" w:eastAsia="Times New Roman" w:cs="Times New Roman"/>
                <w:b w:val="0"/>
                <w:i w:val="0"/>
                <w:sz w:val="22"/>
              </w:rPr>
              <w:t>Thỏa thuận hạn chế cạnh tranh, thông đồng đấu thầu</w:t>
            </w:r>
          </w:p>
        </w:tc>
      </w:tr>
      <w:tr>
        <w:tc>
          <w:tcPr>
            <w:tcW w:type="dxa" w:w="3129"/>
          </w:tcPr>
          <w:p>
            <w:pPr>
              <w:spacing w:after="60" w:before="60"/>
            </w:pPr>
            <w:r>
              <w:rPr>
                <w:rFonts w:ascii="Times New Roman" w:hAnsi="Times New Roman" w:eastAsia="Times New Roman" w:cs="Times New Roman"/>
                <w:b w:val="0"/>
                <w:i w:val="0"/>
                <w:sz w:val="22"/>
              </w:rPr>
              <w:t>Luật Bảo vệ dữ liệu cá nhân 2025</w:t>
            </w:r>
          </w:p>
        </w:tc>
        <w:tc>
          <w:tcPr>
            <w:tcW w:type="dxa" w:w="2047"/>
          </w:tcPr>
          <w:p>
            <w:pPr>
              <w:spacing w:after="60" w:before="60"/>
            </w:pPr>
            <w:r>
              <w:rPr>
                <w:rFonts w:ascii="Times New Roman" w:hAnsi="Times New Roman" w:eastAsia="Times New Roman" w:cs="Times New Roman"/>
                <w:b w:val="0"/>
                <w:i w:val="0"/>
                <w:sz w:val="22"/>
              </w:rPr>
              <w:t>91/2025/QH15</w:t>
            </w:r>
          </w:p>
        </w:tc>
        <w:tc>
          <w:tcPr>
            <w:tcW w:type="dxa" w:w="4462"/>
          </w:tcPr>
          <w:p>
            <w:pPr>
              <w:spacing w:after="60" w:before="60"/>
            </w:pPr>
            <w:r>
              <w:rPr>
                <w:rFonts w:ascii="Times New Roman" w:hAnsi="Times New Roman" w:eastAsia="Times New Roman" w:cs="Times New Roman"/>
                <w:b w:val="0"/>
                <w:i w:val="0"/>
                <w:sz w:val="22"/>
              </w:rPr>
              <w:t>Xử lý dữ liệu cá nhân của người lao động, khách hàng (hiệu lực 01/01/2026)</w:t>
            </w:r>
          </w:p>
        </w:tc>
      </w:tr>
      <w:tr>
        <w:tc>
          <w:tcPr>
            <w:tcW w:type="dxa" w:w="3129"/>
          </w:tcPr>
          <w:p>
            <w:pPr>
              <w:spacing w:after="60" w:before="60"/>
            </w:pPr>
            <w:r>
              <w:rPr>
                <w:rFonts w:ascii="Times New Roman" w:hAnsi="Times New Roman" w:eastAsia="Times New Roman" w:cs="Times New Roman"/>
                <w:b w:val="0"/>
                <w:i w:val="0"/>
                <w:sz w:val="22"/>
              </w:rPr>
              <w:t>Luật Công đoàn 2024</w:t>
            </w:r>
          </w:p>
        </w:tc>
        <w:tc>
          <w:tcPr>
            <w:tcW w:type="dxa" w:w="2047"/>
          </w:tcPr>
          <w:p>
            <w:pPr>
              <w:spacing w:after="60" w:before="60"/>
            </w:pPr>
            <w:r>
              <w:rPr>
                <w:rFonts w:ascii="Times New Roman" w:hAnsi="Times New Roman" w:eastAsia="Times New Roman" w:cs="Times New Roman"/>
                <w:b w:val="0"/>
                <w:i w:val="0"/>
                <w:sz w:val="22"/>
              </w:rPr>
              <w:t>50/2024/QH15</w:t>
            </w:r>
          </w:p>
        </w:tc>
        <w:tc>
          <w:tcPr>
            <w:tcW w:type="dxa" w:w="4462"/>
          </w:tcPr>
          <w:p>
            <w:pPr>
              <w:spacing w:after="60" w:before="60"/>
            </w:pPr>
            <w:r>
              <w:rPr>
                <w:rFonts w:ascii="Times New Roman" w:hAnsi="Times New Roman" w:eastAsia="Times New Roman" w:cs="Times New Roman"/>
                <w:b w:val="0"/>
                <w:i w:val="0"/>
                <w:sz w:val="22"/>
              </w:rPr>
              <w:t>Quyền thành lập, gia nhập công đoàn (hiệu lực 01/07/2025)</w:t>
            </w:r>
          </w:p>
        </w:tc>
      </w:tr>
    </w:tbl>
    <w:p>
      <w:pPr>
        <w:spacing w:before="120" w:after="100" w:line="300" w:lineRule="auto"/>
        <w:jc w:val="both"/>
      </w:pPr>
      <w:r>
        <w:rPr>
          <w:rFonts w:ascii="Times New Roman" w:hAnsi="Times New Roman" w:eastAsia="Times New Roman" w:cs="Times New Roman"/>
          <w:b/>
          <w:i w:val="0"/>
          <w:sz w:val="24"/>
        </w:rPr>
        <w:t>Trách nhiệm:</w:t>
      </w:r>
      <w:r>
        <w:rPr>
          <w:rFonts w:ascii="Times New Roman" w:hAnsi="Times New Roman" w:eastAsia="Times New Roman" w:cs="Times New Roman"/>
          <w:b w:val="0"/>
          <w:i w:val="0"/>
          <w:sz w:val="24"/>
        </w:rPr>
        <w:t xml:space="preserve"> Giám đốc phê duyệt và chịu trách nhiệm cuối cùng. Đầu mối tuân thủ (bà Nguyễn Thị Hoài Thương, ĐT 0989 293465) phổ biến, đào tạo, tiếp nhận báo cáo và lưu hồ sơ. Trưởng bộ phận, chỉ huy công trình làm gương và giám sát việc tuân thủ trong phạm vi phụ trách.</w:t>
      </w:r>
    </w:p>
    <w:p>
      <w:pPr>
        <w:spacing w:after="100" w:line="300" w:lineRule="auto"/>
        <w:jc w:val="both"/>
      </w:pPr>
      <w:r>
        <w:rPr>
          <w:rFonts w:ascii="Times New Roman" w:hAnsi="Times New Roman" w:eastAsia="Times New Roman" w:cs="Times New Roman"/>
          <w:b/>
          <w:i w:val="0"/>
          <w:sz w:val="24"/>
        </w:rPr>
        <w:t>Rà soát:</w:t>
      </w:r>
      <w:r>
        <w:rPr>
          <w:rFonts w:ascii="Times New Roman" w:hAnsi="Times New Roman" w:eastAsia="Times New Roman" w:cs="Times New Roman"/>
          <w:b w:val="0"/>
          <w:i w:val="0"/>
          <w:sz w:val="24"/>
        </w:rPr>
        <w:t xml:space="preserve"> ít nhất 1 lần/năm, hoặc khi pháp luật hay yêu cầu khách hàng thay đổi.</w:t>
      </w:r>
    </w:p>
    <w:p>
      <w:pPr>
        <w:keepNext/>
        <w:spacing w:before="260" w:after="140"/>
        <w:jc w:val="center"/>
      </w:pPr>
      <w:r>
        <w:rPr>
          <w:rFonts w:ascii="Times New Roman" w:hAnsi="Times New Roman" w:eastAsia="Times New Roman" w:cs="Times New Roman"/>
          <w:b/>
          <w:i w:val="0"/>
          <w:sz w:val="26"/>
        </w:rPr>
        <w:t>PHẦN I – BỘ QUY TẮC ỨNG XỬ (SVWS-POL-01)</w:t>
      </w:r>
    </w:p>
    <w:p>
      <w:pPr>
        <w:spacing w:after="100" w:line="300" w:lineRule="auto"/>
        <w:jc w:val="both"/>
      </w:pPr>
      <w:r>
        <w:rPr>
          <w:rFonts w:ascii="Times New Roman" w:hAnsi="Times New Roman" w:eastAsia="Times New Roman" w:cs="Times New Roman"/>
          <w:b w:val="0"/>
          <w:i w:val="0"/>
          <w:sz w:val="24"/>
        </w:rPr>
        <w:t>Mọi người tại SVWS làm việc trung thực, tuân thủ pháp luật và tôn trọng con người; vi phạm Bộ quy tắc này có thể bị xử lý kỷ luật đến sa thải và chuyển cơ quan có thẩm quyền khi có dấu hiệu tội phạm. Khi không chắc chắn, hãy tự hỏi: việc này có hợp pháp không, có đúng chính sách không, và có ngại nếu khách hàng hoặc báo chí biết không – rồi hỏi Đầu mối tuân thủ.</w:t>
      </w:r>
    </w:p>
    <w:p>
      <w:pPr>
        <w:keepNext/>
        <w:spacing w:before="140" w:after="80" w:line="300" w:lineRule="auto"/>
      </w:pPr>
      <w:r>
        <w:rPr>
          <w:rFonts w:ascii="Times New Roman" w:hAnsi="Times New Roman" w:eastAsia="Times New Roman" w:cs="Times New Roman"/>
          <w:b/>
          <w:i w:val="0"/>
          <w:sz w:val="24"/>
        </w:rPr>
        <w:t>1. Cam kết chung</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Tuân thủ pháp luật</w:t>
      </w:r>
      <w:r>
        <w:rPr>
          <w:rFonts w:ascii="Times New Roman" w:hAnsi="Times New Roman" w:eastAsia="Times New Roman" w:cs="Times New Roman"/>
          <w:b w:val="0"/>
          <w:i w:val="0"/>
          <w:sz w:val="24"/>
        </w:rPr>
        <w:t xml:space="preserve"> Việt Nam, chính sách công ty và quy định của khách hàng khi làm việc tại nhà máy của họ.</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An toàn trên hết:</w:t>
      </w:r>
      <w:r>
        <w:rPr>
          <w:rFonts w:ascii="Times New Roman" w:hAnsi="Times New Roman" w:eastAsia="Times New Roman" w:cs="Times New Roman"/>
          <w:b w:val="0"/>
          <w:i w:val="0"/>
          <w:sz w:val="24"/>
        </w:rPr>
        <w:t xml:space="preserve"> mọi người có quyền và nghĩa vụ dừng công việc khi thấy rõ nguy cơ mất an toàn và báo ngay cho người quản lý, không bị xử lý vì việc này (Luật ATVSLĐ 2015).</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Trung thực trong hồ sơ:</w:t>
      </w:r>
      <w:r>
        <w:rPr>
          <w:rFonts w:ascii="Times New Roman" w:hAnsi="Times New Roman" w:eastAsia="Times New Roman" w:cs="Times New Roman"/>
          <w:b w:val="0"/>
          <w:i w:val="0"/>
          <w:sz w:val="24"/>
        </w:rPr>
        <w:t xml:space="preserve"> không làm sai lệch báo cáo, nhật ký công trường, số liệu vận hành, kết quả phân tích nước, biên bản nghiệm thu, chứng từ kế toán.</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Bảo vệ môi trường:</w:t>
      </w:r>
      <w:r>
        <w:rPr>
          <w:rFonts w:ascii="Times New Roman" w:hAnsi="Times New Roman" w:eastAsia="Times New Roman" w:cs="Times New Roman"/>
          <w:b w:val="0"/>
          <w:i w:val="0"/>
          <w:sz w:val="24"/>
        </w:rPr>
        <w:t xml:space="preserve"> không xả thải, không để hóa chất rò rỉ, không tắt hoặc can thiệp thiết bị quan trắc trái phép.</w:t>
      </w:r>
    </w:p>
    <w:p>
      <w:pPr>
        <w:keepNext/>
        <w:spacing w:before="140" w:after="80" w:line="300" w:lineRule="auto"/>
      </w:pPr>
      <w:r>
        <w:rPr>
          <w:rFonts w:ascii="Times New Roman" w:hAnsi="Times New Roman" w:eastAsia="Times New Roman" w:cs="Times New Roman"/>
          <w:b/>
          <w:i w:val="0"/>
          <w:sz w:val="24"/>
        </w:rPr>
        <w:t>2. Chống hối lộ và tham nhũng</w:t>
      </w:r>
    </w:p>
    <w:p>
      <w:pPr>
        <w:spacing w:after="100" w:line="300" w:lineRule="auto"/>
        <w:jc w:val="both"/>
      </w:pPr>
      <w:r>
        <w:rPr>
          <w:rFonts w:ascii="Times New Roman" w:hAnsi="Times New Roman" w:eastAsia="Times New Roman" w:cs="Times New Roman"/>
          <w:b w:val="0"/>
          <w:i w:val="0"/>
          <w:sz w:val="24"/>
        </w:rPr>
        <w:t>SVWS không khoan nhượng với hối lộ dưới mọi hình thức, với công chức cũng như với nhân viên doanh nghiệp tư.</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Cấm</w:t>
      </w:r>
      <w:r>
        <w:rPr>
          <w:rFonts w:ascii="Times New Roman" w:hAnsi="Times New Roman" w:eastAsia="Times New Roman" w:cs="Times New Roman"/>
          <w:b w:val="0"/>
          <w:i w:val="0"/>
          <w:sz w:val="24"/>
        </w:rPr>
        <w:t xml:space="preserve"> đưa, hứa, đề nghị, nhận hoặc đòi bất kỳ lợi ích nào (tiền, quà, chiêu đãi, hoa hồng, việc làm cho người thân, ưu đãi cá nhân) nhằm tác động đến quyết định của người khác.</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Cấm "phí bôi trơn"</w:t>
      </w:r>
      <w:r>
        <w:rPr>
          <w:rFonts w:ascii="Times New Roman" w:hAnsi="Times New Roman" w:eastAsia="Times New Roman" w:cs="Times New Roman"/>
          <w:b w:val="0"/>
          <w:i w:val="0"/>
          <w:sz w:val="24"/>
        </w:rPr>
        <w:t>, dù nhỏ, kể cả khi xin phép, nghiệm thu, kiểm định, thông quan hay thanh toán. Chỉ nộp các khoản phí, lệ phí theo biểu phí chính thức có biên lai.</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Bên thứ ba</w:t>
      </w:r>
      <w:r>
        <w:rPr>
          <w:rFonts w:ascii="Times New Roman" w:hAnsi="Times New Roman" w:eastAsia="Times New Roman" w:cs="Times New Roman"/>
          <w:b w:val="0"/>
          <w:i w:val="0"/>
          <w:sz w:val="24"/>
        </w:rPr>
        <w:t xml:space="preserve"> (đại lý, môi giới, tư vấn, thầu phụ) làm việc thay mặt SVWS phải được thẩm định trước; hợp đồng có điều khoản chống hối lộ; mọi khoản hoa hồng phải có hợp đồng, hóa đơn và tương xứng với dịch vụ thực tế.</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Sổ sách trung thực:</w:t>
      </w:r>
      <w:r>
        <w:rPr>
          <w:rFonts w:ascii="Times New Roman" w:hAnsi="Times New Roman" w:eastAsia="Times New Roman" w:cs="Times New Roman"/>
          <w:b w:val="0"/>
          <w:i w:val="0"/>
          <w:sz w:val="24"/>
        </w:rPr>
        <w:t xml:space="preserve"> cấm quỹ ngoài sổ sách, chứng từ khống, chi phí không rõ mục đích.</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Bị đòi hối lộ:</w:t>
      </w:r>
      <w:r>
        <w:rPr>
          <w:rFonts w:ascii="Times New Roman" w:hAnsi="Times New Roman" w:eastAsia="Times New Roman" w:cs="Times New Roman"/>
          <w:b w:val="0"/>
          <w:i w:val="0"/>
          <w:sz w:val="24"/>
        </w:rPr>
        <w:t xml:space="preserve"> từ chối và báo ngay Đầu mối tuân thủ hoặc Giám đốc. Nếu bị đe dọa đến an toàn tính mạng, ưu tiên an toàn và báo cáo ngay sau đó.</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Xung đột lợi ích:</w:t>
      </w:r>
      <w:r>
        <w:rPr>
          <w:rFonts w:ascii="Times New Roman" w:hAnsi="Times New Roman" w:eastAsia="Times New Roman" w:cs="Times New Roman"/>
          <w:b w:val="0"/>
          <w:i w:val="0"/>
          <w:sz w:val="24"/>
        </w:rPr>
        <w:t xml:space="preserve"> khai báo bằng văn bản khi bản thân hoặc người thân có lợi ích tại nhà cung cấp, khách hàng hoặc đối thủ; không tự quyết định giao dịch có xung đột.</w:t>
      </w:r>
    </w:p>
    <w:p>
      <w:pPr>
        <w:keepNext/>
        <w:spacing w:before="140" w:after="80" w:line="300" w:lineRule="auto"/>
      </w:pPr>
      <w:r>
        <w:rPr>
          <w:rFonts w:ascii="Times New Roman" w:hAnsi="Times New Roman" w:eastAsia="Times New Roman" w:cs="Times New Roman"/>
          <w:b/>
          <w:i w:val="0"/>
          <w:sz w:val="24"/>
        </w:rPr>
        <w:t>3. Quà tặng, chiêu đãi, tài trợ</w:t>
      </w:r>
    </w:p>
    <w:p>
      <w:pPr>
        <w:spacing w:after="100" w:line="300" w:lineRule="auto"/>
        <w:jc w:val="both"/>
      </w:pPr>
      <w:r>
        <w:rPr>
          <w:rFonts w:ascii="Times New Roman" w:hAnsi="Times New Roman" w:eastAsia="Times New Roman" w:cs="Times New Roman"/>
          <w:b w:val="0"/>
          <w:i w:val="0"/>
          <w:sz w:val="24"/>
        </w:rPr>
        <w:t>Quà tặng và chiêu đãi chỉ được phép khi giá trị nhỏ, công khai, không thường xuyên và không gắn với một quyết định kinh doanh đang chờ.</w:t>
      </w: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409"/>
        <w:gridCol w:w="2409"/>
        <w:gridCol w:w="2409"/>
        <w:gridCol w:w="2409"/>
      </w:tblGrid>
      <w:tr>
        <w:tc>
          <w:tcPr>
            <w:tcW w:type="dxa" w:w="1835"/>
          </w:tcPr>
          <w:p>
            <w:pPr>
              <w:spacing w:after="60" w:before="60"/>
            </w:pPr>
            <w:r>
              <w:rPr>
                <w:rFonts w:ascii="Times New Roman" w:hAnsi="Times New Roman" w:eastAsia="Times New Roman" w:cs="Times New Roman"/>
                <w:b/>
                <w:i w:val="0"/>
                <w:sz w:val="22"/>
              </w:rPr>
              <w:t>Hình thức</w:t>
            </w:r>
          </w:p>
        </w:tc>
        <w:tc>
          <w:tcPr>
            <w:tcW w:type="dxa" w:w="2493"/>
          </w:tcPr>
          <w:p>
            <w:pPr>
              <w:spacing w:after="60" w:before="60"/>
            </w:pPr>
            <w:r>
              <w:rPr>
                <w:rFonts w:ascii="Times New Roman" w:hAnsi="Times New Roman" w:eastAsia="Times New Roman" w:cs="Times New Roman"/>
                <w:b/>
                <w:i w:val="0"/>
                <w:sz w:val="22"/>
              </w:rPr>
              <w:t>Được phép</w:t>
            </w:r>
          </w:p>
        </w:tc>
        <w:tc>
          <w:tcPr>
            <w:tcW w:type="dxa" w:w="2703"/>
          </w:tcPr>
          <w:p>
            <w:pPr>
              <w:spacing w:after="60" w:before="60"/>
            </w:pPr>
            <w:r>
              <w:rPr>
                <w:rFonts w:ascii="Times New Roman" w:hAnsi="Times New Roman" w:eastAsia="Times New Roman" w:cs="Times New Roman"/>
                <w:b/>
                <w:i w:val="0"/>
                <w:sz w:val="22"/>
              </w:rPr>
              <w:t>Phải được Giám đốc duyệt trước và ghi sổ</w:t>
            </w:r>
          </w:p>
        </w:tc>
        <w:tc>
          <w:tcPr>
            <w:tcW w:type="dxa" w:w="2606"/>
          </w:tcPr>
          <w:p>
            <w:pPr>
              <w:spacing w:after="60" w:before="60"/>
            </w:pPr>
            <w:r>
              <w:rPr>
                <w:rFonts w:ascii="Times New Roman" w:hAnsi="Times New Roman" w:eastAsia="Times New Roman" w:cs="Times New Roman"/>
                <w:b/>
                <w:i w:val="0"/>
                <w:sz w:val="22"/>
              </w:rPr>
              <w:t>Nghiêm cấm</w:t>
            </w:r>
          </w:p>
        </w:tc>
      </w:tr>
      <w:tr>
        <w:tc>
          <w:tcPr>
            <w:tcW w:type="dxa" w:w="1835"/>
          </w:tcPr>
          <w:p>
            <w:pPr>
              <w:spacing w:after="60" w:before="60"/>
            </w:pPr>
            <w:r>
              <w:rPr>
                <w:rFonts w:ascii="Times New Roman" w:hAnsi="Times New Roman" w:eastAsia="Times New Roman" w:cs="Times New Roman"/>
                <w:b w:val="0"/>
                <w:i w:val="0"/>
                <w:sz w:val="22"/>
              </w:rPr>
              <w:t>Quà tặng (tặng hoặc nhận)</w:t>
            </w:r>
          </w:p>
        </w:tc>
        <w:tc>
          <w:tcPr>
            <w:tcW w:type="dxa" w:w="2493"/>
          </w:tcPr>
          <w:p>
            <w:pPr>
              <w:spacing w:after="60" w:before="60"/>
            </w:pPr>
            <w:r>
              <w:rPr>
                <w:rFonts w:ascii="Times New Roman" w:hAnsi="Times New Roman" w:eastAsia="Times New Roman" w:cs="Times New Roman"/>
                <w:b w:val="0"/>
                <w:i w:val="0"/>
                <w:sz w:val="22"/>
              </w:rPr>
              <w:t>≤ 500.000 đ/lần; quà lưu niệm có logo; quà Tết theo thông lệ</w:t>
            </w:r>
          </w:p>
        </w:tc>
        <w:tc>
          <w:tcPr>
            <w:tcW w:type="dxa" w:w="2703"/>
          </w:tcPr>
          <w:p>
            <w:pPr>
              <w:spacing w:after="60" w:before="60"/>
            </w:pPr>
            <w:r>
              <w:rPr>
                <w:rFonts w:ascii="Times New Roman" w:hAnsi="Times New Roman" w:eastAsia="Times New Roman" w:cs="Times New Roman"/>
                <w:b w:val="0"/>
                <w:i w:val="0"/>
                <w:sz w:val="22"/>
              </w:rPr>
              <w:t>&gt; 500.000 đ/lần</w:t>
            </w:r>
          </w:p>
        </w:tc>
        <w:tc>
          <w:tcPr>
            <w:tcW w:type="dxa" w:w="2606"/>
          </w:tcPr>
          <w:p>
            <w:pPr>
              <w:spacing w:after="60" w:before="60"/>
            </w:pPr>
            <w:r>
              <w:rPr>
                <w:rFonts w:ascii="Times New Roman" w:hAnsi="Times New Roman" w:eastAsia="Times New Roman" w:cs="Times New Roman"/>
                <w:b w:val="0"/>
                <w:i w:val="0"/>
                <w:sz w:val="22"/>
              </w:rPr>
              <w:t>Tiền mặt, thẻ quà tặng, voucher, chuyển khoản; quà trong giai đoạn chào thầu, đàm phán, nghiệm thu, thanh toán</w:t>
            </w:r>
          </w:p>
        </w:tc>
      </w:tr>
      <w:tr>
        <w:tc>
          <w:tcPr>
            <w:tcW w:type="dxa" w:w="1835"/>
          </w:tcPr>
          <w:p>
            <w:pPr>
              <w:spacing w:after="60" w:before="60"/>
            </w:pPr>
            <w:r>
              <w:rPr>
                <w:rFonts w:ascii="Times New Roman" w:hAnsi="Times New Roman" w:eastAsia="Times New Roman" w:cs="Times New Roman"/>
                <w:b w:val="0"/>
                <w:i w:val="0"/>
                <w:sz w:val="22"/>
              </w:rPr>
              <w:t>Chiêu đãi</w:t>
            </w:r>
          </w:p>
        </w:tc>
        <w:tc>
          <w:tcPr>
            <w:tcW w:type="dxa" w:w="2493"/>
          </w:tcPr>
          <w:p>
            <w:pPr>
              <w:spacing w:after="60" w:before="60"/>
            </w:pPr>
            <w:r>
              <w:rPr>
                <w:rFonts w:ascii="Times New Roman" w:hAnsi="Times New Roman" w:eastAsia="Times New Roman" w:cs="Times New Roman"/>
                <w:b w:val="0"/>
                <w:i w:val="0"/>
                <w:sz w:val="22"/>
              </w:rPr>
              <w:t>Bữa ăn công việc hợp lý, không thường xuyên</w:t>
            </w:r>
          </w:p>
        </w:tc>
        <w:tc>
          <w:tcPr>
            <w:tcW w:type="dxa" w:w="2703"/>
          </w:tcPr>
          <w:p>
            <w:pPr>
              <w:spacing w:after="60" w:before="60"/>
            </w:pPr>
            <w:r>
              <w:rPr>
                <w:rFonts w:ascii="Times New Roman" w:hAnsi="Times New Roman" w:eastAsia="Times New Roman" w:cs="Times New Roman"/>
                <w:b w:val="0"/>
                <w:i w:val="0"/>
                <w:sz w:val="22"/>
              </w:rPr>
              <w:t>&gt; 1.000.000 đ/người hoặc kèm đi lại, lưu trú</w:t>
            </w:r>
          </w:p>
        </w:tc>
        <w:tc>
          <w:tcPr>
            <w:tcW w:type="dxa" w:w="2606"/>
          </w:tcPr>
          <w:p>
            <w:pPr>
              <w:spacing w:after="60" w:before="60"/>
            </w:pPr>
            <w:r>
              <w:rPr>
                <w:rFonts w:ascii="Times New Roman" w:hAnsi="Times New Roman" w:eastAsia="Times New Roman" w:cs="Times New Roman"/>
                <w:b w:val="0"/>
                <w:i w:val="0"/>
                <w:sz w:val="22"/>
              </w:rPr>
              <w:t>Giải trí không phù hợp; chiêu đãi người thân của đối tác</w:t>
            </w:r>
          </w:p>
        </w:tc>
      </w:tr>
      <w:tr>
        <w:tc>
          <w:tcPr>
            <w:tcW w:type="dxa" w:w="1835"/>
          </w:tcPr>
          <w:p>
            <w:pPr>
              <w:spacing w:after="60" w:before="60"/>
            </w:pPr>
            <w:r>
              <w:rPr>
                <w:rFonts w:ascii="Times New Roman" w:hAnsi="Times New Roman" w:eastAsia="Times New Roman" w:cs="Times New Roman"/>
                <w:b w:val="0"/>
                <w:i w:val="0"/>
                <w:sz w:val="22"/>
              </w:rPr>
              <w:t>Đi lại, lưu trú cho khách hàng</w:t>
            </w:r>
          </w:p>
        </w:tc>
        <w:tc>
          <w:tcPr>
            <w:tcW w:type="dxa" w:w="2493"/>
          </w:tcPr>
          <w:p>
            <w:pPr>
              <w:spacing w:after="60" w:before="60"/>
            </w:pPr>
            <w:r>
              <w:rPr>
                <w:rFonts w:ascii="Times New Roman" w:hAnsi="Times New Roman" w:eastAsia="Times New Roman" w:cs="Times New Roman"/>
                <w:b w:val="0"/>
                <w:i w:val="0"/>
                <w:sz w:val="22"/>
              </w:rPr>
              <w:t>—</w:t>
            </w:r>
          </w:p>
        </w:tc>
        <w:tc>
          <w:tcPr>
            <w:tcW w:type="dxa" w:w="2703"/>
          </w:tcPr>
          <w:p>
            <w:pPr>
              <w:spacing w:after="60" w:before="60"/>
            </w:pPr>
            <w:r>
              <w:rPr>
                <w:rFonts w:ascii="Times New Roman" w:hAnsi="Times New Roman" w:eastAsia="Times New Roman" w:cs="Times New Roman"/>
                <w:b w:val="0"/>
                <w:i w:val="0"/>
                <w:sz w:val="22"/>
              </w:rPr>
              <w:t>Tham quan nhà máy, đào tạo kỹ thuật có chương trình rõ ràng</w:t>
            </w:r>
          </w:p>
        </w:tc>
        <w:tc>
          <w:tcPr>
            <w:tcW w:type="dxa" w:w="2606"/>
          </w:tcPr>
          <w:p>
            <w:pPr>
              <w:spacing w:after="60" w:before="60"/>
            </w:pPr>
            <w:r>
              <w:rPr>
                <w:rFonts w:ascii="Times New Roman" w:hAnsi="Times New Roman" w:eastAsia="Times New Roman" w:cs="Times New Roman"/>
                <w:b w:val="0"/>
                <w:i w:val="0"/>
                <w:sz w:val="22"/>
              </w:rPr>
              <w:t>Chi phí du lịch, thăm thân, ngày nghỉ kèm theo</w:t>
            </w:r>
          </w:p>
        </w:tc>
      </w:tr>
      <w:tr>
        <w:tc>
          <w:tcPr>
            <w:tcW w:type="dxa" w:w="1835"/>
          </w:tcPr>
          <w:p>
            <w:pPr>
              <w:spacing w:after="60" w:before="60"/>
            </w:pPr>
            <w:r>
              <w:rPr>
                <w:rFonts w:ascii="Times New Roman" w:hAnsi="Times New Roman" w:eastAsia="Times New Roman" w:cs="Times New Roman"/>
                <w:b w:val="0"/>
                <w:i w:val="0"/>
                <w:sz w:val="22"/>
              </w:rPr>
              <w:t>Từ thiện, tài trợ</w:t>
            </w:r>
          </w:p>
        </w:tc>
        <w:tc>
          <w:tcPr>
            <w:tcW w:type="dxa" w:w="2493"/>
          </w:tcPr>
          <w:p>
            <w:pPr>
              <w:spacing w:after="60" w:before="60"/>
            </w:pPr>
            <w:r>
              <w:rPr>
                <w:rFonts w:ascii="Times New Roman" w:hAnsi="Times New Roman" w:eastAsia="Times New Roman" w:cs="Times New Roman"/>
                <w:b w:val="0"/>
                <w:i w:val="0"/>
                <w:sz w:val="22"/>
              </w:rPr>
              <w:t>—</w:t>
            </w:r>
          </w:p>
        </w:tc>
        <w:tc>
          <w:tcPr>
            <w:tcW w:type="dxa" w:w="2703"/>
          </w:tcPr>
          <w:p>
            <w:pPr>
              <w:spacing w:after="60" w:before="60"/>
            </w:pPr>
            <w:r>
              <w:rPr>
                <w:rFonts w:ascii="Times New Roman" w:hAnsi="Times New Roman" w:eastAsia="Times New Roman" w:cs="Times New Roman"/>
                <w:b w:val="0"/>
                <w:i w:val="0"/>
                <w:sz w:val="22"/>
              </w:rPr>
              <w:t>Mọi khoản, cho tổ chức hợp pháp, có chứng từ</w:t>
            </w:r>
          </w:p>
        </w:tc>
        <w:tc>
          <w:tcPr>
            <w:tcW w:type="dxa" w:w="2606"/>
          </w:tcPr>
          <w:p>
            <w:pPr>
              <w:spacing w:after="60" w:before="60"/>
            </w:pPr>
            <w:r>
              <w:rPr>
                <w:rFonts w:ascii="Times New Roman" w:hAnsi="Times New Roman" w:eastAsia="Times New Roman" w:cs="Times New Roman"/>
                <w:b w:val="0"/>
                <w:i w:val="0"/>
                <w:sz w:val="22"/>
              </w:rPr>
              <w:t>Khoản do người có quyền quyết định với SVWS đề nghị để đổi lấy hợp đồng</w:t>
            </w:r>
          </w:p>
        </w:tc>
      </w:tr>
      <w:tr>
        <w:tc>
          <w:tcPr>
            <w:tcW w:type="dxa" w:w="1835"/>
          </w:tcPr>
          <w:p>
            <w:pPr>
              <w:spacing w:after="60" w:before="60"/>
            </w:pPr>
            <w:r>
              <w:rPr>
                <w:rFonts w:ascii="Times New Roman" w:hAnsi="Times New Roman" w:eastAsia="Times New Roman" w:cs="Times New Roman"/>
                <w:b w:val="0"/>
                <w:i w:val="0"/>
                <w:sz w:val="22"/>
              </w:rPr>
              <w:t>Đóng góp chính trị</w:t>
            </w:r>
          </w:p>
        </w:tc>
        <w:tc>
          <w:tcPr>
            <w:tcW w:type="dxa" w:w="2493"/>
          </w:tcPr>
          <w:p>
            <w:pPr>
              <w:spacing w:after="60" w:before="60"/>
            </w:pPr>
            <w:r>
              <w:rPr>
                <w:rFonts w:ascii="Times New Roman" w:hAnsi="Times New Roman" w:eastAsia="Times New Roman" w:cs="Times New Roman"/>
                <w:b w:val="0"/>
                <w:i w:val="0"/>
                <w:sz w:val="22"/>
              </w:rPr>
              <w:t>—</w:t>
            </w:r>
          </w:p>
        </w:tc>
        <w:tc>
          <w:tcPr>
            <w:tcW w:type="dxa" w:w="2703"/>
          </w:tcPr>
          <w:p>
            <w:pPr>
              <w:spacing w:after="60" w:before="60"/>
            </w:pPr>
            <w:r>
              <w:rPr>
                <w:rFonts w:ascii="Times New Roman" w:hAnsi="Times New Roman" w:eastAsia="Times New Roman" w:cs="Times New Roman"/>
                <w:b w:val="0"/>
                <w:i w:val="0"/>
                <w:sz w:val="22"/>
              </w:rPr>
              <w:t>—</w:t>
            </w:r>
          </w:p>
        </w:tc>
        <w:tc>
          <w:tcPr>
            <w:tcW w:type="dxa" w:w="2606"/>
          </w:tcPr>
          <w:p>
            <w:pPr>
              <w:spacing w:after="60" w:before="60"/>
            </w:pPr>
            <w:r>
              <w:rPr>
                <w:rFonts w:ascii="Times New Roman" w:hAnsi="Times New Roman" w:eastAsia="Times New Roman" w:cs="Times New Roman"/>
                <w:b w:val="0"/>
                <w:i w:val="0"/>
                <w:sz w:val="22"/>
              </w:rPr>
              <w:t>Mọi khoản nhân danh SVWS</w:t>
            </w:r>
          </w:p>
        </w:tc>
      </w:tr>
    </w:tbl>
    <w:p>
      <w:pPr>
        <w:spacing w:before="120"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Khách hàng có quy định chặt hơn (ví dụ cấm nhân viên nhận quà) thì áp dụng quy định của khách hàng.</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Quà vượt ngưỡng: từ chối lịch sự hoặc nộp lại công ty trong 5 ngày làm việc; mọi trường hợp ghi vào Sổ đăng ký quà tặng.</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Không tặng quà, chiêu đãi công chức, trừ quà lưu niệm mang tính biểu tượng.</w:t>
      </w:r>
    </w:p>
    <w:p>
      <w:pPr>
        <w:keepNext/>
        <w:spacing w:before="140" w:after="80" w:line="300" w:lineRule="auto"/>
      </w:pPr>
      <w:r>
        <w:rPr>
          <w:rFonts w:ascii="Times New Roman" w:hAnsi="Times New Roman" w:eastAsia="Times New Roman" w:cs="Times New Roman"/>
          <w:b/>
          <w:i w:val="0"/>
          <w:sz w:val="24"/>
        </w:rPr>
        <w:t>4. Cạnh tranh lành mạnh</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Cấm thỏa thuận với đối thủ</w:t>
      </w:r>
      <w:r>
        <w:rPr>
          <w:rFonts w:ascii="Times New Roman" w:hAnsi="Times New Roman" w:eastAsia="Times New Roman" w:cs="Times New Roman"/>
          <w:b w:val="0"/>
          <w:i w:val="0"/>
          <w:sz w:val="24"/>
        </w:rPr>
        <w:t xml:space="preserve"> về giá, điều kiện bán, phân chia khách hàng hoặc khu vực, hạn chế sản lượng, tẩy chay, hoặc thông đồng đấu thầu ("quân xanh, quân đỏ", hồ sơ chào giá làm nền) – Luật Cạnh tranh 2018, Điều 11–12.</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Không trao đổi thông tin nhạy cảm</w:t>
      </w:r>
      <w:r>
        <w:rPr>
          <w:rFonts w:ascii="Times New Roman" w:hAnsi="Times New Roman" w:eastAsia="Times New Roman" w:cs="Times New Roman"/>
          <w:b w:val="0"/>
          <w:i w:val="0"/>
          <w:sz w:val="24"/>
        </w:rPr>
        <w:t xml:space="preserve"> (giá, biên lợi nhuận, kế hoạch chào thầu, năng lực) với đối thủ, kể cả tại hội thảo, hiệp hội hoặc qua nhóm chat.</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Thu thập thông tin thị trường hợp pháp;</w:t>
      </w:r>
      <w:r>
        <w:rPr>
          <w:rFonts w:ascii="Times New Roman" w:hAnsi="Times New Roman" w:eastAsia="Times New Roman" w:cs="Times New Roman"/>
          <w:b w:val="0"/>
          <w:i w:val="0"/>
          <w:sz w:val="24"/>
        </w:rPr>
        <w:t xml:space="preserve"> không sử dụng thông tin mật của đối thủ do nhân viên cũ của họ mang theo.</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Không quảng cáo gian dối</w:t>
      </w:r>
      <w:r>
        <w:rPr>
          <w:rFonts w:ascii="Times New Roman" w:hAnsi="Times New Roman" w:eastAsia="Times New Roman" w:cs="Times New Roman"/>
          <w:b w:val="0"/>
          <w:i w:val="0"/>
          <w:sz w:val="24"/>
        </w:rPr>
        <w:t>, không gèm pha đối thủ, không ép khách hàng mua kèm hàng hóa, dịch vụ họ không cần.</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Phân phối ủy quyền</w:t>
      </w:r>
      <w:r>
        <w:rPr>
          <w:rFonts w:ascii="Times New Roman" w:hAnsi="Times New Roman" w:eastAsia="Times New Roman" w:cs="Times New Roman"/>
          <w:b w:val="0"/>
          <w:i w:val="0"/>
          <w:sz w:val="24"/>
        </w:rPr>
        <w:t xml:space="preserve"> (Veolia, Mettler Toledo): tuân thủ hợp đồng với nhà sản xuất; đây là quan hệ dọc, không phải thỏa thuận giữa các đối thủ.</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Khi đối thủ gợi ý chủ đề bị cấm:</w:t>
      </w:r>
      <w:r>
        <w:rPr>
          <w:rFonts w:ascii="Times New Roman" w:hAnsi="Times New Roman" w:eastAsia="Times New Roman" w:cs="Times New Roman"/>
          <w:b w:val="0"/>
          <w:i w:val="0"/>
          <w:sz w:val="24"/>
        </w:rPr>
        <w:t xml:space="preserve"> dừng trao đổi, rời cuộc họp, ghi lại và báo cáo ngay.</w:t>
      </w:r>
    </w:p>
    <w:p>
      <w:pPr>
        <w:keepNext/>
        <w:spacing w:before="140" w:after="80" w:line="300" w:lineRule="auto"/>
      </w:pPr>
      <w:r>
        <w:rPr>
          <w:rFonts w:ascii="Times New Roman" w:hAnsi="Times New Roman" w:eastAsia="Times New Roman" w:cs="Times New Roman"/>
          <w:b/>
          <w:i w:val="0"/>
          <w:sz w:val="24"/>
        </w:rPr>
        <w:t>5. Bảo mật thông tin và dữ liệu cá nhân</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Thông tin mật của SVWS:</w:t>
      </w:r>
      <w:r>
        <w:rPr>
          <w:rFonts w:ascii="Times New Roman" w:hAnsi="Times New Roman" w:eastAsia="Times New Roman" w:cs="Times New Roman"/>
          <w:b w:val="0"/>
          <w:i w:val="0"/>
          <w:sz w:val="24"/>
        </w:rPr>
        <w:t xml:space="preserve"> thiết kế, bản vẽ, công cụ tính toán, giá vốn, báo giá, danh sách khách hàng – chỉ dùng cho công việc, không tiết lộ ra ngoài.</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Thông tin của khách hàng</w:t>
      </w:r>
      <w:r>
        <w:rPr>
          <w:rFonts w:ascii="Times New Roman" w:hAnsi="Times New Roman" w:eastAsia="Times New Roman" w:cs="Times New Roman"/>
          <w:b w:val="0"/>
          <w:i w:val="0"/>
          <w:sz w:val="24"/>
        </w:rPr>
        <w:t xml:space="preserve"> (bản vẽ, dữ liệu vận hành, chất lượng nước, quy trình sản xuất): chỉ dùng cho dự án, chỉ người tham gia dự án được truy cập, tuân thủ mọi thỏa thuận bảo mật (NDA). Không chụp ảnh, đăng mạng xã hội hình ảnh nhà máy khi chưa được khách hàng cho phép.</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Lưu trữ:</w:t>
      </w:r>
      <w:r>
        <w:rPr>
          <w:rFonts w:ascii="Times New Roman" w:hAnsi="Times New Roman" w:eastAsia="Times New Roman" w:cs="Times New Roman"/>
          <w:b w:val="0"/>
          <w:i w:val="0"/>
          <w:sz w:val="24"/>
        </w:rPr>
        <w:t xml:space="preserve"> tài liệu dự án chỉ lưu trên hệ thống công ty (Google Workspace) có phân quyền và xác thực 2 lớp; không dùng email, ổ lưu trữ cá nhân.</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Công cụ AI và phần mềm bên ngoài:</w:t>
      </w:r>
      <w:r>
        <w:rPr>
          <w:rFonts w:ascii="Times New Roman" w:hAnsi="Times New Roman" w:eastAsia="Times New Roman" w:cs="Times New Roman"/>
          <w:b w:val="0"/>
          <w:i w:val="0"/>
          <w:sz w:val="24"/>
        </w:rPr>
        <w:t xml:space="preserve"> không đưa thông tin mật của khách hàng hoặc dữ liệu cá nhân vào công cụ chưa được công ty phê duyệt.</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Dữ liệu cá nhân</w:t>
      </w:r>
      <w:r>
        <w:rPr>
          <w:rFonts w:ascii="Times New Roman" w:hAnsi="Times New Roman" w:eastAsia="Times New Roman" w:cs="Times New Roman"/>
          <w:b w:val="0"/>
          <w:i w:val="0"/>
          <w:sz w:val="24"/>
        </w:rPr>
        <w:t xml:space="preserve"> của người lao động, khách hàng, đối tác: thu thập tối thiểu, đúng mục đích, có thông báo và sự đồng ý theo Luật 91/2025/QH15; hồ sơ nhân sự chỉ bộ phận nhân sự và Giám đốc truy cập; sự cố lộ lọt dữ liệu phải báo ngay Đầu mối tuân thủ.</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Sau khi nghỉ việc:</w:t>
      </w:r>
      <w:r>
        <w:rPr>
          <w:rFonts w:ascii="Times New Roman" w:hAnsi="Times New Roman" w:eastAsia="Times New Roman" w:cs="Times New Roman"/>
          <w:b w:val="0"/>
          <w:i w:val="0"/>
          <w:sz w:val="24"/>
        </w:rPr>
        <w:t xml:space="preserve"> nghĩa vụ bảo mật tiếp tục; trả lại toàn bộ tài liệu, thiết bị; tài khoản bị thu hồi ngay ngày nghỉ.</w:t>
      </w:r>
    </w:p>
    <w:p>
      <w:pPr>
        <w:keepNext/>
        <w:spacing w:before="140" w:after="80" w:line="300" w:lineRule="auto"/>
      </w:pPr>
      <w:r>
        <w:rPr>
          <w:rFonts w:ascii="Times New Roman" w:hAnsi="Times New Roman" w:eastAsia="Times New Roman" w:cs="Times New Roman"/>
          <w:b/>
          <w:i w:val="0"/>
          <w:sz w:val="24"/>
        </w:rPr>
        <w:t>6. Không phân biệt đối xử</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SVWS không phân biệt đối xử vì giới tính, dân tộc, màu da, nguồn gốc xã hội, tôn giáo, tín ngưỡng, tình trạng hôn nhân, mang thai, nuôi con nhỏ, khuyết tật, tình trạng HIV, tuổi, quan điểm, hoặc việc tham gia công đoàn (Bộ luật Lao động 2019, Điều 3 và Điều 8).</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Nguyên tắc này áp dụng cho tuyển dụng, tiền lương, đào tạo, thăng tiến, phân công công việc, kỷ luật và chấm dứt hợp đồng.</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Trả lương bình đẳng cho công việc có giá trị như nhau (Điều 90).</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Không xét nghiệm thai, HIV khi tuyển dụng; không hỏi về kế hoạch kết hôn, sinh con.</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Tôn trọng quyền thành lập, gia nhập công đoàn và thương lượng tập thể; bố trí công việc phù hợp cho lao động nữ mang thai và người khuyết tật.</w:t>
      </w:r>
    </w:p>
    <w:p>
      <w:pPr>
        <w:keepNext/>
        <w:spacing w:before="140" w:after="80" w:line="300" w:lineRule="auto"/>
      </w:pPr>
      <w:r>
        <w:rPr>
          <w:rFonts w:ascii="Times New Roman" w:hAnsi="Times New Roman" w:eastAsia="Times New Roman" w:cs="Times New Roman"/>
          <w:b/>
          <w:i w:val="0"/>
          <w:sz w:val="24"/>
        </w:rPr>
        <w:t>7. Phòng, chống quấy rối và bạo lực</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Nghiêm cấm</w:t>
      </w:r>
      <w:r>
        <w:rPr>
          <w:rFonts w:ascii="Times New Roman" w:hAnsi="Times New Roman" w:eastAsia="Times New Roman" w:cs="Times New Roman"/>
          <w:b w:val="0"/>
          <w:i w:val="0"/>
          <w:sz w:val="24"/>
        </w:rPr>
        <w:t xml:space="preserve"> quấy rối tình dục dưới mọi hình thức (thể chất, lời nói, phi lời nói, qua tin nhắn hay mạng xã hội), bạo lực thân thể, đe dọa, bắt nạt, lăng mạ, xúc phạm danh dự (Bộ luật Lao động 2019, Điều 3 khoản 9; Nghị định 145/2020/NĐ-CP, Điều 84–85).</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Phạm vi nơi làm việc</w:t>
      </w:r>
      <w:r>
        <w:rPr>
          <w:rFonts w:ascii="Times New Roman" w:hAnsi="Times New Roman" w:eastAsia="Times New Roman" w:cs="Times New Roman"/>
          <w:b w:val="0"/>
          <w:i w:val="0"/>
          <w:sz w:val="24"/>
        </w:rPr>
        <w:t xml:space="preserve"> gồm văn phòng, kho, công trường, nhà máy khách hàng, chuyến công tác, sự kiện của công ty và mọi trao đổi liên quan đến công việc.</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Xử lý:</w:t>
      </w:r>
      <w:r>
        <w:rPr>
          <w:rFonts w:ascii="Times New Roman" w:hAnsi="Times New Roman" w:eastAsia="Times New Roman" w:cs="Times New Roman"/>
          <w:b w:val="0"/>
          <w:i w:val="0"/>
          <w:sz w:val="24"/>
        </w:rPr>
        <w:t xml:space="preserve"> tiếp nhận bảo mật qua kênh ở Mục 8; áp dụng ngay biện pháp bảo vệ tạm thời (tách hai bên, đổi ca, đổi công trình) mà không làm thiệt người báo cáo; xác minh và xử lý kỷ luật. Quấy rối tình dục tại nơi làm việc được quy định trong Nội quy lao động là căn cứ sa thải (Điều 125 khoản 2).</w:t>
      </w:r>
    </w:p>
    <w:p>
      <w:pPr>
        <w:keepNext/>
        <w:spacing w:before="140" w:after="80" w:line="300" w:lineRule="auto"/>
      </w:pPr>
      <w:r>
        <w:rPr>
          <w:rFonts w:ascii="Times New Roman" w:hAnsi="Times New Roman" w:eastAsia="Times New Roman" w:cs="Times New Roman"/>
          <w:b/>
          <w:i w:val="0"/>
          <w:sz w:val="24"/>
        </w:rPr>
        <w:t>8. Kênh lên tiếng (speak-up) và cam kết không trả đũa</w:t>
      </w:r>
    </w:p>
    <w:p>
      <w:pPr>
        <w:spacing w:after="100" w:line="300" w:lineRule="auto"/>
        <w:jc w:val="both"/>
      </w:pPr>
      <w:r>
        <w:rPr>
          <w:rFonts w:ascii="Times New Roman" w:hAnsi="Times New Roman" w:eastAsia="Times New Roman" w:cs="Times New Roman"/>
          <w:b w:val="0"/>
          <w:i w:val="0"/>
          <w:sz w:val="24"/>
        </w:rPr>
        <w:t>Người lao động, nhà cung cấp, khách hàng và cộng đồng có thể báo cáo mọi hành vi vi phạm pháp luật hoặc Bộ quy tắc này: hối lộ, gian lận, làm sai số liệu, mất an toàn, quấy rối, phân biệt đối xử, lao động trẻ em hoặc cưỡng bức.</w:t>
      </w: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213"/>
        <w:gridCol w:w="3213"/>
        <w:gridCol w:w="3213"/>
      </w:tblGrid>
      <w:tr>
        <w:tc>
          <w:tcPr>
            <w:tcW w:type="dxa" w:w="1760"/>
          </w:tcPr>
          <w:p>
            <w:pPr>
              <w:spacing w:after="60" w:before="60"/>
            </w:pPr>
            <w:r>
              <w:rPr>
                <w:rFonts w:ascii="Times New Roman" w:hAnsi="Times New Roman" w:eastAsia="Times New Roman" w:cs="Times New Roman"/>
                <w:b/>
                <w:i w:val="0"/>
                <w:sz w:val="22"/>
              </w:rPr>
              <w:t>Kênh</w:t>
            </w:r>
          </w:p>
        </w:tc>
        <w:tc>
          <w:tcPr>
            <w:tcW w:type="dxa" w:w="5297"/>
          </w:tcPr>
          <w:p>
            <w:pPr>
              <w:spacing w:after="60" w:before="60"/>
            </w:pPr>
            <w:r>
              <w:rPr>
                <w:rFonts w:ascii="Times New Roman" w:hAnsi="Times New Roman" w:eastAsia="Times New Roman" w:cs="Times New Roman"/>
                <w:b/>
                <w:i w:val="0"/>
                <w:sz w:val="22"/>
              </w:rPr>
              <w:t>Cách liên hệ</w:t>
            </w:r>
          </w:p>
        </w:tc>
        <w:tc>
          <w:tcPr>
            <w:tcW w:type="dxa" w:w="2580"/>
          </w:tcPr>
          <w:p>
            <w:pPr>
              <w:spacing w:after="60" w:before="60"/>
            </w:pPr>
            <w:r>
              <w:rPr>
                <w:rFonts w:ascii="Times New Roman" w:hAnsi="Times New Roman" w:eastAsia="Times New Roman" w:cs="Times New Roman"/>
                <w:b/>
                <w:i w:val="0"/>
                <w:sz w:val="22"/>
              </w:rPr>
              <w:t>Ghi chú</w:t>
            </w:r>
          </w:p>
        </w:tc>
      </w:tr>
      <w:tr>
        <w:tc>
          <w:tcPr>
            <w:tcW w:type="dxa" w:w="1760"/>
          </w:tcPr>
          <w:p>
            <w:pPr>
              <w:spacing w:after="60" w:before="60"/>
            </w:pPr>
            <w:r>
              <w:rPr>
                <w:rFonts w:ascii="Times New Roman" w:hAnsi="Times New Roman" w:eastAsia="Times New Roman" w:cs="Times New Roman"/>
                <w:b w:val="0"/>
                <w:i w:val="0"/>
                <w:sz w:val="22"/>
              </w:rPr>
              <w:t>Quản lý trực tiếp</w:t>
            </w:r>
          </w:p>
        </w:tc>
        <w:tc>
          <w:tcPr>
            <w:tcW w:type="dxa" w:w="5297"/>
          </w:tcPr>
          <w:p>
            <w:pPr>
              <w:spacing w:after="60" w:before="60"/>
            </w:pPr>
            <w:r>
              <w:rPr>
                <w:rFonts w:ascii="Times New Roman" w:hAnsi="Times New Roman" w:eastAsia="Times New Roman" w:cs="Times New Roman"/>
                <w:b w:val="0"/>
                <w:i w:val="0"/>
                <w:sz w:val="22"/>
              </w:rPr>
              <w:t>Gặp trực tiếp</w:t>
            </w:r>
          </w:p>
        </w:tc>
        <w:tc>
          <w:tcPr>
            <w:tcW w:type="dxa" w:w="2580"/>
          </w:tcPr>
          <w:p>
            <w:pPr>
              <w:spacing w:after="60" w:before="60"/>
            </w:pPr>
            <w:r>
              <w:rPr>
                <w:rFonts w:ascii="Times New Roman" w:hAnsi="Times New Roman" w:eastAsia="Times New Roman" w:cs="Times New Roman"/>
                <w:b w:val="0"/>
                <w:i w:val="0"/>
                <w:sz w:val="22"/>
              </w:rPr>
              <w:t>Khi không liên quan đến chính người quản lý đó</w:t>
            </w:r>
          </w:p>
        </w:tc>
      </w:tr>
      <w:tr>
        <w:tc>
          <w:tcPr>
            <w:tcW w:type="dxa" w:w="1760"/>
          </w:tcPr>
          <w:p>
            <w:pPr>
              <w:spacing w:after="60" w:before="60"/>
            </w:pPr>
            <w:r>
              <w:rPr>
                <w:rFonts w:ascii="Times New Roman" w:hAnsi="Times New Roman" w:eastAsia="Times New Roman" w:cs="Times New Roman"/>
                <w:b w:val="0"/>
                <w:i w:val="0"/>
                <w:sz w:val="22"/>
              </w:rPr>
              <w:t>Đầu mối tuân thủ</w:t>
            </w:r>
          </w:p>
        </w:tc>
        <w:tc>
          <w:tcPr>
            <w:tcW w:type="dxa" w:w="5297"/>
          </w:tcPr>
          <w:p>
            <w:pPr>
              <w:spacing w:after="60" w:before="60"/>
            </w:pPr>
            <w:r>
              <w:rPr>
                <w:rFonts w:ascii="Times New Roman" w:hAnsi="Times New Roman" w:eastAsia="Times New Roman" w:cs="Times New Roman"/>
                <w:b w:val="0"/>
                <w:i w:val="0"/>
                <w:sz w:val="22"/>
              </w:rPr>
              <w:t>Bà Nguyễn Thị Hoài Thương – ĐT 0989 293465</w:t>
            </w:r>
          </w:p>
        </w:tc>
        <w:tc>
          <w:tcPr>
            <w:tcW w:type="dxa" w:w="2580"/>
          </w:tcPr>
          <w:p>
            <w:pPr>
              <w:spacing w:after="60" w:before="60"/>
            </w:pPr>
            <w:r>
              <w:rPr>
                <w:rFonts w:ascii="Times New Roman" w:hAnsi="Times New Roman" w:eastAsia="Times New Roman" w:cs="Times New Roman"/>
                <w:b w:val="0"/>
                <w:i w:val="0"/>
                <w:sz w:val="22"/>
              </w:rPr>
              <w:t>Tiếp nhận và theo dõi mọi báo cáo</w:t>
            </w:r>
          </w:p>
        </w:tc>
      </w:tr>
      <w:tr>
        <w:tc>
          <w:tcPr>
            <w:tcW w:type="dxa" w:w="1760"/>
          </w:tcPr>
          <w:p>
            <w:pPr>
              <w:spacing w:after="60" w:before="60"/>
            </w:pPr>
            <w:r>
              <w:rPr>
                <w:rFonts w:ascii="Times New Roman" w:hAnsi="Times New Roman" w:eastAsia="Times New Roman" w:cs="Times New Roman"/>
                <w:b w:val="0"/>
                <w:i w:val="0"/>
                <w:sz w:val="22"/>
              </w:rPr>
              <w:t>Giám đốc</w:t>
            </w:r>
          </w:p>
        </w:tc>
        <w:tc>
          <w:tcPr>
            <w:tcW w:type="dxa" w:w="5297"/>
          </w:tcPr>
          <w:p>
            <w:pPr>
              <w:spacing w:after="60" w:before="60"/>
            </w:pPr>
            <w:r>
              <w:rPr>
                <w:rFonts w:ascii="Times New Roman" w:hAnsi="Times New Roman" w:eastAsia="Times New Roman" w:cs="Times New Roman"/>
                <w:b w:val="0"/>
                <w:i w:val="0"/>
                <w:sz w:val="22"/>
              </w:rPr>
              <w:t>Gặp trực tiếp hoặc email</w:t>
            </w:r>
          </w:p>
        </w:tc>
        <w:tc>
          <w:tcPr>
            <w:tcW w:type="dxa" w:w="2580"/>
          </w:tcPr>
          <w:p>
            <w:pPr>
              <w:spacing w:after="60" w:before="60"/>
            </w:pPr>
            <w:r>
              <w:rPr>
                <w:rFonts w:ascii="Times New Roman" w:hAnsi="Times New Roman" w:eastAsia="Times New Roman" w:cs="Times New Roman"/>
                <w:b w:val="0"/>
                <w:i w:val="0"/>
                <w:sz w:val="22"/>
              </w:rPr>
              <w:t>Khi báo cáo liên quan đến quản lý hoặc Đầu mối tuân thủ</w:t>
            </w:r>
          </w:p>
        </w:tc>
      </w:tr>
      <w:tr>
        <w:tc>
          <w:tcPr>
            <w:tcW w:type="dxa" w:w="1760"/>
          </w:tcPr>
          <w:p>
            <w:pPr>
              <w:spacing w:after="60" w:before="60"/>
            </w:pPr>
            <w:r>
              <w:rPr>
                <w:rFonts w:ascii="Times New Roman" w:hAnsi="Times New Roman" w:eastAsia="Times New Roman" w:cs="Times New Roman"/>
                <w:b w:val="0"/>
                <w:i w:val="0"/>
                <w:sz w:val="22"/>
              </w:rPr>
              <w:t>Email lên tiếng riêng</w:t>
            </w:r>
          </w:p>
        </w:tc>
        <w:tc>
          <w:tcPr>
            <w:tcW w:type="dxa" w:w="5297"/>
          </w:tcPr>
          <w:p>
            <w:pPr>
              <w:spacing w:after="60" w:before="60"/>
            </w:pPr>
            <w:r>
              <w:rPr>
                <w:rFonts w:ascii="Times New Roman" w:hAnsi="Times New Roman" w:eastAsia="Times New Roman" w:cs="Times New Roman"/>
                <w:b w:val="0"/>
                <w:i w:val="0"/>
                <w:sz w:val="22"/>
              </w:rPr>
              <w:t>sv-admin1@watersolutions.company</w:t>
            </w:r>
          </w:p>
        </w:tc>
        <w:tc>
          <w:tcPr>
            <w:tcW w:type="dxa" w:w="2580"/>
          </w:tcPr>
          <w:p>
            <w:pPr>
              <w:spacing w:after="60" w:before="60"/>
            </w:pPr>
            <w:r>
              <w:rPr>
                <w:rFonts w:ascii="Times New Roman" w:hAnsi="Times New Roman" w:eastAsia="Times New Roman" w:cs="Times New Roman"/>
                <w:b w:val="0"/>
                <w:i w:val="0"/>
                <w:sz w:val="22"/>
              </w:rPr>
              <w:t>Chỉ Giám đốc và Đầu mối tuân thủ đọc</w:t>
            </w:r>
          </w:p>
        </w:tc>
      </w:tr>
      <w:tr>
        <w:tc>
          <w:tcPr>
            <w:tcW w:type="dxa" w:w="1760"/>
          </w:tcPr>
          <w:p>
            <w:pPr>
              <w:spacing w:after="60" w:before="60"/>
            </w:pPr>
            <w:r>
              <w:rPr>
                <w:rFonts w:ascii="Times New Roman" w:hAnsi="Times New Roman" w:eastAsia="Times New Roman" w:cs="Times New Roman"/>
                <w:b w:val="0"/>
                <w:i w:val="0"/>
                <w:sz w:val="22"/>
              </w:rPr>
              <w:t>Hộp thư góp ý</w:t>
            </w:r>
          </w:p>
        </w:tc>
        <w:tc>
          <w:tcPr>
            <w:tcW w:type="dxa" w:w="5297"/>
          </w:tcPr>
          <w:p>
            <w:pPr>
              <w:spacing w:after="60" w:before="60"/>
            </w:pPr>
            <w:r>
              <w:rPr>
                <w:rFonts w:ascii="Times New Roman" w:hAnsi="Times New Roman" w:eastAsia="Times New Roman" w:cs="Times New Roman"/>
                <w:b w:val="0"/>
                <w:i w:val="0"/>
                <w:sz w:val="22"/>
              </w:rPr>
              <w:t>Đặt tại văn phòng</w:t>
            </w:r>
          </w:p>
        </w:tc>
        <w:tc>
          <w:tcPr>
            <w:tcW w:type="dxa" w:w="2580"/>
          </w:tcPr>
          <w:p>
            <w:pPr>
              <w:spacing w:after="60" w:before="60"/>
            </w:pPr>
            <w:r>
              <w:rPr>
                <w:rFonts w:ascii="Times New Roman" w:hAnsi="Times New Roman" w:eastAsia="Times New Roman" w:cs="Times New Roman"/>
                <w:b w:val="0"/>
                <w:i w:val="0"/>
                <w:sz w:val="22"/>
              </w:rPr>
              <w:t>Cho phép gửi ẩn danh</w:t>
            </w:r>
          </w:p>
        </w:tc>
      </w:tr>
    </w:tbl>
    <w:p>
      <w:pPr>
        <w:spacing w:before="120" w:after="100" w:line="300" w:lineRule="auto"/>
        <w:jc w:val="both"/>
      </w:pPr>
      <w:r>
        <w:rPr>
          <w:rFonts w:ascii="Times New Roman" w:hAnsi="Times New Roman" w:eastAsia="Times New Roman" w:cs="Times New Roman"/>
          <w:b w:val="0"/>
          <w:i w:val="0"/>
          <w:sz w:val="24"/>
        </w:rPr>
        <w:t>Quy trình xử lý báo cáo:</w:t>
      </w:r>
    </w:p>
    <w:p>
      <w:pPr>
        <w:spacing w:after="100" w:line="300" w:lineRule="auto"/>
        <w:ind w:left="360"/>
        <w:jc w:val="both"/>
      </w:pPr>
      <w:r>
        <w:rPr>
          <w:rFonts w:ascii="Times New Roman" w:hAnsi="Times New Roman" w:eastAsia="Times New Roman" w:cs="Times New Roman"/>
          <w:b w:val="0"/>
          <w:i w:val="0"/>
          <w:sz w:val="24"/>
        </w:rPr>
        <w:t xml:space="preserve">1. </w:t>
      </w:r>
      <w:r>
        <w:rPr>
          <w:rFonts w:ascii="Times New Roman" w:hAnsi="Times New Roman" w:eastAsia="Times New Roman" w:cs="Times New Roman"/>
          <w:b w:val="0"/>
          <w:i w:val="0"/>
          <w:sz w:val="24"/>
        </w:rPr>
        <w:t>Tiếp nhận, vào sổ và xác nhận đã nhận trong 3 ngày làm việc (khi có thông tin liên hệ).</w:t>
      </w:r>
    </w:p>
    <w:p>
      <w:pPr>
        <w:spacing w:after="100" w:line="300" w:lineRule="auto"/>
        <w:ind w:left="360"/>
        <w:jc w:val="both"/>
      </w:pPr>
      <w:r>
        <w:rPr>
          <w:rFonts w:ascii="Times New Roman" w:hAnsi="Times New Roman" w:eastAsia="Times New Roman" w:cs="Times New Roman"/>
          <w:b w:val="0"/>
          <w:i w:val="0"/>
          <w:sz w:val="24"/>
        </w:rPr>
        <w:t xml:space="preserve">2. </w:t>
      </w:r>
      <w:r>
        <w:rPr>
          <w:rFonts w:ascii="Times New Roman" w:hAnsi="Times New Roman" w:eastAsia="Times New Roman" w:cs="Times New Roman"/>
          <w:b w:val="0"/>
          <w:i w:val="0"/>
          <w:sz w:val="24"/>
        </w:rPr>
        <w:t>Đánh giá sơ bộ và giao người xác minh không liên quan đến vụ việc.</w:t>
      </w:r>
    </w:p>
    <w:p>
      <w:pPr>
        <w:spacing w:after="100" w:line="300" w:lineRule="auto"/>
        <w:ind w:left="360"/>
        <w:jc w:val="both"/>
      </w:pPr>
      <w:r>
        <w:rPr>
          <w:rFonts w:ascii="Times New Roman" w:hAnsi="Times New Roman" w:eastAsia="Times New Roman" w:cs="Times New Roman"/>
          <w:b w:val="0"/>
          <w:i w:val="0"/>
          <w:sz w:val="24"/>
        </w:rPr>
        <w:t xml:space="preserve">3. </w:t>
      </w:r>
      <w:r>
        <w:rPr>
          <w:rFonts w:ascii="Times New Roman" w:hAnsi="Times New Roman" w:eastAsia="Times New Roman" w:cs="Times New Roman"/>
          <w:b w:val="0"/>
          <w:i w:val="0"/>
          <w:sz w:val="24"/>
        </w:rPr>
        <w:t>Xác minh trong tối đa 30 ngày; vụ việc phức tạp có thể gia hạn và thông báo cho người báo cáo.</w:t>
      </w:r>
    </w:p>
    <w:p>
      <w:pPr>
        <w:spacing w:after="100" w:line="300" w:lineRule="auto"/>
        <w:ind w:left="360"/>
        <w:jc w:val="both"/>
      </w:pPr>
      <w:r>
        <w:rPr>
          <w:rFonts w:ascii="Times New Roman" w:hAnsi="Times New Roman" w:eastAsia="Times New Roman" w:cs="Times New Roman"/>
          <w:b w:val="0"/>
          <w:i w:val="0"/>
          <w:sz w:val="24"/>
        </w:rPr>
        <w:t xml:space="preserve">4. </w:t>
      </w:r>
      <w:r>
        <w:rPr>
          <w:rFonts w:ascii="Times New Roman" w:hAnsi="Times New Roman" w:eastAsia="Times New Roman" w:cs="Times New Roman"/>
          <w:b w:val="0"/>
          <w:i w:val="0"/>
          <w:sz w:val="24"/>
        </w:rPr>
        <w:t>Kết luận, quyết định biện pháp xử lý và hành động khắc phục.</w:t>
      </w:r>
    </w:p>
    <w:p>
      <w:pPr>
        <w:spacing w:after="100" w:line="300" w:lineRule="auto"/>
        <w:ind w:left="360"/>
        <w:jc w:val="both"/>
      </w:pPr>
      <w:r>
        <w:rPr>
          <w:rFonts w:ascii="Times New Roman" w:hAnsi="Times New Roman" w:eastAsia="Times New Roman" w:cs="Times New Roman"/>
          <w:b w:val="0"/>
          <w:i w:val="0"/>
          <w:sz w:val="24"/>
        </w:rPr>
        <w:t xml:space="preserve">5. </w:t>
      </w:r>
      <w:r>
        <w:rPr>
          <w:rFonts w:ascii="Times New Roman" w:hAnsi="Times New Roman" w:eastAsia="Times New Roman" w:cs="Times New Roman"/>
          <w:b w:val="0"/>
          <w:i w:val="0"/>
          <w:sz w:val="24"/>
        </w:rPr>
        <w:t>Phản hồi kết quả cho người báo cáo trong phạm vi bảo mật cho phép.</w:t>
      </w:r>
    </w:p>
    <w:p>
      <w:pPr>
        <w:spacing w:after="100" w:line="300" w:lineRule="auto"/>
        <w:ind w:left="360"/>
        <w:jc w:val="both"/>
      </w:pPr>
      <w:r>
        <w:rPr>
          <w:rFonts w:ascii="Times New Roman" w:hAnsi="Times New Roman" w:eastAsia="Times New Roman" w:cs="Times New Roman"/>
          <w:b w:val="0"/>
          <w:i w:val="0"/>
          <w:sz w:val="24"/>
        </w:rPr>
        <w:t xml:space="preserve">6. </w:t>
      </w:r>
      <w:r>
        <w:rPr>
          <w:rFonts w:ascii="Times New Roman" w:hAnsi="Times New Roman" w:eastAsia="Times New Roman" w:cs="Times New Roman"/>
          <w:b w:val="0"/>
          <w:i w:val="0"/>
          <w:sz w:val="24"/>
        </w:rPr>
        <w:t>Lưu hồ sơ ít nhất 3 năm.</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Bảo mật:</w:t>
      </w:r>
      <w:r>
        <w:rPr>
          <w:rFonts w:ascii="Times New Roman" w:hAnsi="Times New Roman" w:eastAsia="Times New Roman" w:cs="Times New Roman"/>
          <w:b w:val="0"/>
          <w:i w:val="0"/>
          <w:sz w:val="24"/>
        </w:rPr>
        <w:t xml:space="preserve"> danh tính người báo cáo chỉ được tiết lộ khi họ đồng ý hoặc pháp luật yêu cầu.</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Không trả đũa:</w:t>
      </w:r>
      <w:r>
        <w:rPr>
          <w:rFonts w:ascii="Times New Roman" w:hAnsi="Times New Roman" w:eastAsia="Times New Roman" w:cs="Times New Roman"/>
          <w:b w:val="0"/>
          <w:i w:val="0"/>
          <w:sz w:val="24"/>
        </w:rPr>
        <w:t xml:space="preserve"> nghiêm cấm sa thải, giáng chức, giảm lương, đổi việc bất lợi, đe dọa người báo cáo thiện chí, kể cả khi kết quả xác minh không có vi phạm. Trả đũa là vi phạm nghiêm trọng. Cố ý báo cáo sai sự thật để hại người khác sẽ bị xử lý.</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Kênh này không thay thế quyền khiếu nại, tố cáo đến cơ quan nhà nước theo Nghị định 24/2018/NĐ-CP.</w:t>
      </w:r>
    </w:p>
    <w:p>
      <w:pPr>
        <w:keepNext/>
        <w:spacing w:before="140" w:after="80" w:line="300" w:lineRule="auto"/>
      </w:pPr>
      <w:r>
        <w:rPr>
          <w:rFonts w:ascii="Times New Roman" w:hAnsi="Times New Roman" w:eastAsia="Times New Roman" w:cs="Times New Roman"/>
          <w:b/>
          <w:i w:val="0"/>
          <w:sz w:val="24"/>
        </w:rPr>
        <w:t>9. Xử lý vi phạm</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Vi phạm được xử lý theo Nội quy lao động với các hình thức: khiển trách, kéo dài thời hạn nâng lương không quá 6 tháng, cách chức, sa thải (Điều 124), theo đúng trình tự tại Điều 122.</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SVWS không phạt tiền, không cắt lương thay cho xử lý kỷ luật (Điều 127). Thiệt hại tài sản được bồi thường theo Điều 129.</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Hành vi có dấu hiệu tội phạm (hối lộ, gian lận, bạo lực) được chuyển cơ quan có thẩm quyền.</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Các hành vi vi phạm tại Bộ quy tắc này được đưa vào Nội quy lao động để làm căn cứ kỷ luật.</w:t>
      </w:r>
    </w:p>
    <w:p>
      <w:pPr>
        <w:keepNext/>
        <w:spacing w:before="140" w:after="80" w:line="300" w:lineRule="auto"/>
      </w:pPr>
      <w:r>
        <w:rPr>
          <w:rFonts w:ascii="Times New Roman" w:hAnsi="Times New Roman" w:eastAsia="Times New Roman" w:cs="Times New Roman"/>
          <w:b/>
          <w:i w:val="0"/>
          <w:sz w:val="24"/>
        </w:rPr>
        <w:t>10. Phổ biến và đào tạo</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Phổ biến cho người lao động mới trong tuần đầu làm việc; đào tạo lại ít nhất 1 lần/năm, có danh sách ký tên.</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Mỗi người ký Xác nhận (Phụ lục A), lưu trong hồ sơ nhân sự.</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Bản đầy đủ lưu trên thư mục dùng chung của công ty; bản tóm tắt và các kênh lên tiếng được niêm yết tại văn phòng và kho.</w:t>
      </w:r>
    </w:p>
    <w:p>
      <w:pPr>
        <w:keepNext/>
        <w:spacing w:before="260" w:after="140"/>
        <w:jc w:val="center"/>
      </w:pPr>
      <w:r>
        <w:rPr>
          <w:rFonts w:ascii="Times New Roman" w:hAnsi="Times New Roman" w:eastAsia="Times New Roman" w:cs="Times New Roman"/>
          <w:b/>
          <w:i w:val="0"/>
          <w:sz w:val="26"/>
        </w:rPr>
        <w:t>PHẦN II – CHÍNH SÁCH KHÔNG SỬ DỤNG LAO ĐỘNG TRẺ EM VÀ LAO ĐỘNG CƯỠNG BỨC (SVWS-POL-02)</w:t>
      </w:r>
    </w:p>
    <w:p>
      <w:pPr>
        <w:spacing w:after="100" w:line="300" w:lineRule="auto"/>
        <w:jc w:val="both"/>
      </w:pPr>
      <w:r>
        <w:rPr>
          <w:rFonts w:ascii="Times New Roman" w:hAnsi="Times New Roman" w:eastAsia="Times New Roman" w:cs="Times New Roman"/>
          <w:b w:val="0"/>
          <w:i w:val="0"/>
          <w:sz w:val="24"/>
        </w:rPr>
        <w:t>SVWS không sử dụng và không dung thứ lao động trẻ em hay bất kỳ hình thức lao động cưỡng bức nào, tại công ty cũng như tại nhà thầu phụ và nhà cung cấp. Tuổi tối thiểu để làm việc cho SVWS hoặc trên công trường của SVWS là 18 tuổi.</w:t>
      </w:r>
    </w:p>
    <w:p>
      <w:pPr>
        <w:keepNext/>
        <w:spacing w:before="140" w:after="80" w:line="300" w:lineRule="auto"/>
      </w:pPr>
      <w:r>
        <w:rPr>
          <w:rFonts w:ascii="Times New Roman" w:hAnsi="Times New Roman" w:eastAsia="Times New Roman" w:cs="Times New Roman"/>
          <w:b/>
          <w:i w:val="0"/>
          <w:sz w:val="24"/>
        </w:rPr>
        <w:t>1. Định nghĩa</w:t>
      </w: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213"/>
        <w:gridCol w:w="3213"/>
        <w:gridCol w:w="3213"/>
      </w:tblGrid>
      <w:tr>
        <w:tc>
          <w:tcPr>
            <w:tcW w:type="dxa" w:w="2554"/>
          </w:tcPr>
          <w:p>
            <w:pPr>
              <w:spacing w:after="60" w:before="60"/>
            </w:pPr>
            <w:r>
              <w:rPr>
                <w:rFonts w:ascii="Times New Roman" w:hAnsi="Times New Roman" w:eastAsia="Times New Roman" w:cs="Times New Roman"/>
                <w:b/>
                <w:i w:val="0"/>
                <w:sz w:val="22"/>
              </w:rPr>
              <w:t>Thuật ngữ</w:t>
            </w:r>
          </w:p>
        </w:tc>
        <w:tc>
          <w:tcPr>
            <w:tcW w:type="dxa" w:w="4036"/>
          </w:tcPr>
          <w:p>
            <w:pPr>
              <w:spacing w:after="60" w:before="60"/>
            </w:pPr>
            <w:r>
              <w:rPr>
                <w:rFonts w:ascii="Times New Roman" w:hAnsi="Times New Roman" w:eastAsia="Times New Roman" w:cs="Times New Roman"/>
                <w:b/>
                <w:i w:val="0"/>
                <w:sz w:val="22"/>
              </w:rPr>
              <w:t>Ý nghĩa trong chính sách này</w:t>
            </w:r>
          </w:p>
        </w:tc>
        <w:tc>
          <w:tcPr>
            <w:tcW w:type="dxa" w:w="3048"/>
          </w:tcPr>
          <w:p>
            <w:pPr>
              <w:spacing w:after="60" w:before="60"/>
            </w:pPr>
            <w:r>
              <w:rPr>
                <w:rFonts w:ascii="Times New Roman" w:hAnsi="Times New Roman" w:eastAsia="Times New Roman" w:cs="Times New Roman"/>
                <w:b/>
                <w:i w:val="0"/>
                <w:sz w:val="22"/>
              </w:rPr>
              <w:t>Căn cứ</w:t>
            </w:r>
          </w:p>
        </w:tc>
      </w:tr>
      <w:tr>
        <w:tc>
          <w:tcPr>
            <w:tcW w:type="dxa" w:w="2554"/>
          </w:tcPr>
          <w:p>
            <w:pPr>
              <w:spacing w:after="60" w:before="60"/>
            </w:pPr>
            <w:r>
              <w:rPr>
                <w:rFonts w:ascii="Times New Roman" w:hAnsi="Times New Roman" w:eastAsia="Times New Roman" w:cs="Times New Roman"/>
                <w:b w:val="0"/>
                <w:i w:val="0"/>
                <w:sz w:val="22"/>
              </w:rPr>
              <w:t>Lao động chưa thành niên</w:t>
            </w:r>
          </w:p>
        </w:tc>
        <w:tc>
          <w:tcPr>
            <w:tcW w:type="dxa" w:w="4036"/>
          </w:tcPr>
          <w:p>
            <w:pPr>
              <w:spacing w:after="60" w:before="60"/>
            </w:pPr>
            <w:r>
              <w:rPr>
                <w:rFonts w:ascii="Times New Roman" w:hAnsi="Times New Roman" w:eastAsia="Times New Roman" w:cs="Times New Roman"/>
                <w:b w:val="0"/>
                <w:i w:val="0"/>
                <w:sz w:val="22"/>
              </w:rPr>
              <w:t>Người lao động chưa đủ 18 tuổi</w:t>
            </w:r>
          </w:p>
        </w:tc>
        <w:tc>
          <w:tcPr>
            <w:tcW w:type="dxa" w:w="3048"/>
          </w:tcPr>
          <w:p>
            <w:pPr>
              <w:spacing w:after="60" w:before="60"/>
            </w:pPr>
            <w:r>
              <w:rPr>
                <w:rFonts w:ascii="Times New Roman" w:hAnsi="Times New Roman" w:eastAsia="Times New Roman" w:cs="Times New Roman"/>
                <w:b w:val="0"/>
                <w:i w:val="0"/>
                <w:sz w:val="22"/>
              </w:rPr>
              <w:t>Bộ luật Lao động 2019, Điều 143</w:t>
            </w:r>
          </w:p>
        </w:tc>
      </w:tr>
      <w:tr>
        <w:tc>
          <w:tcPr>
            <w:tcW w:type="dxa" w:w="2554"/>
          </w:tcPr>
          <w:p>
            <w:pPr>
              <w:spacing w:after="60" w:before="60"/>
            </w:pPr>
            <w:r>
              <w:rPr>
                <w:rFonts w:ascii="Times New Roman" w:hAnsi="Times New Roman" w:eastAsia="Times New Roman" w:cs="Times New Roman"/>
                <w:b w:val="0"/>
                <w:i w:val="0"/>
                <w:sz w:val="22"/>
              </w:rPr>
              <w:t>Lao động trẻ em</w:t>
            </w:r>
          </w:p>
        </w:tc>
        <w:tc>
          <w:tcPr>
            <w:tcW w:type="dxa" w:w="4036"/>
          </w:tcPr>
          <w:p>
            <w:pPr>
              <w:spacing w:after="60" w:before="60"/>
            </w:pPr>
            <w:r>
              <w:rPr>
                <w:rFonts w:ascii="Times New Roman" w:hAnsi="Times New Roman" w:eastAsia="Times New Roman" w:cs="Times New Roman"/>
                <w:b w:val="0"/>
                <w:i w:val="0"/>
                <w:sz w:val="22"/>
              </w:rPr>
              <w:t>Sử dụng người dưới 15 tuổi trái quy định, hoặc người dưới 18 tuổi làm công việc, ở nơi làm việc bị cấm</w:t>
            </w:r>
          </w:p>
        </w:tc>
        <w:tc>
          <w:tcPr>
            <w:tcW w:type="dxa" w:w="3048"/>
          </w:tcPr>
          <w:p>
            <w:pPr>
              <w:spacing w:after="60" w:before="60"/>
            </w:pPr>
            <w:r>
              <w:rPr>
                <w:rFonts w:ascii="Times New Roman" w:hAnsi="Times New Roman" w:eastAsia="Times New Roman" w:cs="Times New Roman"/>
                <w:b w:val="0"/>
                <w:i w:val="0"/>
                <w:sz w:val="22"/>
              </w:rPr>
              <w:t>Điều 8, 143–147</w:t>
            </w:r>
          </w:p>
        </w:tc>
      </w:tr>
      <w:tr>
        <w:tc>
          <w:tcPr>
            <w:tcW w:type="dxa" w:w="2554"/>
          </w:tcPr>
          <w:p>
            <w:pPr>
              <w:spacing w:after="60" w:before="60"/>
            </w:pPr>
            <w:r>
              <w:rPr>
                <w:rFonts w:ascii="Times New Roman" w:hAnsi="Times New Roman" w:eastAsia="Times New Roman" w:cs="Times New Roman"/>
                <w:b w:val="0"/>
                <w:i w:val="0"/>
                <w:sz w:val="22"/>
              </w:rPr>
              <w:t>Lao động cưỡng bức</w:t>
            </w:r>
          </w:p>
        </w:tc>
        <w:tc>
          <w:tcPr>
            <w:tcW w:type="dxa" w:w="4036"/>
          </w:tcPr>
          <w:p>
            <w:pPr>
              <w:spacing w:after="60" w:before="60"/>
            </w:pPr>
            <w:r>
              <w:rPr>
                <w:rFonts w:ascii="Times New Roman" w:hAnsi="Times New Roman" w:eastAsia="Times New Roman" w:cs="Times New Roman"/>
                <w:b w:val="0"/>
                <w:i w:val="0"/>
                <w:sz w:val="22"/>
              </w:rPr>
              <w:t>Dùng vũ lực, đe dọa dùng vũ lực hoặc thủ đoạn khác để ép người lao động làm việc trái ý muốn; bao gồm lao động gán nợ, lao động tù nhân, mua bán người</w:t>
            </w:r>
          </w:p>
        </w:tc>
        <w:tc>
          <w:tcPr>
            <w:tcW w:type="dxa" w:w="3048"/>
          </w:tcPr>
          <w:p>
            <w:pPr>
              <w:spacing w:after="60" w:before="60"/>
            </w:pPr>
            <w:r>
              <w:rPr>
                <w:rFonts w:ascii="Times New Roman" w:hAnsi="Times New Roman" w:eastAsia="Times New Roman" w:cs="Times New Roman"/>
                <w:b w:val="0"/>
                <w:i w:val="0"/>
                <w:sz w:val="22"/>
              </w:rPr>
              <w:t>Điều 3 khoản 7, Điều 8</w:t>
            </w:r>
          </w:p>
        </w:tc>
      </w:tr>
    </w:tbl>
    <w:p>
      <w:pPr>
        <w:keepNext/>
        <w:spacing w:before="140" w:after="80" w:line="300" w:lineRule="auto"/>
      </w:pPr>
      <w:r>
        <w:rPr>
          <w:rFonts w:ascii="Times New Roman" w:hAnsi="Times New Roman" w:eastAsia="Times New Roman" w:cs="Times New Roman"/>
          <w:b/>
          <w:i w:val="0"/>
          <w:sz w:val="24"/>
        </w:rPr>
        <w:t>2. Tuổi tối thiểu và xác minh tuổi</w:t>
      </w:r>
    </w:p>
    <w:p>
      <w:pPr>
        <w:spacing w:after="100" w:line="300" w:lineRule="auto"/>
        <w:jc w:val="both"/>
      </w:pPr>
      <w:r>
        <w:rPr>
          <w:rFonts w:ascii="Times New Roman" w:hAnsi="Times New Roman" w:eastAsia="Times New Roman" w:cs="Times New Roman"/>
          <w:b w:val="0"/>
          <w:i w:val="0"/>
          <w:sz w:val="24"/>
        </w:rPr>
        <w:t>SVWS chỉ tuyển người đủ 18 tuổi cho mọi vị trí, kể cả thực tập sinh và lao động thời vụ – cao hơn mức tối thiểu của pháp luật, vì công việc của SVWS liên quan đến hóa chất, công trường, làm việc trên cao và không gian hạn chế.</w:t>
      </w:r>
    </w:p>
    <w:p>
      <w:pPr>
        <w:spacing w:after="100" w:line="300" w:lineRule="auto"/>
        <w:jc w:val="both"/>
      </w:pPr>
      <w:r>
        <w:rPr>
          <w:rFonts w:ascii="Times New Roman" w:hAnsi="Times New Roman" w:eastAsia="Times New Roman" w:cs="Times New Roman"/>
          <w:b w:val="0"/>
          <w:i w:val="0"/>
          <w:sz w:val="24"/>
        </w:rPr>
        <w:t>Trước khi ký hợp đồng hoặc cho vào công trường:</w:t>
      </w:r>
    </w:p>
    <w:p>
      <w:pPr>
        <w:spacing w:after="100" w:line="300" w:lineRule="auto"/>
        <w:ind w:left="360"/>
        <w:jc w:val="both"/>
      </w:pPr>
      <w:r>
        <w:rPr>
          <w:rFonts w:ascii="Times New Roman" w:hAnsi="Times New Roman" w:eastAsia="Times New Roman" w:cs="Times New Roman"/>
          <w:b w:val="0"/>
          <w:i w:val="0"/>
          <w:sz w:val="24"/>
        </w:rPr>
        <w:t xml:space="preserve">1. </w:t>
      </w:r>
      <w:r>
        <w:rPr>
          <w:rFonts w:ascii="Times New Roman" w:hAnsi="Times New Roman" w:eastAsia="Times New Roman" w:cs="Times New Roman"/>
          <w:b w:val="0"/>
          <w:i w:val="0"/>
          <w:sz w:val="24"/>
        </w:rPr>
        <w:t>Người lao động xuất trình Căn cước/CCCD bản gốc; bộ phận nhân sự đối chiếu ảnh và ngày sinh.</w:t>
      </w:r>
    </w:p>
    <w:p>
      <w:pPr>
        <w:spacing w:after="100" w:line="300" w:lineRule="auto"/>
        <w:ind w:left="360"/>
        <w:jc w:val="both"/>
      </w:pPr>
      <w:r>
        <w:rPr>
          <w:rFonts w:ascii="Times New Roman" w:hAnsi="Times New Roman" w:eastAsia="Times New Roman" w:cs="Times New Roman"/>
          <w:b w:val="0"/>
          <w:i w:val="0"/>
          <w:sz w:val="24"/>
        </w:rPr>
        <w:t xml:space="preserve">2. </w:t>
      </w:r>
      <w:r>
        <w:rPr>
          <w:rFonts w:ascii="Times New Roman" w:hAnsi="Times New Roman" w:eastAsia="Times New Roman" w:cs="Times New Roman"/>
          <w:b w:val="0"/>
          <w:i w:val="0"/>
          <w:sz w:val="24"/>
        </w:rPr>
        <w:t>Lưu bản sao vào hồ sơ và trả lại bản gốc ngay tại chỗ.</w:t>
      </w:r>
    </w:p>
    <w:p>
      <w:pPr>
        <w:spacing w:after="100" w:line="300" w:lineRule="auto"/>
        <w:ind w:left="360"/>
        <w:jc w:val="both"/>
      </w:pPr>
      <w:r>
        <w:rPr>
          <w:rFonts w:ascii="Times New Roman" w:hAnsi="Times New Roman" w:eastAsia="Times New Roman" w:cs="Times New Roman"/>
          <w:b w:val="0"/>
          <w:i w:val="0"/>
          <w:sz w:val="24"/>
        </w:rPr>
        <w:t xml:space="preserve">3. </w:t>
      </w:r>
      <w:r>
        <w:rPr>
          <w:rFonts w:ascii="Times New Roman" w:hAnsi="Times New Roman" w:eastAsia="Times New Roman" w:cs="Times New Roman"/>
          <w:b w:val="0"/>
          <w:i w:val="0"/>
          <w:sz w:val="24"/>
        </w:rPr>
        <w:t>Ghi ngày sinh vào Danh sách người lao động; người kiểm tra ký xác nhận.</w:t>
      </w:r>
    </w:p>
    <w:p>
      <w:pPr>
        <w:spacing w:after="100" w:line="300" w:lineRule="auto"/>
        <w:ind w:left="360"/>
        <w:jc w:val="both"/>
      </w:pPr>
      <w:r>
        <w:rPr>
          <w:rFonts w:ascii="Times New Roman" w:hAnsi="Times New Roman" w:eastAsia="Times New Roman" w:cs="Times New Roman"/>
          <w:b w:val="0"/>
          <w:i w:val="0"/>
          <w:sz w:val="24"/>
        </w:rPr>
        <w:t xml:space="preserve">4. </w:t>
      </w:r>
      <w:r>
        <w:rPr>
          <w:rFonts w:ascii="Times New Roman" w:hAnsi="Times New Roman" w:eastAsia="Times New Roman" w:cs="Times New Roman"/>
          <w:b w:val="0"/>
          <w:i w:val="0"/>
          <w:sz w:val="24"/>
        </w:rPr>
        <w:t>Nếu nghi ngờ giấy tờ không hợp lệ: không tuyển cho đến khi xác minh xong qua ứng dụng VNeID hoặc cơ quan có thẩm quyền.</w:t>
      </w:r>
    </w:p>
    <w:p>
      <w:pPr>
        <w:spacing w:after="100" w:line="300" w:lineRule="auto"/>
        <w:ind w:left="360"/>
        <w:jc w:val="both"/>
      </w:pPr>
      <w:r>
        <w:rPr>
          <w:rFonts w:ascii="Times New Roman" w:hAnsi="Times New Roman" w:eastAsia="Times New Roman" w:cs="Times New Roman"/>
          <w:b w:val="0"/>
          <w:i w:val="0"/>
          <w:sz w:val="24"/>
        </w:rPr>
        <w:t xml:space="preserve">5. </w:t>
      </w:r>
      <w:r>
        <w:rPr>
          <w:rFonts w:ascii="Times New Roman" w:hAnsi="Times New Roman" w:eastAsia="Times New Roman" w:cs="Times New Roman"/>
          <w:b w:val="0"/>
          <w:i w:val="0"/>
          <w:sz w:val="24"/>
        </w:rPr>
        <w:t>Áp dụng cùng quy trình cho công nhân của nhà thầu phụ trước ngày đầu tiên vào công trường.</w:t>
      </w:r>
    </w:p>
    <w:p>
      <w:pPr>
        <w:keepNext/>
        <w:spacing w:before="140" w:after="80" w:line="300" w:lineRule="auto"/>
      </w:pPr>
      <w:r>
        <w:rPr>
          <w:rFonts w:ascii="Times New Roman" w:hAnsi="Times New Roman" w:eastAsia="Times New Roman" w:cs="Times New Roman"/>
          <w:b/>
          <w:i w:val="0"/>
          <w:sz w:val="24"/>
        </w:rPr>
        <w:t>3. Khắc phục khi phát hiện lao động dưới 18 tuổi</w:t>
      </w:r>
    </w:p>
    <w:p>
      <w:pPr>
        <w:spacing w:after="100" w:line="300" w:lineRule="auto"/>
        <w:jc w:val="both"/>
      </w:pPr>
      <w:r>
        <w:rPr>
          <w:rFonts w:ascii="Times New Roman" w:hAnsi="Times New Roman" w:eastAsia="Times New Roman" w:cs="Times New Roman"/>
          <w:b w:val="0"/>
          <w:i w:val="0"/>
          <w:sz w:val="24"/>
        </w:rPr>
        <w:t>Mục tiêu là bảo vệ lợi ích của người chưa thành niên, không chỉ đưa họ ra khỏi công việc.</w:t>
      </w:r>
    </w:p>
    <w:p>
      <w:pPr>
        <w:spacing w:after="100" w:line="300" w:lineRule="auto"/>
        <w:ind w:left="360"/>
        <w:jc w:val="both"/>
      </w:pPr>
      <w:r>
        <w:rPr>
          <w:rFonts w:ascii="Times New Roman" w:hAnsi="Times New Roman" w:eastAsia="Times New Roman" w:cs="Times New Roman"/>
          <w:b w:val="0"/>
          <w:i w:val="0"/>
          <w:sz w:val="24"/>
        </w:rPr>
        <w:t xml:space="preserve">1. </w:t>
      </w:r>
      <w:r>
        <w:rPr>
          <w:rFonts w:ascii="Times New Roman" w:hAnsi="Times New Roman" w:eastAsia="Times New Roman" w:cs="Times New Roman"/>
          <w:b w:val="0"/>
          <w:i w:val="0"/>
          <w:sz w:val="24"/>
        </w:rPr>
        <w:t>Dừng ngay công việc và đưa người đó ra khỏi khu vực nguy hiểm một cách an toàn.</w:t>
      </w:r>
    </w:p>
    <w:p>
      <w:pPr>
        <w:spacing w:after="100" w:line="300" w:lineRule="auto"/>
        <w:ind w:left="360"/>
        <w:jc w:val="both"/>
      </w:pPr>
      <w:r>
        <w:rPr>
          <w:rFonts w:ascii="Times New Roman" w:hAnsi="Times New Roman" w:eastAsia="Times New Roman" w:cs="Times New Roman"/>
          <w:b w:val="0"/>
          <w:i w:val="0"/>
          <w:sz w:val="24"/>
        </w:rPr>
        <w:t xml:space="preserve">2. </w:t>
      </w:r>
      <w:r>
        <w:rPr>
          <w:rFonts w:ascii="Times New Roman" w:hAnsi="Times New Roman" w:eastAsia="Times New Roman" w:cs="Times New Roman"/>
          <w:b w:val="0"/>
          <w:i w:val="0"/>
          <w:sz w:val="24"/>
        </w:rPr>
        <w:t>Liên hệ cha mẹ hoặc người giám hộ.</w:t>
      </w:r>
    </w:p>
    <w:p>
      <w:pPr>
        <w:spacing w:after="100" w:line="300" w:lineRule="auto"/>
        <w:ind w:left="360"/>
        <w:jc w:val="both"/>
      </w:pPr>
      <w:r>
        <w:rPr>
          <w:rFonts w:ascii="Times New Roman" w:hAnsi="Times New Roman" w:eastAsia="Times New Roman" w:cs="Times New Roman"/>
          <w:b w:val="0"/>
          <w:i w:val="0"/>
          <w:sz w:val="24"/>
        </w:rPr>
        <w:t xml:space="preserve">3. </w:t>
      </w:r>
      <w:r>
        <w:rPr>
          <w:rFonts w:ascii="Times New Roman" w:hAnsi="Times New Roman" w:eastAsia="Times New Roman" w:cs="Times New Roman"/>
          <w:b w:val="0"/>
          <w:i w:val="0"/>
          <w:sz w:val="24"/>
        </w:rPr>
        <w:t>Trả đủ tiền lương và mọi khoản cho thời gian đã làm.</w:t>
      </w:r>
    </w:p>
    <w:p>
      <w:pPr>
        <w:spacing w:after="100" w:line="300" w:lineRule="auto"/>
        <w:ind w:left="360"/>
        <w:jc w:val="both"/>
      </w:pPr>
      <w:r>
        <w:rPr>
          <w:rFonts w:ascii="Times New Roman" w:hAnsi="Times New Roman" w:eastAsia="Times New Roman" w:cs="Times New Roman"/>
          <w:b w:val="0"/>
          <w:i w:val="0"/>
          <w:sz w:val="24"/>
        </w:rPr>
        <w:t xml:space="preserve">4. </w:t>
      </w:r>
      <w:r>
        <w:rPr>
          <w:rFonts w:ascii="Times New Roman" w:hAnsi="Times New Roman" w:eastAsia="Times New Roman" w:cs="Times New Roman"/>
          <w:b w:val="0"/>
          <w:i w:val="0"/>
          <w:sz w:val="24"/>
        </w:rPr>
        <w:t>Hỗ trợ quay lại học tập hoặc học nghề (mức hỗ trợ do Giám đốc quyết định) và ưu tiên tuyển dụng khi đủ tuổi, nếu phù hợp.</w:t>
      </w:r>
    </w:p>
    <w:p>
      <w:pPr>
        <w:spacing w:after="100" w:line="300" w:lineRule="auto"/>
        <w:ind w:left="360"/>
        <w:jc w:val="both"/>
      </w:pPr>
      <w:r>
        <w:rPr>
          <w:rFonts w:ascii="Times New Roman" w:hAnsi="Times New Roman" w:eastAsia="Times New Roman" w:cs="Times New Roman"/>
          <w:b w:val="0"/>
          <w:i w:val="0"/>
          <w:sz w:val="24"/>
        </w:rPr>
        <w:t xml:space="preserve">5. </w:t>
      </w:r>
      <w:r>
        <w:rPr>
          <w:rFonts w:ascii="Times New Roman" w:hAnsi="Times New Roman" w:eastAsia="Times New Roman" w:cs="Times New Roman"/>
          <w:b w:val="0"/>
          <w:i w:val="0"/>
          <w:sz w:val="24"/>
        </w:rPr>
        <w:t>Trường hợp thuộc nhà thầu phụ: yêu cầu nhà thầu phụ thực hiện các bước trên dưới sự giám sát của SVWS; SVWS có quyền chấm dứt hợp đồng.</w:t>
      </w:r>
    </w:p>
    <w:p>
      <w:pPr>
        <w:spacing w:after="100" w:line="300" w:lineRule="auto"/>
        <w:ind w:left="360"/>
        <w:jc w:val="both"/>
      </w:pPr>
      <w:r>
        <w:rPr>
          <w:rFonts w:ascii="Times New Roman" w:hAnsi="Times New Roman" w:eastAsia="Times New Roman" w:cs="Times New Roman"/>
          <w:b w:val="0"/>
          <w:i w:val="0"/>
          <w:sz w:val="24"/>
        </w:rPr>
        <w:t xml:space="preserve">6. </w:t>
      </w:r>
      <w:r>
        <w:rPr>
          <w:rFonts w:ascii="Times New Roman" w:hAnsi="Times New Roman" w:eastAsia="Times New Roman" w:cs="Times New Roman"/>
          <w:b w:val="0"/>
          <w:i w:val="0"/>
          <w:sz w:val="24"/>
        </w:rPr>
        <w:t>Tìm nguyên nhân, sửa quy trình kiểm tra và báo cơ quan quản lý lao động khi pháp luật yêu cầu.</w:t>
      </w:r>
    </w:p>
    <w:p>
      <w:pPr>
        <w:keepNext/>
        <w:spacing w:before="140" w:after="80" w:line="300" w:lineRule="auto"/>
      </w:pPr>
      <w:r>
        <w:rPr>
          <w:rFonts w:ascii="Times New Roman" w:hAnsi="Times New Roman" w:eastAsia="Times New Roman" w:cs="Times New Roman"/>
          <w:b/>
          <w:i w:val="0"/>
          <w:sz w:val="24"/>
        </w:rPr>
        <w:t>4. Cam kết chống lao động cưỡng bức</w:t>
      </w: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819"/>
        <w:gridCol w:w="4819"/>
      </w:tblGrid>
      <w:tr>
        <w:tc>
          <w:tcPr>
            <w:tcW w:type="dxa" w:w="5491"/>
          </w:tcPr>
          <w:p>
            <w:pPr>
              <w:spacing w:after="60" w:before="60"/>
            </w:pPr>
            <w:r>
              <w:rPr>
                <w:rFonts w:ascii="Times New Roman" w:hAnsi="Times New Roman" w:eastAsia="Times New Roman" w:cs="Times New Roman"/>
                <w:b/>
                <w:i w:val="0"/>
                <w:sz w:val="24"/>
              </w:rPr>
              <w:t>SVWS cam kết</w:t>
            </w:r>
          </w:p>
        </w:tc>
        <w:tc>
          <w:tcPr>
            <w:tcW w:type="dxa" w:w="4146"/>
          </w:tcPr>
          <w:p>
            <w:pPr>
              <w:spacing w:after="60" w:before="60"/>
            </w:pPr>
            <w:r>
              <w:rPr>
                <w:rFonts w:ascii="Times New Roman" w:hAnsi="Times New Roman" w:eastAsia="Times New Roman" w:cs="Times New Roman"/>
                <w:b/>
                <w:i w:val="0"/>
                <w:sz w:val="24"/>
              </w:rPr>
              <w:t>Căn cứ</w:t>
            </w:r>
          </w:p>
        </w:tc>
      </w:tr>
      <w:tr>
        <w:tc>
          <w:tcPr>
            <w:tcW w:type="dxa" w:w="5491"/>
          </w:tcPr>
          <w:p>
            <w:pPr>
              <w:spacing w:after="60" w:before="60"/>
            </w:pPr>
            <w:r>
              <w:rPr>
                <w:rFonts w:ascii="Times New Roman" w:hAnsi="Times New Roman" w:eastAsia="Times New Roman" w:cs="Times New Roman"/>
                <w:b w:val="0"/>
                <w:i w:val="0"/>
                <w:sz w:val="24"/>
              </w:rPr>
              <w:t>Không giữ bản chính giấy tờ tùy thân, hộ chiếu, văn bằng, chứng chỉ của người lao động</w:t>
            </w:r>
          </w:p>
        </w:tc>
        <w:tc>
          <w:tcPr>
            <w:tcW w:type="dxa" w:w="4146"/>
          </w:tcPr>
          <w:p>
            <w:pPr>
              <w:spacing w:after="60" w:before="60"/>
            </w:pPr>
            <w:r>
              <w:rPr>
                <w:rFonts w:ascii="Times New Roman" w:hAnsi="Times New Roman" w:eastAsia="Times New Roman" w:cs="Times New Roman"/>
                <w:b w:val="0"/>
                <w:i w:val="0"/>
                <w:sz w:val="24"/>
              </w:rPr>
              <w:t>Bộ luật Lao động 2019, Điều 17 khoản 1</w:t>
            </w:r>
          </w:p>
        </w:tc>
      </w:tr>
      <w:tr>
        <w:tc>
          <w:tcPr>
            <w:tcW w:type="dxa" w:w="5491"/>
          </w:tcPr>
          <w:p>
            <w:pPr>
              <w:spacing w:after="60" w:before="60"/>
            </w:pPr>
            <w:r>
              <w:rPr>
                <w:rFonts w:ascii="Times New Roman" w:hAnsi="Times New Roman" w:eastAsia="Times New Roman" w:cs="Times New Roman"/>
                <w:b w:val="0"/>
                <w:i w:val="0"/>
                <w:sz w:val="24"/>
              </w:rPr>
              <w:t>Không yêu cầu đặt cọc, ký quỹ, bảo lãnh bằng tiền hoặc tài sản</w:t>
            </w:r>
          </w:p>
        </w:tc>
        <w:tc>
          <w:tcPr>
            <w:tcW w:type="dxa" w:w="4146"/>
          </w:tcPr>
          <w:p>
            <w:pPr>
              <w:spacing w:after="60" w:before="60"/>
            </w:pPr>
            <w:r>
              <w:rPr>
                <w:rFonts w:ascii="Times New Roman" w:hAnsi="Times New Roman" w:eastAsia="Times New Roman" w:cs="Times New Roman"/>
                <w:b w:val="0"/>
                <w:i w:val="0"/>
                <w:sz w:val="24"/>
              </w:rPr>
              <w:t>Điều 17 khoản 2</w:t>
            </w:r>
          </w:p>
        </w:tc>
      </w:tr>
      <w:tr>
        <w:tc>
          <w:tcPr>
            <w:tcW w:type="dxa" w:w="5491"/>
          </w:tcPr>
          <w:p>
            <w:pPr>
              <w:spacing w:after="60" w:before="60"/>
            </w:pPr>
            <w:r>
              <w:rPr>
                <w:rFonts w:ascii="Times New Roman" w:hAnsi="Times New Roman" w:eastAsia="Times New Roman" w:cs="Times New Roman"/>
                <w:b w:val="0"/>
                <w:i w:val="0"/>
                <w:sz w:val="24"/>
              </w:rPr>
              <w:t>Không buộc người lao động làm việc để trả nợ; khoản tạm ứng, cho vay không ràng buộc thời gian làm việc</w:t>
            </w:r>
          </w:p>
        </w:tc>
        <w:tc>
          <w:tcPr>
            <w:tcW w:type="dxa" w:w="4146"/>
          </w:tcPr>
          <w:p>
            <w:pPr>
              <w:spacing w:after="60" w:before="60"/>
            </w:pPr>
            <w:r>
              <w:rPr>
                <w:rFonts w:ascii="Times New Roman" w:hAnsi="Times New Roman" w:eastAsia="Times New Roman" w:cs="Times New Roman"/>
                <w:b w:val="0"/>
                <w:i w:val="0"/>
                <w:sz w:val="24"/>
              </w:rPr>
              <w:t>Điều 17 khoản 3</w:t>
            </w:r>
          </w:p>
        </w:tc>
      </w:tr>
      <w:tr>
        <w:tc>
          <w:tcPr>
            <w:tcW w:type="dxa" w:w="5491"/>
          </w:tcPr>
          <w:p>
            <w:pPr>
              <w:spacing w:after="60" w:before="60"/>
            </w:pPr>
            <w:r>
              <w:rPr>
                <w:rFonts w:ascii="Times New Roman" w:hAnsi="Times New Roman" w:eastAsia="Times New Roman" w:cs="Times New Roman"/>
                <w:b w:val="0"/>
                <w:i w:val="0"/>
                <w:sz w:val="24"/>
              </w:rPr>
              <w:t>Không thu phí tuyển dụng; nếu dùng đơn vị cung ứng, SVWS trả toàn bộ phí</w:t>
            </w:r>
          </w:p>
        </w:tc>
        <w:tc>
          <w:tcPr>
            <w:tcW w:type="dxa" w:w="4146"/>
          </w:tcPr>
          <w:p>
            <w:pPr>
              <w:spacing w:after="60" w:before="60"/>
            </w:pPr>
            <w:r>
              <w:rPr>
                <w:rFonts w:ascii="Times New Roman" w:hAnsi="Times New Roman" w:eastAsia="Times New Roman" w:cs="Times New Roman"/>
                <w:b w:val="0"/>
                <w:i w:val="0"/>
                <w:sz w:val="24"/>
              </w:rPr>
              <w:t>Điều 8</w:t>
            </w:r>
          </w:p>
        </w:tc>
      </w:tr>
      <w:tr>
        <w:tc>
          <w:tcPr>
            <w:tcW w:type="dxa" w:w="5491"/>
          </w:tcPr>
          <w:p>
            <w:pPr>
              <w:spacing w:after="60" w:before="60"/>
            </w:pPr>
            <w:r>
              <w:rPr>
                <w:rFonts w:ascii="Times New Roman" w:hAnsi="Times New Roman" w:eastAsia="Times New Roman" w:cs="Times New Roman"/>
                <w:b w:val="0"/>
                <w:i w:val="0"/>
                <w:sz w:val="24"/>
              </w:rPr>
              <w:t>Không yêu cầu ký sẵn đơn thôi việc không ghi ngày, giấy nhận nợ, cam kết phạt tiền</w:t>
            </w:r>
          </w:p>
        </w:tc>
        <w:tc>
          <w:tcPr>
            <w:tcW w:type="dxa" w:w="4146"/>
          </w:tcPr>
          <w:p>
            <w:pPr>
              <w:spacing w:after="60" w:before="60"/>
            </w:pPr>
            <w:r>
              <w:rPr>
                <w:rFonts w:ascii="Times New Roman" w:hAnsi="Times New Roman" w:eastAsia="Times New Roman" w:cs="Times New Roman"/>
                <w:b w:val="0"/>
                <w:i w:val="0"/>
                <w:sz w:val="24"/>
              </w:rPr>
              <w:t>Điều 8, 17</w:t>
            </w:r>
          </w:p>
        </w:tc>
      </w:tr>
      <w:tr>
        <w:tc>
          <w:tcPr>
            <w:tcW w:type="dxa" w:w="5491"/>
          </w:tcPr>
          <w:p>
            <w:pPr>
              <w:spacing w:after="60" w:before="60"/>
            </w:pPr>
            <w:r>
              <w:rPr>
                <w:rFonts w:ascii="Times New Roman" w:hAnsi="Times New Roman" w:eastAsia="Times New Roman" w:cs="Times New Roman"/>
                <w:b w:val="0"/>
                <w:i w:val="0"/>
                <w:sz w:val="24"/>
              </w:rPr>
              <w:t>Người lao động được nghỉ việc chỉ cần báo trước theo luật, không cần lý do, không bị phạt</w:t>
            </w:r>
          </w:p>
        </w:tc>
        <w:tc>
          <w:tcPr>
            <w:tcW w:type="dxa" w:w="4146"/>
          </w:tcPr>
          <w:p>
            <w:pPr>
              <w:spacing w:after="60" w:before="60"/>
            </w:pPr>
            <w:r>
              <w:rPr>
                <w:rFonts w:ascii="Times New Roman" w:hAnsi="Times New Roman" w:eastAsia="Times New Roman" w:cs="Times New Roman"/>
                <w:b w:val="0"/>
                <w:i w:val="0"/>
                <w:sz w:val="24"/>
              </w:rPr>
              <w:t>Điều 35</w:t>
            </w:r>
          </w:p>
        </w:tc>
      </w:tr>
      <w:tr>
        <w:tc>
          <w:tcPr>
            <w:tcW w:type="dxa" w:w="5491"/>
          </w:tcPr>
          <w:p>
            <w:pPr>
              <w:spacing w:after="60" w:before="60"/>
            </w:pPr>
            <w:r>
              <w:rPr>
                <w:rFonts w:ascii="Times New Roman" w:hAnsi="Times New Roman" w:eastAsia="Times New Roman" w:cs="Times New Roman"/>
                <w:b w:val="0"/>
                <w:i w:val="0"/>
                <w:sz w:val="24"/>
              </w:rPr>
              <w:t>Hợp đồng đào tạo chỉ yêu cầu hoàn trả chi phí đào tạo thực tế, không có khoản phạt</w:t>
            </w:r>
          </w:p>
        </w:tc>
        <w:tc>
          <w:tcPr>
            <w:tcW w:type="dxa" w:w="4146"/>
          </w:tcPr>
          <w:p>
            <w:pPr>
              <w:spacing w:after="60" w:before="60"/>
            </w:pPr>
            <w:r>
              <w:rPr>
                <w:rFonts w:ascii="Times New Roman" w:hAnsi="Times New Roman" w:eastAsia="Times New Roman" w:cs="Times New Roman"/>
                <w:b w:val="0"/>
                <w:i w:val="0"/>
                <w:sz w:val="24"/>
              </w:rPr>
              <w:t>Điều 62</w:t>
            </w:r>
          </w:p>
        </w:tc>
      </w:tr>
      <w:tr>
        <w:tc>
          <w:tcPr>
            <w:tcW w:type="dxa" w:w="5491"/>
          </w:tcPr>
          <w:p>
            <w:pPr>
              <w:spacing w:after="60" w:before="60"/>
            </w:pPr>
            <w:r>
              <w:rPr>
                <w:rFonts w:ascii="Times New Roman" w:hAnsi="Times New Roman" w:eastAsia="Times New Roman" w:cs="Times New Roman"/>
                <w:b w:val="0"/>
                <w:i w:val="0"/>
                <w:sz w:val="24"/>
              </w:rPr>
              <w:t>Trả lương trực tiếp, đầy đủ, đúng hạn vào tài khoản của chính người lao động; chỉ khấu trừ trong trường hợp luật cho phép</w:t>
            </w:r>
          </w:p>
        </w:tc>
        <w:tc>
          <w:tcPr>
            <w:tcW w:type="dxa" w:w="4146"/>
          </w:tcPr>
          <w:p>
            <w:pPr>
              <w:spacing w:after="60" w:before="60"/>
            </w:pPr>
            <w:r>
              <w:rPr>
                <w:rFonts w:ascii="Times New Roman" w:hAnsi="Times New Roman" w:eastAsia="Times New Roman" w:cs="Times New Roman"/>
                <w:b w:val="0"/>
                <w:i w:val="0"/>
                <w:sz w:val="24"/>
              </w:rPr>
              <w:t>Điều 94, 96, 102</w:t>
            </w:r>
          </w:p>
        </w:tc>
      </w:tr>
      <w:tr>
        <w:tc>
          <w:tcPr>
            <w:tcW w:type="dxa" w:w="5491"/>
          </w:tcPr>
          <w:p>
            <w:pPr>
              <w:spacing w:after="60" w:before="60"/>
            </w:pPr>
            <w:r>
              <w:rPr>
                <w:rFonts w:ascii="Times New Roman" w:hAnsi="Times New Roman" w:eastAsia="Times New Roman" w:cs="Times New Roman"/>
                <w:b w:val="0"/>
                <w:i w:val="0"/>
                <w:sz w:val="24"/>
              </w:rPr>
              <w:t>Làm thêm giờ chỉ khi người lao động đồng ý, tối đa 40 giờ/tháng và 200 giờ/năm (300 giờ/năm với công việc được phép)</w:t>
            </w:r>
          </w:p>
        </w:tc>
        <w:tc>
          <w:tcPr>
            <w:tcW w:type="dxa" w:w="4146"/>
          </w:tcPr>
          <w:p>
            <w:pPr>
              <w:spacing w:after="60" w:before="60"/>
            </w:pPr>
            <w:r>
              <w:rPr>
                <w:rFonts w:ascii="Times New Roman" w:hAnsi="Times New Roman" w:eastAsia="Times New Roman" w:cs="Times New Roman"/>
                <w:b w:val="0"/>
                <w:i w:val="0"/>
                <w:sz w:val="24"/>
              </w:rPr>
              <w:t>Điều 107</w:t>
            </w:r>
          </w:p>
        </w:tc>
      </w:tr>
      <w:tr>
        <w:tc>
          <w:tcPr>
            <w:tcW w:type="dxa" w:w="5491"/>
          </w:tcPr>
          <w:p>
            <w:pPr>
              <w:spacing w:after="60" w:before="60"/>
            </w:pPr>
            <w:r>
              <w:rPr>
                <w:rFonts w:ascii="Times New Roman" w:hAnsi="Times New Roman" w:eastAsia="Times New Roman" w:cs="Times New Roman"/>
                <w:b w:val="0"/>
                <w:i w:val="0"/>
                <w:sz w:val="24"/>
              </w:rPr>
              <w:t>Tự do đi lại: không khóa cửa giữ người, không hạn chế ra về khi hết giờ, sử dụng nhà vệ sinh, nước uống và chăm sóc y tế bất kỳ lúc nào</w:t>
            </w:r>
          </w:p>
        </w:tc>
        <w:tc>
          <w:tcPr>
            <w:tcW w:type="dxa" w:w="4146"/>
          </w:tcPr>
          <w:p>
            <w:pPr>
              <w:spacing w:after="60" w:before="60"/>
            </w:pPr>
            <w:r>
              <w:rPr>
                <w:rFonts w:ascii="Times New Roman" w:hAnsi="Times New Roman" w:eastAsia="Times New Roman" w:cs="Times New Roman"/>
                <w:b w:val="0"/>
                <w:i w:val="0"/>
                <w:sz w:val="24"/>
              </w:rPr>
              <w:t>Điều 8</w:t>
            </w:r>
          </w:p>
        </w:tc>
      </w:tr>
      <w:tr>
        <w:tc>
          <w:tcPr>
            <w:tcW w:type="dxa" w:w="5491"/>
          </w:tcPr>
          <w:p>
            <w:pPr>
              <w:spacing w:after="60" w:before="60"/>
            </w:pPr>
            <w:r>
              <w:rPr>
                <w:rFonts w:ascii="Times New Roman" w:hAnsi="Times New Roman" w:eastAsia="Times New Roman" w:cs="Times New Roman"/>
                <w:b w:val="0"/>
                <w:i w:val="0"/>
                <w:sz w:val="24"/>
              </w:rPr>
              <w:t>Không sử dụng lao động tù nhân, lao động gán nợ, nạn nhân mua bán người</w:t>
            </w:r>
          </w:p>
        </w:tc>
        <w:tc>
          <w:tcPr>
            <w:tcW w:type="dxa" w:w="4146"/>
          </w:tcPr>
          <w:p>
            <w:pPr>
              <w:spacing w:after="60" w:before="60"/>
            </w:pPr>
            <w:r>
              <w:rPr>
                <w:rFonts w:ascii="Times New Roman" w:hAnsi="Times New Roman" w:eastAsia="Times New Roman" w:cs="Times New Roman"/>
                <w:b w:val="0"/>
                <w:i w:val="0"/>
                <w:sz w:val="24"/>
              </w:rPr>
              <w:t>Điều 8</w:t>
            </w:r>
          </w:p>
        </w:tc>
      </w:tr>
    </w:tbl>
    <w:p>
      <w:pPr>
        <w:keepNext/>
        <w:spacing w:before="140" w:after="80" w:line="300" w:lineRule="auto"/>
      </w:pPr>
      <w:r>
        <w:rPr>
          <w:rFonts w:ascii="Times New Roman" w:hAnsi="Times New Roman" w:eastAsia="Times New Roman" w:cs="Times New Roman"/>
          <w:b/>
          <w:i w:val="0"/>
          <w:sz w:val="24"/>
        </w:rPr>
        <w:t>5. Áp dụng với nhà thầu phụ và đơn vị cung ứng lao động</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Hợp đồng thầu phụ có điều khoản tuân thủ chính sách này và quyền chấm dứt hợp đồng khi vi phạm.</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Trước khi vào công trường, nhà thầu phụ nộp danh sách công nhân kèm bản sao Căn cước/CCCD, giấy khám sức khỏe, thẻ an toàn lao động phù hợp công việc và bằng chứng bảo hiểm.</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Lao động nước ngoài chỉ được làm việc khi có giấy phép lao động hoặc xác nhận miễn giấy phép hợp lệ.</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Chỉ huy công trình đối chiếu danh sách với người thực tế tại công trường, kiểm tra ngẫu nhiên và hỏi chuyện công nhân.</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Nhà cung cấp hàng hóa, dịch vụ tuân thủ Phần III.</w:t>
      </w:r>
    </w:p>
    <w:p>
      <w:pPr>
        <w:keepNext/>
        <w:spacing w:before="140" w:after="80" w:line="300" w:lineRule="auto"/>
      </w:pPr>
      <w:r>
        <w:rPr>
          <w:rFonts w:ascii="Times New Roman" w:hAnsi="Times New Roman" w:eastAsia="Times New Roman" w:cs="Times New Roman"/>
          <w:b/>
          <w:i w:val="0"/>
          <w:sz w:val="24"/>
        </w:rPr>
        <w:t>6. Trách nhiệm</w:t>
      </w: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819"/>
        <w:gridCol w:w="4819"/>
      </w:tblGrid>
      <w:tr>
        <w:tc>
          <w:tcPr>
            <w:tcW w:type="dxa" w:w="3262"/>
          </w:tcPr>
          <w:p>
            <w:pPr>
              <w:spacing w:after="60" w:before="60"/>
            </w:pPr>
            <w:r>
              <w:rPr>
                <w:rFonts w:ascii="Times New Roman" w:hAnsi="Times New Roman" w:eastAsia="Times New Roman" w:cs="Times New Roman"/>
                <w:b/>
                <w:i w:val="0"/>
                <w:sz w:val="24"/>
              </w:rPr>
              <w:t>Vai trò</w:t>
            </w:r>
          </w:p>
        </w:tc>
        <w:tc>
          <w:tcPr>
            <w:tcW w:type="dxa" w:w="6376"/>
          </w:tcPr>
          <w:p>
            <w:pPr>
              <w:spacing w:after="60" w:before="60"/>
            </w:pPr>
            <w:r>
              <w:rPr>
                <w:rFonts w:ascii="Times New Roman" w:hAnsi="Times New Roman" w:eastAsia="Times New Roman" w:cs="Times New Roman"/>
                <w:b/>
                <w:i w:val="0"/>
                <w:sz w:val="24"/>
              </w:rPr>
              <w:t>Trách nhiệm</w:t>
            </w:r>
          </w:p>
        </w:tc>
      </w:tr>
      <w:tr>
        <w:tc>
          <w:tcPr>
            <w:tcW w:type="dxa" w:w="3262"/>
          </w:tcPr>
          <w:p>
            <w:pPr>
              <w:spacing w:after="60" w:before="60"/>
            </w:pPr>
            <w:r>
              <w:rPr>
                <w:rFonts w:ascii="Times New Roman" w:hAnsi="Times New Roman" w:eastAsia="Times New Roman" w:cs="Times New Roman"/>
                <w:b w:val="0"/>
                <w:i w:val="0"/>
                <w:sz w:val="24"/>
              </w:rPr>
              <w:t>Giám đốc</w:t>
            </w:r>
          </w:p>
        </w:tc>
        <w:tc>
          <w:tcPr>
            <w:tcW w:type="dxa" w:w="6376"/>
          </w:tcPr>
          <w:p>
            <w:pPr>
              <w:spacing w:after="60" w:before="60"/>
            </w:pPr>
            <w:r>
              <w:rPr>
                <w:rFonts w:ascii="Times New Roman" w:hAnsi="Times New Roman" w:eastAsia="Times New Roman" w:cs="Times New Roman"/>
                <w:b w:val="0"/>
                <w:i w:val="0"/>
                <w:sz w:val="24"/>
              </w:rPr>
              <w:t>Ban hành, bố trí nguồn lực, rà soát hằng năm, quyết định biện pháp khắc phục</w:t>
            </w:r>
          </w:p>
        </w:tc>
      </w:tr>
      <w:tr>
        <w:tc>
          <w:tcPr>
            <w:tcW w:type="dxa" w:w="3262"/>
          </w:tcPr>
          <w:p>
            <w:pPr>
              <w:spacing w:after="60" w:before="60"/>
            </w:pPr>
            <w:r>
              <w:rPr>
                <w:rFonts w:ascii="Times New Roman" w:hAnsi="Times New Roman" w:eastAsia="Times New Roman" w:cs="Times New Roman"/>
                <w:b w:val="0"/>
                <w:i w:val="0"/>
                <w:sz w:val="24"/>
              </w:rPr>
              <w:t>Bộ phận nhân sự</w:t>
            </w:r>
          </w:p>
        </w:tc>
        <w:tc>
          <w:tcPr>
            <w:tcW w:type="dxa" w:w="6376"/>
          </w:tcPr>
          <w:p>
            <w:pPr>
              <w:spacing w:after="60" w:before="60"/>
            </w:pPr>
            <w:r>
              <w:rPr>
                <w:rFonts w:ascii="Times New Roman" w:hAnsi="Times New Roman" w:eastAsia="Times New Roman" w:cs="Times New Roman"/>
                <w:b w:val="0"/>
                <w:i w:val="0"/>
                <w:sz w:val="24"/>
              </w:rPr>
              <w:t>Xác minh tuổi, lưu hồ sơ, bảo đảm hợp đồng và bảng lương đúng Mục 4</w:t>
            </w:r>
          </w:p>
        </w:tc>
      </w:tr>
      <w:tr>
        <w:tc>
          <w:tcPr>
            <w:tcW w:type="dxa" w:w="3262"/>
          </w:tcPr>
          <w:p>
            <w:pPr>
              <w:spacing w:after="60" w:before="60"/>
            </w:pPr>
            <w:r>
              <w:rPr>
                <w:rFonts w:ascii="Times New Roman" w:hAnsi="Times New Roman" w:eastAsia="Times New Roman" w:cs="Times New Roman"/>
                <w:b w:val="0"/>
                <w:i w:val="0"/>
                <w:sz w:val="24"/>
              </w:rPr>
              <w:t>Chỉ huy công trình</w:t>
            </w:r>
          </w:p>
        </w:tc>
        <w:tc>
          <w:tcPr>
            <w:tcW w:type="dxa" w:w="6376"/>
          </w:tcPr>
          <w:p>
            <w:pPr>
              <w:spacing w:after="60" w:before="60"/>
            </w:pPr>
            <w:r>
              <w:rPr>
                <w:rFonts w:ascii="Times New Roman" w:hAnsi="Times New Roman" w:eastAsia="Times New Roman" w:cs="Times New Roman"/>
                <w:b w:val="0"/>
                <w:i w:val="0"/>
                <w:sz w:val="24"/>
              </w:rPr>
              <w:t>Kiểm tra hồ sơ và thực tế công nhân thầu phụ trước và trong khi thi công</w:t>
            </w:r>
          </w:p>
        </w:tc>
      </w:tr>
      <w:tr>
        <w:tc>
          <w:tcPr>
            <w:tcW w:type="dxa" w:w="3262"/>
          </w:tcPr>
          <w:p>
            <w:pPr>
              <w:spacing w:after="60" w:before="60"/>
            </w:pPr>
            <w:r>
              <w:rPr>
                <w:rFonts w:ascii="Times New Roman" w:hAnsi="Times New Roman" w:eastAsia="Times New Roman" w:cs="Times New Roman"/>
                <w:b w:val="0"/>
                <w:i w:val="0"/>
                <w:sz w:val="24"/>
              </w:rPr>
              <w:t>Mua hàng</w:t>
            </w:r>
          </w:p>
        </w:tc>
        <w:tc>
          <w:tcPr>
            <w:tcW w:type="dxa" w:w="6376"/>
          </w:tcPr>
          <w:p>
            <w:pPr>
              <w:spacing w:after="60" w:before="60"/>
            </w:pPr>
            <w:r>
              <w:rPr>
                <w:rFonts w:ascii="Times New Roman" w:hAnsi="Times New Roman" w:eastAsia="Times New Roman" w:cs="Times New Roman"/>
                <w:b w:val="0"/>
                <w:i w:val="0"/>
                <w:sz w:val="24"/>
              </w:rPr>
              <w:t>Đưa điều khoản vào hợp đồng, đơn hàng; thu cam kết của nhà cung cấp (Phụ lục B)</w:t>
            </w:r>
          </w:p>
        </w:tc>
      </w:tr>
      <w:tr>
        <w:tc>
          <w:tcPr>
            <w:tcW w:type="dxa" w:w="3262"/>
          </w:tcPr>
          <w:p>
            <w:pPr>
              <w:spacing w:after="60" w:before="60"/>
            </w:pPr>
            <w:r>
              <w:rPr>
                <w:rFonts w:ascii="Times New Roman" w:hAnsi="Times New Roman" w:eastAsia="Times New Roman" w:cs="Times New Roman"/>
                <w:b w:val="0"/>
                <w:i w:val="0"/>
                <w:sz w:val="24"/>
              </w:rPr>
              <w:t>Mọi người lao động</w:t>
            </w:r>
          </w:p>
        </w:tc>
        <w:tc>
          <w:tcPr>
            <w:tcW w:type="dxa" w:w="6376"/>
          </w:tcPr>
          <w:p>
            <w:pPr>
              <w:spacing w:after="60" w:before="60"/>
            </w:pPr>
            <w:r>
              <w:rPr>
                <w:rFonts w:ascii="Times New Roman" w:hAnsi="Times New Roman" w:eastAsia="Times New Roman" w:cs="Times New Roman"/>
                <w:b w:val="0"/>
                <w:i w:val="0"/>
                <w:sz w:val="24"/>
              </w:rPr>
              <w:t>Báo cáo dấu hiệu vi phạm qua kênh lên tiếng (Phần I, Mục 8)</w:t>
            </w:r>
          </w:p>
        </w:tc>
      </w:tr>
    </w:tbl>
    <w:p>
      <w:pPr>
        <w:keepNext/>
        <w:spacing w:before="260" w:after="140"/>
        <w:jc w:val="center"/>
      </w:pPr>
      <w:r>
        <w:rPr>
          <w:rFonts w:ascii="Times New Roman" w:hAnsi="Times New Roman" w:eastAsia="Times New Roman" w:cs="Times New Roman"/>
          <w:b/>
          <w:i w:val="0"/>
          <w:sz w:val="26"/>
        </w:rPr>
        <w:t>PHẦN III – BỘ QUY TẮC ỨNG XỬ NHÀ CUNG CẤP (SVWS-POL-03)</w:t>
      </w:r>
    </w:p>
    <w:p>
      <w:pPr>
        <w:spacing w:after="100" w:line="300" w:lineRule="auto"/>
        <w:jc w:val="both"/>
      </w:pPr>
      <w:r>
        <w:rPr>
          <w:rFonts w:ascii="Times New Roman" w:hAnsi="Times New Roman" w:eastAsia="Times New Roman" w:cs="Times New Roman"/>
          <w:b w:val="0"/>
          <w:i w:val="0"/>
          <w:sz w:val="24"/>
        </w:rPr>
        <w:t>Mọi nhà cung cấp và nhà thầu phụ của SVWS phải đáp ứng các tiêu chuẩn tối thiểu dưới đây như một điều kiện hợp tác; SVWS có quyền đánh giá và chấm dứt quan hệ khi có vi phạm nghiêm trọng. Các yêu cầu này cũng giúp SVWS đáp ứng tiêu chuẩn mà khách hàng của SVWS đặt ra cho chuỗi cung ứng.</w:t>
      </w:r>
    </w:p>
    <w:p>
      <w:pPr>
        <w:keepNext/>
        <w:spacing w:before="140" w:after="80" w:line="300" w:lineRule="auto"/>
      </w:pPr>
      <w:r>
        <w:rPr>
          <w:rFonts w:ascii="Times New Roman" w:hAnsi="Times New Roman" w:eastAsia="Times New Roman" w:cs="Times New Roman"/>
          <w:b/>
          <w:i w:val="0"/>
          <w:sz w:val="24"/>
        </w:rPr>
        <w:t>1. Phạm vi</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Áp dụng cho nhà cung cấp thiết bị, vật tư, hóa chất; nhà cung cấp dịch vụ (vận chuyển, gia công, kiểm định, phân tích mẫu, cho thuê thiết bị); nhà thầu phụ, tổ đội thi công và đơn vị cung ứng lao động.</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Nhà cung cấp phải truyền đạt yêu cầu tương đương xuống nhà cung cấp và thầu phụ của mình.</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Nhà cung cấp đã có bộ quy tắc ứng xử riêng với tiêu chuẩn tương đương hoặc cao hơn có thể nộp bản đó thay cho việc ký cam kết, nếu SVWS chấp thuận.</w:t>
      </w:r>
    </w:p>
    <w:p>
      <w:pPr>
        <w:keepNext/>
        <w:spacing w:before="140" w:after="80" w:line="300" w:lineRule="auto"/>
      </w:pPr>
      <w:r>
        <w:rPr>
          <w:rFonts w:ascii="Times New Roman" w:hAnsi="Times New Roman" w:eastAsia="Times New Roman" w:cs="Times New Roman"/>
          <w:b/>
          <w:i w:val="0"/>
          <w:sz w:val="24"/>
        </w:rPr>
        <w:t>2. Lao động và quyền con người</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Không lao động trẻ em:</w:t>
      </w:r>
      <w:r>
        <w:rPr>
          <w:rFonts w:ascii="Times New Roman" w:hAnsi="Times New Roman" w:eastAsia="Times New Roman" w:cs="Times New Roman"/>
          <w:b w:val="0"/>
          <w:i w:val="0"/>
          <w:sz w:val="24"/>
        </w:rPr>
        <w:t xml:space="preserve"> tuân thủ Điều 143–147 Bộ luật Lao động 2019; mọi công nhân làm việc tại công trường của SVWS hoặc nhà máy khách hàng phải đủ 18 tuổi, có hồ sơ xác minh tuổi.</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Không lao động cưỡng bức:</w:t>
      </w:r>
      <w:r>
        <w:rPr>
          <w:rFonts w:ascii="Times New Roman" w:hAnsi="Times New Roman" w:eastAsia="Times New Roman" w:cs="Times New Roman"/>
          <w:b w:val="0"/>
          <w:i w:val="0"/>
          <w:sz w:val="24"/>
        </w:rPr>
        <w:t xml:space="preserve"> đáp ứng toàn bộ cam kết tại Phần II, Mục 4 (không giữ giấy tờ, không đặt cọc, không thu phí tuyển dụng, tự do nghỉ việc).</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Tiền lương:</w:t>
      </w:r>
      <w:r>
        <w:rPr>
          <w:rFonts w:ascii="Times New Roman" w:hAnsi="Times New Roman" w:eastAsia="Times New Roman" w:cs="Times New Roman"/>
          <w:b w:val="0"/>
          <w:i w:val="0"/>
          <w:sz w:val="24"/>
        </w:rPr>
        <w:t xml:space="preserve"> không thấp hơn lương tối thiểu vùng theo Nghị định 293/2025/NĐ-CP (từ 01/01/2026); trả đúng hạn, có phiếu lương; làm thêm giờ trả ít nhất 150% ngày thường, 200% ngày nghỉ hằng tuần, 300% ngày lễ, tết (Điều 98).</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Thời giờ làm việc:</w:t>
      </w:r>
      <w:r>
        <w:rPr>
          <w:rFonts w:ascii="Times New Roman" w:hAnsi="Times New Roman" w:eastAsia="Times New Roman" w:cs="Times New Roman"/>
          <w:b w:val="0"/>
          <w:i w:val="0"/>
          <w:sz w:val="24"/>
        </w:rPr>
        <w:t xml:space="preserve"> bình thường không quá 48 giờ/tuần; làm thêm tự nguyện, tối đa 40 giờ/tháng và 200 giờ/năm (300 giờ với công việc được phép); ít nhất 24 giờ nghỉ liên tục mỗi tuần (Điều 105, 107, 111).</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Bảo hiểm:</w:t>
      </w:r>
      <w:r>
        <w:rPr>
          <w:rFonts w:ascii="Times New Roman" w:hAnsi="Times New Roman" w:eastAsia="Times New Roman" w:cs="Times New Roman"/>
          <w:b w:val="0"/>
          <w:i w:val="0"/>
          <w:sz w:val="24"/>
        </w:rPr>
        <w:t xml:space="preserve"> đóng BHXH, BHYT, BHTN cho người lao động thuộc diện bắt buộc; công nhân tại công trường có bảo hiểm tai nạn.</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Đối xử:</w:t>
      </w:r>
      <w:r>
        <w:rPr>
          <w:rFonts w:ascii="Times New Roman" w:hAnsi="Times New Roman" w:eastAsia="Times New Roman" w:cs="Times New Roman"/>
          <w:b w:val="0"/>
          <w:i w:val="0"/>
          <w:sz w:val="24"/>
        </w:rPr>
        <w:t xml:space="preserve"> không phân biệt đối xử, không quấy rối, không bạo lực, không phạt tiền hoặc cắt lương thay cho kỷ luật.</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Tự do hiệp hội và khiếu nại:</w:t>
      </w:r>
      <w:r>
        <w:rPr>
          <w:rFonts w:ascii="Times New Roman" w:hAnsi="Times New Roman" w:eastAsia="Times New Roman" w:cs="Times New Roman"/>
          <w:b w:val="0"/>
          <w:i w:val="0"/>
          <w:sz w:val="24"/>
        </w:rPr>
        <w:t xml:space="preserve"> tôn trọng quyền công đoàn; có kênh để người lao động nêu khiếu nại mà không bị trả đũa.</w:t>
      </w:r>
    </w:p>
    <w:p>
      <w:pPr>
        <w:keepNext/>
        <w:spacing w:before="140" w:after="80" w:line="300" w:lineRule="auto"/>
      </w:pPr>
      <w:r>
        <w:rPr>
          <w:rFonts w:ascii="Times New Roman" w:hAnsi="Times New Roman" w:eastAsia="Times New Roman" w:cs="Times New Roman"/>
          <w:b/>
          <w:i w:val="0"/>
          <w:sz w:val="24"/>
        </w:rPr>
        <w:t>3. An toàn, vệ sinh lao động</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Huấn luyện ATVSLĐ theo Nghị định 44/2016/NĐ-CP; có thẻ an toàn cho công việc có yêu cầu nghiêm ngặt (làm việc trên cao, hàn cắt, điện, không gian hạn chế).</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Cấp phương tiện bảo vệ cá nhân đầy đủ, miễn phí cho công nhân.</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Tuân thủ giấy phép làm việc, phân tích an toàn công việc (JSA), khóa – treo thẻ (LOTO) và quy định HSE của nhà máy khách hàng.</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Thiết bị có yêu cầu nghiêm ngặt (thiết bị nâng, giàn giáo, bình áp lực) phải còn hạn kiểm định; dụng cụ điện có thiết bị chống giật.</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Báo ngay cho chỉ huy công trình SVWS mọi tai nạn, sự cố và sự cố suýt xảy ra.</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Không sử dụng rượu bia, chất kích thích trước và trong khi làm việc.</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Hóa chất: có phiếu an toàn hóa chất (SDS) bằng tiếng Việt, nhãn GHS; vận chuyển hàng nguy hiểm đúng quy định (Luật Hóa chất 69/2025/QH15).</w:t>
      </w:r>
    </w:p>
    <w:p>
      <w:pPr>
        <w:keepNext/>
        <w:spacing w:before="140" w:after="80" w:line="300" w:lineRule="auto"/>
      </w:pPr>
      <w:r>
        <w:rPr>
          <w:rFonts w:ascii="Times New Roman" w:hAnsi="Times New Roman" w:eastAsia="Times New Roman" w:cs="Times New Roman"/>
          <w:b/>
          <w:i w:val="0"/>
          <w:sz w:val="24"/>
        </w:rPr>
        <w:t>4. Môi trường và chất lượng</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Tuân thủ Luật Bảo vệ môi trường 2020; thu gom, xử lý chất thải và chất thải nguy hại qua đơn vị có giấy phép; không xả thải tại công trường.</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Có biện pháp phòng ngừa và ứng phó tràn đổ hóa chất, dầu.</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Hàng hóa đúng chủng loại, có chứng từ xuất xứ và chất lượng (CO/CQ) hợp lệ; vật liệu tiếp xúc nước uống phải có chứng nhận phù hợp.</w:t>
      </w:r>
    </w:p>
    <w:p>
      <w:pPr>
        <w:keepNext/>
        <w:spacing w:before="140" w:after="80" w:line="300" w:lineRule="auto"/>
      </w:pPr>
      <w:r>
        <w:rPr>
          <w:rFonts w:ascii="Times New Roman" w:hAnsi="Times New Roman" w:eastAsia="Times New Roman" w:cs="Times New Roman"/>
          <w:b/>
          <w:i w:val="0"/>
          <w:sz w:val="24"/>
        </w:rPr>
        <w:t>5. Đạo đức kinh doanh</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Chống hối lộ:</w:t>
      </w:r>
      <w:r>
        <w:rPr>
          <w:rFonts w:ascii="Times New Roman" w:hAnsi="Times New Roman" w:eastAsia="Times New Roman" w:cs="Times New Roman"/>
          <w:b w:val="0"/>
          <w:i w:val="0"/>
          <w:sz w:val="24"/>
        </w:rPr>
        <w:t xml:space="preserve"> không đưa hoặc hứa bất kỳ lợi ích nào cho nhân viên SVWS, nhân viên khách hàng hoặc công chức để được chọn, được nghiệm thu hay được thanh toán; không "lại quả" cho người mua hàng. Quà tặng cho nhân viên SVWS phải trong mức tại Phần I, Mục 3.</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Xung đột lợi ích:</w:t>
      </w:r>
      <w:r>
        <w:rPr>
          <w:rFonts w:ascii="Times New Roman" w:hAnsi="Times New Roman" w:eastAsia="Times New Roman" w:cs="Times New Roman"/>
          <w:b w:val="0"/>
          <w:i w:val="0"/>
          <w:sz w:val="24"/>
        </w:rPr>
        <w:t xml:space="preserve"> khai báo với SVWS nếu nhân viên SVWS hoặc người thân của họ có lợi ích tại nhà cung cấp.</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Cạnh tranh lành mạnh:</w:t>
      </w:r>
      <w:r>
        <w:rPr>
          <w:rFonts w:ascii="Times New Roman" w:hAnsi="Times New Roman" w:eastAsia="Times New Roman" w:cs="Times New Roman"/>
          <w:b w:val="0"/>
          <w:i w:val="0"/>
          <w:sz w:val="24"/>
        </w:rPr>
        <w:t xml:space="preserve"> không thông đồng với nhà cung cấp khác khi chào giá cho SVWS; tuân thủ Luật Cạnh tranh 2018.</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Bảo mật:</w:t>
      </w:r>
      <w:r>
        <w:rPr>
          <w:rFonts w:ascii="Times New Roman" w:hAnsi="Times New Roman" w:eastAsia="Times New Roman" w:cs="Times New Roman"/>
          <w:b w:val="0"/>
          <w:i w:val="0"/>
          <w:sz w:val="24"/>
        </w:rPr>
        <w:t xml:space="preserve"> bảo vệ thông tin của SVWS và khách hàng của SVWS (bản vẽ, số liệu, hình ảnh nhà máy); chỉ dùng cho đơn hàng; xử lý dữ liệu cá nhân theo Luật 91/2025/QH15.</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Hồ sơ trung thực:</w:t>
      </w:r>
      <w:r>
        <w:rPr>
          <w:rFonts w:ascii="Times New Roman" w:hAnsi="Times New Roman" w:eastAsia="Times New Roman" w:cs="Times New Roman"/>
          <w:b w:val="0"/>
          <w:i w:val="0"/>
          <w:sz w:val="24"/>
        </w:rPr>
        <w:t xml:space="preserve"> không làm giả CO/CQ, chứng chỉ, biên bản kiểm định, kết quả thử nghiệm, hóa đơn.</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i w:val="0"/>
          <w:sz w:val="24"/>
        </w:rPr>
        <w:t>Sở hữu trí tuệ:</w:t>
      </w:r>
      <w:r>
        <w:rPr>
          <w:rFonts w:ascii="Times New Roman" w:hAnsi="Times New Roman" w:eastAsia="Times New Roman" w:cs="Times New Roman"/>
          <w:b w:val="0"/>
          <w:i w:val="0"/>
          <w:sz w:val="24"/>
        </w:rPr>
        <w:t xml:space="preserve"> không cung cấp hàng giả, hàng nhái hoặc phần mềm không có bản quyền.</w:t>
      </w:r>
    </w:p>
    <w:p>
      <w:pPr>
        <w:keepNext/>
        <w:spacing w:before="140" w:after="80" w:line="300" w:lineRule="auto"/>
      </w:pPr>
      <w:r>
        <w:rPr>
          <w:rFonts w:ascii="Times New Roman" w:hAnsi="Times New Roman" w:eastAsia="Times New Roman" w:cs="Times New Roman"/>
          <w:b/>
          <w:i w:val="0"/>
          <w:sz w:val="24"/>
        </w:rPr>
        <w:t>6. Giám sát và xử lý vi phạm</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Nhà cung cấp mới ký Cam kết (Phụ lục B) trước đơn hàng đầu tiên; nhà cung cấp hiện hữu ký trong 30 ngày kể từ ngày nhận được Bộ quy tắc này.</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SVWS có thể yêu cầu tự đánh giá, cung cấp hồ sơ hoặc đánh giá tại chỗ (có báo trước), kể cả cùng đại diện khách hàng của SVWS khi liên quan đến dự án của họ.</w:t>
      </w:r>
    </w:p>
    <w:p>
      <w:pPr>
        <w:spacing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Vi phạm được xử lý theo mức độ:</w:t>
      </w: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213"/>
        <w:gridCol w:w="3213"/>
        <w:gridCol w:w="3213"/>
      </w:tblGrid>
      <w:tr>
        <w:tc>
          <w:tcPr>
            <w:tcW w:type="dxa" w:w="2733"/>
          </w:tcPr>
          <w:p>
            <w:pPr>
              <w:spacing w:after="60" w:before="60"/>
            </w:pPr>
            <w:r>
              <w:rPr>
                <w:rFonts w:ascii="Times New Roman" w:hAnsi="Times New Roman" w:eastAsia="Times New Roman" w:cs="Times New Roman"/>
                <w:b/>
                <w:i w:val="0"/>
                <w:sz w:val="22"/>
              </w:rPr>
              <w:t>Mức độ</w:t>
            </w:r>
          </w:p>
        </w:tc>
        <w:tc>
          <w:tcPr>
            <w:tcW w:type="dxa" w:w="3481"/>
          </w:tcPr>
          <w:p>
            <w:pPr>
              <w:spacing w:after="60" w:before="60"/>
            </w:pPr>
            <w:r>
              <w:rPr>
                <w:rFonts w:ascii="Times New Roman" w:hAnsi="Times New Roman" w:eastAsia="Times New Roman" w:cs="Times New Roman"/>
                <w:b/>
                <w:i w:val="0"/>
                <w:sz w:val="22"/>
              </w:rPr>
              <w:t>Ví dụ</w:t>
            </w:r>
          </w:p>
        </w:tc>
        <w:tc>
          <w:tcPr>
            <w:tcW w:type="dxa" w:w="3424"/>
          </w:tcPr>
          <w:p>
            <w:pPr>
              <w:spacing w:after="60" w:before="60"/>
            </w:pPr>
            <w:r>
              <w:rPr>
                <w:rFonts w:ascii="Times New Roman" w:hAnsi="Times New Roman" w:eastAsia="Times New Roman" w:cs="Times New Roman"/>
                <w:b/>
                <w:i w:val="0"/>
                <w:sz w:val="22"/>
              </w:rPr>
              <w:t>Xử lý</w:t>
            </w:r>
          </w:p>
        </w:tc>
      </w:tr>
      <w:tr>
        <w:tc>
          <w:tcPr>
            <w:tcW w:type="dxa" w:w="2733"/>
          </w:tcPr>
          <w:p>
            <w:pPr>
              <w:spacing w:after="60" w:before="60"/>
            </w:pPr>
            <w:r>
              <w:rPr>
                <w:rFonts w:ascii="Times New Roman" w:hAnsi="Times New Roman" w:eastAsia="Times New Roman" w:cs="Times New Roman"/>
                <w:b w:val="0"/>
                <w:i w:val="0"/>
                <w:sz w:val="22"/>
              </w:rPr>
              <w:t>Nghiêm trọng (không khoan nhượng)</w:t>
            </w:r>
          </w:p>
        </w:tc>
        <w:tc>
          <w:tcPr>
            <w:tcW w:type="dxa" w:w="3481"/>
          </w:tcPr>
          <w:p>
            <w:pPr>
              <w:spacing w:after="60" w:before="60"/>
            </w:pPr>
            <w:r>
              <w:rPr>
                <w:rFonts w:ascii="Times New Roman" w:hAnsi="Times New Roman" w:eastAsia="Times New Roman" w:cs="Times New Roman"/>
                <w:b w:val="0"/>
                <w:i w:val="0"/>
                <w:sz w:val="22"/>
              </w:rPr>
              <w:t>Lao động trẻ em, lao động cưỡng bức, hối lộ, làm giả hồ sơ, nguy cơ đe dọa tính mạng</w:t>
            </w:r>
          </w:p>
        </w:tc>
        <w:tc>
          <w:tcPr>
            <w:tcW w:type="dxa" w:w="3424"/>
          </w:tcPr>
          <w:p>
            <w:pPr>
              <w:spacing w:after="60" w:before="60"/>
            </w:pPr>
            <w:r>
              <w:rPr>
                <w:rFonts w:ascii="Times New Roman" w:hAnsi="Times New Roman" w:eastAsia="Times New Roman" w:cs="Times New Roman"/>
                <w:b w:val="0"/>
                <w:i w:val="0"/>
                <w:sz w:val="22"/>
              </w:rPr>
              <w:t>Dừng công việc/đơn hàng ngay; có thể chấm dứt hợp đồng; báo cơ quan có thẩm quyền khi cần</w:t>
            </w:r>
          </w:p>
        </w:tc>
      </w:tr>
      <w:tr>
        <w:tc>
          <w:tcPr>
            <w:tcW w:type="dxa" w:w="2733"/>
          </w:tcPr>
          <w:p>
            <w:pPr>
              <w:spacing w:after="60" w:before="60"/>
            </w:pPr>
            <w:r>
              <w:rPr>
                <w:rFonts w:ascii="Times New Roman" w:hAnsi="Times New Roman" w:eastAsia="Times New Roman" w:cs="Times New Roman"/>
                <w:b w:val="0"/>
                <w:i w:val="0"/>
                <w:sz w:val="22"/>
              </w:rPr>
              <w:t>Lớn</w:t>
            </w:r>
          </w:p>
        </w:tc>
        <w:tc>
          <w:tcPr>
            <w:tcW w:type="dxa" w:w="3481"/>
          </w:tcPr>
          <w:p>
            <w:pPr>
              <w:spacing w:after="60" w:before="60"/>
            </w:pPr>
            <w:r>
              <w:rPr>
                <w:rFonts w:ascii="Times New Roman" w:hAnsi="Times New Roman" w:eastAsia="Times New Roman" w:cs="Times New Roman"/>
                <w:b w:val="0"/>
                <w:i w:val="0"/>
                <w:sz w:val="22"/>
              </w:rPr>
              <w:t>Trả lương dưới mức tối thiểu, làm thêm giờ vượt giới hạn, không đóng bảo hiểm bắt buộc, vi phạm an toàn nghiêm trọng</w:t>
            </w:r>
          </w:p>
        </w:tc>
        <w:tc>
          <w:tcPr>
            <w:tcW w:type="dxa" w:w="3424"/>
          </w:tcPr>
          <w:p>
            <w:pPr>
              <w:spacing w:after="60" w:before="60"/>
            </w:pPr>
            <w:r>
              <w:rPr>
                <w:rFonts w:ascii="Times New Roman" w:hAnsi="Times New Roman" w:eastAsia="Times New Roman" w:cs="Times New Roman"/>
                <w:b w:val="0"/>
                <w:i w:val="0"/>
                <w:sz w:val="22"/>
              </w:rPr>
              <w:t>Kế hoạch khắc phục trong 30 ngày, SVWS kiểm tra lại; không khắc phục thì chấm dứt</w:t>
            </w:r>
          </w:p>
        </w:tc>
      </w:tr>
      <w:tr>
        <w:tc>
          <w:tcPr>
            <w:tcW w:type="dxa" w:w="2733"/>
          </w:tcPr>
          <w:p>
            <w:pPr>
              <w:spacing w:after="60" w:before="60"/>
            </w:pPr>
            <w:r>
              <w:rPr>
                <w:rFonts w:ascii="Times New Roman" w:hAnsi="Times New Roman" w:eastAsia="Times New Roman" w:cs="Times New Roman"/>
                <w:b w:val="0"/>
                <w:i w:val="0"/>
                <w:sz w:val="22"/>
              </w:rPr>
              <w:t>Nhỏ</w:t>
            </w:r>
          </w:p>
        </w:tc>
        <w:tc>
          <w:tcPr>
            <w:tcW w:type="dxa" w:w="3481"/>
          </w:tcPr>
          <w:p>
            <w:pPr>
              <w:spacing w:after="60" w:before="60"/>
            </w:pPr>
            <w:r>
              <w:rPr>
                <w:rFonts w:ascii="Times New Roman" w:hAnsi="Times New Roman" w:eastAsia="Times New Roman" w:cs="Times New Roman"/>
                <w:b w:val="0"/>
                <w:i w:val="0"/>
                <w:sz w:val="22"/>
              </w:rPr>
              <w:t>Thiếu hồ sơ, biển báo, sổ sách chưa đầy đủ</w:t>
            </w:r>
          </w:p>
        </w:tc>
        <w:tc>
          <w:tcPr>
            <w:tcW w:type="dxa" w:w="3424"/>
          </w:tcPr>
          <w:p>
            <w:pPr>
              <w:spacing w:after="60" w:before="60"/>
            </w:pPr>
            <w:r>
              <w:rPr>
                <w:rFonts w:ascii="Times New Roman" w:hAnsi="Times New Roman" w:eastAsia="Times New Roman" w:cs="Times New Roman"/>
                <w:b w:val="0"/>
                <w:i w:val="0"/>
                <w:sz w:val="22"/>
              </w:rPr>
              <w:t>Khắc phục trong 60 ngày</w:t>
            </w:r>
          </w:p>
        </w:tc>
      </w:tr>
    </w:tbl>
    <w:p>
      <w:pPr>
        <w:spacing w:before="120" w:after="100" w:line="300" w:lineRule="auto"/>
        <w:ind w:left="360"/>
        <w:jc w:val="both"/>
      </w:pP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Nhà cung cấp và người lao động của họ có thể báo cáo vi phạm qua kênh lên tiếng của SVWS (Phần I, Mục 8) và được bảo vệ khỏi trả đũa.</w:t>
      </w:r>
    </w:p>
    <w:p>
      <w:pPr>
        <w:keepNext/>
        <w:spacing w:before="140" w:after="80" w:line="300" w:lineRule="auto"/>
      </w:pPr>
      <w:r>
        <w:rPr>
          <w:rFonts w:ascii="Times New Roman" w:hAnsi="Times New Roman" w:eastAsia="Times New Roman" w:cs="Times New Roman"/>
          <w:b/>
          <w:i w:val="0"/>
          <w:sz w:val="24"/>
        </w:rPr>
        <w:t>7. Điều khoản mẫu đưa vào hợp đồng và đơn đặt hàng</w:t>
      </w:r>
    </w:p>
    <w:p>
      <w:pPr>
        <w:spacing w:after="100" w:line="300" w:lineRule="auto"/>
        <w:ind w:left="720"/>
        <w:jc w:val="both"/>
      </w:pPr>
      <w:r>
        <w:rPr>
          <w:rFonts w:ascii="Times New Roman" w:hAnsi="Times New Roman" w:eastAsia="Times New Roman" w:cs="Times New Roman"/>
          <w:b w:val="0"/>
          <w:i/>
          <w:sz w:val="24"/>
        </w:rPr>
        <w:t>Bên B cam kết tuân thủ Bộ quy tắc ứng xử nhà cung cấp SVWS-POL-03 và Chính sách SVWS-POL-02 hiện hành, bao gồm: không sử dụng lao động trẻ em, lao động cưỡng bức; trả lương không thấp hơn mức tối thiểu vùng; bảo đảm an toàn, vệ sinh lao động; không đưa, nhận hối lộ dưới bất kỳ hình thức nào. Bên B cho phép Bên A kiểm tra việc tuân thủ với thông báo trước hợp lý. Vi phạm nghiêm trọng các cam kết này là căn cứ để Bên A đơn phương chấm dứt hợp đồng mà không phải bồi thường.</w:t>
      </w:r>
    </w:p>
    <w:p>
      <w:pPr>
        <w:keepNext/>
        <w:spacing w:before="260" w:after="140"/>
        <w:jc w:val="center"/>
      </w:pPr>
      <w:r>
        <w:rPr>
          <w:rFonts w:ascii="Times New Roman" w:hAnsi="Times New Roman" w:eastAsia="Times New Roman" w:cs="Times New Roman"/>
          <w:b/>
          <w:i w:val="0"/>
          <w:sz w:val="26"/>
        </w:rPr>
        <w:t>PHỤ LỤC – CÁC MẪU KÝ</w:t>
      </w:r>
    </w:p>
    <w:p>
      <w:pPr>
        <w:spacing w:after="100" w:line="300" w:lineRule="auto"/>
        <w:jc w:val="both"/>
      </w:pPr>
      <w:r>
        <w:rPr>
          <w:rFonts w:ascii="Times New Roman" w:hAnsi="Times New Roman" w:eastAsia="Times New Roman" w:cs="Times New Roman"/>
          <w:b w:val="0"/>
          <w:i w:val="0"/>
          <w:sz w:val="24"/>
        </w:rPr>
        <w:t>Ba mẫu dưới đây là bằng chứng để trình cho auditor: mỗi người lao động ký Mẫu A, mỗi nhà cung cấp và nhà thầu phụ ký Mẫu B, mọi báo cáo vi phạm được ghi theo Mẫu C.</w:t>
      </w:r>
    </w:p>
    <w:p>
      <w:pPr>
        <w:keepNext/>
        <w:spacing w:before="140" w:after="80" w:line="300" w:lineRule="auto"/>
      </w:pPr>
      <w:r>
        <w:rPr>
          <w:rFonts w:ascii="Times New Roman" w:hAnsi="Times New Roman" w:eastAsia="Times New Roman" w:cs="Times New Roman"/>
          <w:b/>
          <w:i w:val="0"/>
          <w:sz w:val="24"/>
        </w:rPr>
        <w:t>Phụ lục A – Xác nhận của người lao động</w:t>
      </w:r>
    </w:p>
    <w:p>
      <w:pPr>
        <w:spacing w:after="100" w:line="300" w:lineRule="auto"/>
        <w:jc w:val="left"/>
      </w:pPr>
      <w:r>
        <w:rPr>
          <w:rFonts w:ascii="Times New Roman" w:hAnsi="Times New Roman" w:eastAsia="Times New Roman" w:cs="Times New Roman"/>
          <w:b w:val="0"/>
          <w:i w:val="0"/>
          <w:sz w:val="24"/>
        </w:rPr>
        <w:t>Tôi, họ tên ………………………………, chức danh ……………………, bộ phận ……………………, xác nhận:</w:t>
      </w:r>
    </w:p>
    <w:p>
      <w:pPr>
        <w:spacing w:after="100" w:line="300" w:lineRule="auto"/>
        <w:ind w:left="360"/>
        <w:jc w:val="both"/>
      </w:pPr>
      <w:r>
        <w:rPr>
          <w:rFonts w:ascii="Times New Roman" w:hAnsi="Times New Roman" w:eastAsia="Times New Roman" w:cs="Times New Roman"/>
          <w:b w:val="0"/>
          <w:i w:val="0"/>
          <w:sz w:val="24"/>
        </w:rPr>
        <w:t xml:space="preserve">1. </w:t>
      </w:r>
      <w:r>
        <w:rPr>
          <w:rFonts w:ascii="Times New Roman" w:hAnsi="Times New Roman" w:eastAsia="Times New Roman" w:cs="Times New Roman"/>
          <w:b w:val="0"/>
          <w:i w:val="0"/>
          <w:sz w:val="24"/>
        </w:rPr>
        <w:t>Đã được phổ biến, đã đọc và hiểu Bộ quy tắc ứng xử (SVWS-POL-01) và Chính sách không sử dụng lao động trẻ em và lao động cưỡng bức (SVWS-POL-02).</w:t>
      </w:r>
    </w:p>
    <w:p>
      <w:pPr>
        <w:spacing w:after="100" w:line="300" w:lineRule="auto"/>
        <w:ind w:left="360"/>
        <w:jc w:val="both"/>
      </w:pPr>
      <w:r>
        <w:rPr>
          <w:rFonts w:ascii="Times New Roman" w:hAnsi="Times New Roman" w:eastAsia="Times New Roman" w:cs="Times New Roman"/>
          <w:b w:val="0"/>
          <w:i w:val="0"/>
          <w:sz w:val="24"/>
        </w:rPr>
        <w:t xml:space="preserve">2. </w:t>
      </w:r>
      <w:r>
        <w:rPr>
          <w:rFonts w:ascii="Times New Roman" w:hAnsi="Times New Roman" w:eastAsia="Times New Roman" w:cs="Times New Roman"/>
          <w:b w:val="0"/>
          <w:i w:val="0"/>
          <w:sz w:val="24"/>
        </w:rPr>
        <w:t>Cam kết tuân thủ và biết vi phạm có thể bị xử lý kỷ luật theo Nội quy lao động.</w:t>
      </w:r>
    </w:p>
    <w:p>
      <w:pPr>
        <w:spacing w:after="100" w:line="300" w:lineRule="auto"/>
        <w:ind w:left="360"/>
        <w:jc w:val="both"/>
      </w:pPr>
      <w:r>
        <w:rPr>
          <w:rFonts w:ascii="Times New Roman" w:hAnsi="Times New Roman" w:eastAsia="Times New Roman" w:cs="Times New Roman"/>
          <w:b w:val="0"/>
          <w:i w:val="0"/>
          <w:sz w:val="24"/>
        </w:rPr>
        <w:t xml:space="preserve">3. </w:t>
      </w:r>
      <w:r>
        <w:rPr>
          <w:rFonts w:ascii="Times New Roman" w:hAnsi="Times New Roman" w:eastAsia="Times New Roman" w:cs="Times New Roman"/>
          <w:b w:val="0"/>
          <w:i w:val="0"/>
          <w:sz w:val="24"/>
        </w:rPr>
        <w:t>Biết các kênh lên tiếng và được bảo vệ khỏi trả đũa khi báo cáo thiện chí.</w:t>
      </w:r>
    </w:p>
    <w:p>
      <w:pPr>
        <w:spacing w:after="100" w:line="300" w:lineRule="auto"/>
        <w:ind w:left="360"/>
        <w:jc w:val="left"/>
      </w:pPr>
      <w:r>
        <w:rPr>
          <w:rFonts w:ascii="Times New Roman" w:hAnsi="Times New Roman" w:eastAsia="Times New Roman" w:cs="Times New Roman"/>
          <w:b w:val="0"/>
          <w:i w:val="0"/>
          <w:sz w:val="24"/>
        </w:rPr>
        <w:t xml:space="preserve">4. </w:t>
      </w:r>
      <w:r>
        <w:rPr>
          <w:rFonts w:ascii="Times New Roman" w:hAnsi="Times New Roman" w:eastAsia="Times New Roman" w:cs="Times New Roman"/>
          <w:b w:val="0"/>
          <w:i w:val="0"/>
          <w:sz w:val="24"/>
        </w:rPr>
        <w:t>Hiện không có xung đột lợi ích nào, hoặc đã khai báo như sau: …………………………………………</w:t>
      </w: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819"/>
        <w:gridCol w:w="4819"/>
      </w:tblGrid>
      <w:tr>
        <w:tc>
          <w:tcPr>
            <w:tcW w:type="dxa" w:w="4819"/>
          </w:tcPr>
          <w:p>
            <w:pPr>
              <w:spacing w:after="60" w:before="60"/>
            </w:pPr>
            <w:r>
              <w:rPr>
                <w:rFonts w:ascii="Times New Roman" w:hAnsi="Times New Roman" w:eastAsia="Times New Roman" w:cs="Times New Roman"/>
                <w:b/>
                <w:i w:val="0"/>
                <w:sz w:val="24"/>
              </w:rPr>
              <w:t>Người lao động</w:t>
            </w:r>
          </w:p>
        </w:tc>
        <w:tc>
          <w:tcPr>
            <w:tcW w:type="dxa" w:w="4819"/>
          </w:tcPr>
          <w:p>
            <w:pPr>
              <w:spacing w:after="60" w:before="60"/>
            </w:pPr>
            <w:r>
              <w:rPr>
                <w:rFonts w:ascii="Times New Roman" w:hAnsi="Times New Roman" w:eastAsia="Times New Roman" w:cs="Times New Roman"/>
                <w:b/>
                <w:i w:val="0"/>
                <w:sz w:val="24"/>
              </w:rPr>
              <w:t>Đại diện SVWS</w:t>
            </w:r>
          </w:p>
        </w:tc>
      </w:tr>
      <w:tr>
        <w:trPr>
          <w:trHeight w:val="1247" w:hRule="atLeast"/>
        </w:trPr>
        <w:tc>
          <w:tcPr>
            <w:tcW w:type="dxa" w:w="4819"/>
          </w:tcPr>
          <w:p>
            <w:pPr>
              <w:spacing w:after="60" w:before="60"/>
            </w:pPr>
            <w:r>
              <w:rPr>
                <w:rFonts w:ascii="Times New Roman" w:hAnsi="Times New Roman" w:eastAsia="Times New Roman" w:cs="Times New Roman"/>
                <w:b w:val="0"/>
                <w:i w:val="0"/>
                <w:sz w:val="24"/>
              </w:rPr>
              <w:t>Ký, ghi rõ họ tên</w:t>
            </w:r>
          </w:p>
        </w:tc>
        <w:tc>
          <w:tcPr>
            <w:tcW w:type="dxa" w:w="4819"/>
          </w:tcPr>
          <w:p>
            <w:pPr>
              <w:spacing w:after="60" w:before="60"/>
            </w:pPr>
            <w:r>
              <w:rPr>
                <w:rFonts w:ascii="Times New Roman" w:hAnsi="Times New Roman" w:eastAsia="Times New Roman" w:cs="Times New Roman"/>
                <w:b w:val="0"/>
                <w:i w:val="0"/>
                <w:sz w:val="24"/>
              </w:rPr>
              <w:t>Ký, ghi rõ họ tên</w:t>
            </w:r>
          </w:p>
        </w:tc>
      </w:tr>
      <w:tr>
        <w:tc>
          <w:tcPr>
            <w:tcW w:type="dxa" w:w="4819"/>
          </w:tcPr>
          <w:p>
            <w:pPr>
              <w:spacing w:after="60" w:before="60"/>
            </w:pPr>
            <w:r>
              <w:rPr>
                <w:rFonts w:ascii="Times New Roman" w:hAnsi="Times New Roman" w:eastAsia="Times New Roman" w:cs="Times New Roman"/>
                <w:b w:val="0"/>
                <w:i w:val="0"/>
                <w:sz w:val="24"/>
              </w:rPr>
              <w:t>Ngày: ……/……/20……</w:t>
            </w:r>
          </w:p>
        </w:tc>
        <w:tc>
          <w:tcPr>
            <w:tcW w:type="dxa" w:w="4819"/>
          </w:tcPr>
          <w:p>
            <w:pPr>
              <w:spacing w:after="60" w:before="60"/>
            </w:pPr>
            <w:r>
              <w:rPr>
                <w:rFonts w:ascii="Times New Roman" w:hAnsi="Times New Roman" w:eastAsia="Times New Roman" w:cs="Times New Roman"/>
                <w:b w:val="0"/>
                <w:i w:val="0"/>
                <w:sz w:val="24"/>
              </w:rPr>
              <w:t>Ngày: ……/……/20……</w:t>
            </w:r>
          </w:p>
        </w:tc>
      </w:tr>
    </w:tbl>
    <w:p>
      <w:pPr>
        <w:keepNext/>
        <w:spacing w:before="140" w:after="80" w:line="300" w:lineRule="auto"/>
      </w:pPr>
      <w:r>
        <w:rPr>
          <w:rFonts w:ascii="Times New Roman" w:hAnsi="Times New Roman" w:eastAsia="Times New Roman" w:cs="Times New Roman"/>
          <w:b/>
          <w:i w:val="0"/>
          <w:sz w:val="24"/>
        </w:rPr>
        <w:t>Phụ lục B – Cam kết của nhà cung cấp / nhà thầu phụ</w:t>
      </w: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819"/>
        <w:gridCol w:w="4819"/>
      </w:tblGrid>
      <w:tr>
        <w:tc>
          <w:tcPr>
            <w:tcW w:type="dxa" w:w="5023"/>
          </w:tcPr>
          <w:p>
            <w:pPr>
              <w:spacing w:after="60" w:before="60"/>
            </w:pPr>
            <w:r>
              <w:rPr>
                <w:rFonts w:ascii="Times New Roman" w:hAnsi="Times New Roman" w:eastAsia="Times New Roman" w:cs="Times New Roman"/>
                <w:b/>
                <w:i w:val="0"/>
                <w:sz w:val="24"/>
              </w:rPr>
              <w:t>Thông tin</w:t>
            </w:r>
          </w:p>
        </w:tc>
        <w:tc>
          <w:tcPr>
            <w:tcW w:type="dxa" w:w="4615"/>
          </w:tcPr>
          <w:p>
            <w:pPr>
              <w:spacing w:after="60" w:before="60"/>
            </w:pPr>
            <w:r>
              <w:rPr>
                <w:rFonts w:ascii="Times New Roman" w:hAnsi="Times New Roman" w:eastAsia="Times New Roman" w:cs="Times New Roman"/>
                <w:b/>
                <w:i w:val="0"/>
                <w:sz w:val="24"/>
              </w:rPr>
              <w:t>Nội dung</w:t>
            </w:r>
          </w:p>
        </w:tc>
      </w:tr>
      <w:tr>
        <w:trPr>
          <w:trHeight w:val="510" w:hRule="atLeast"/>
        </w:trPr>
        <w:tc>
          <w:tcPr>
            <w:tcW w:type="dxa" w:w="5023"/>
          </w:tcPr>
          <w:p>
            <w:pPr>
              <w:spacing w:after="60" w:before="60"/>
            </w:pPr>
            <w:r>
              <w:rPr>
                <w:rFonts w:ascii="Times New Roman" w:hAnsi="Times New Roman" w:eastAsia="Times New Roman" w:cs="Times New Roman"/>
                <w:b w:val="0"/>
                <w:i w:val="0"/>
                <w:sz w:val="24"/>
              </w:rPr>
              <w:t>Tên doanh nghiệp</w:t>
            </w:r>
          </w:p>
        </w:tc>
        <w:tc>
          <w:tcPr>
            <w:tcW w:type="dxa" w:w="4615"/>
          </w:tcPr>
          <w:p>
            <w:pPr>
              <w:spacing w:after="60" w:before="60"/>
            </w:pPr>
            <w:r>
              <w:rPr>
                <w:rFonts w:ascii="Times New Roman" w:hAnsi="Times New Roman" w:eastAsia="Times New Roman" w:cs="Times New Roman"/>
                <w:b w:val="0"/>
                <w:i w:val="0"/>
                <w:sz w:val="24"/>
              </w:rPr>
            </w:r>
          </w:p>
        </w:tc>
      </w:tr>
      <w:tr>
        <w:trPr>
          <w:trHeight w:val="510" w:hRule="atLeast"/>
        </w:trPr>
        <w:tc>
          <w:tcPr>
            <w:tcW w:type="dxa" w:w="5023"/>
          </w:tcPr>
          <w:p>
            <w:pPr>
              <w:spacing w:after="60" w:before="60"/>
            </w:pPr>
            <w:r>
              <w:rPr>
                <w:rFonts w:ascii="Times New Roman" w:hAnsi="Times New Roman" w:eastAsia="Times New Roman" w:cs="Times New Roman"/>
                <w:b w:val="0"/>
                <w:i w:val="0"/>
                <w:sz w:val="24"/>
              </w:rPr>
              <w:t>Mã số thuế</w:t>
            </w:r>
          </w:p>
        </w:tc>
        <w:tc>
          <w:tcPr>
            <w:tcW w:type="dxa" w:w="4615"/>
          </w:tcPr>
          <w:p>
            <w:pPr>
              <w:spacing w:after="60" w:before="60"/>
            </w:pPr>
            <w:r>
              <w:rPr>
                <w:rFonts w:ascii="Times New Roman" w:hAnsi="Times New Roman" w:eastAsia="Times New Roman" w:cs="Times New Roman"/>
                <w:b w:val="0"/>
                <w:i w:val="0"/>
                <w:sz w:val="24"/>
              </w:rPr>
            </w:r>
          </w:p>
        </w:tc>
      </w:tr>
      <w:tr>
        <w:trPr>
          <w:trHeight w:val="510" w:hRule="atLeast"/>
        </w:trPr>
        <w:tc>
          <w:tcPr>
            <w:tcW w:type="dxa" w:w="5023"/>
          </w:tcPr>
          <w:p>
            <w:pPr>
              <w:spacing w:after="60" w:before="60"/>
            </w:pPr>
            <w:r>
              <w:rPr>
                <w:rFonts w:ascii="Times New Roman" w:hAnsi="Times New Roman" w:eastAsia="Times New Roman" w:cs="Times New Roman"/>
                <w:b w:val="0"/>
                <w:i w:val="0"/>
                <w:sz w:val="24"/>
              </w:rPr>
              <w:t>Địa chỉ</w:t>
            </w:r>
          </w:p>
        </w:tc>
        <w:tc>
          <w:tcPr>
            <w:tcW w:type="dxa" w:w="4615"/>
          </w:tcPr>
          <w:p>
            <w:pPr>
              <w:spacing w:after="60" w:before="60"/>
            </w:pPr>
            <w:r>
              <w:rPr>
                <w:rFonts w:ascii="Times New Roman" w:hAnsi="Times New Roman" w:eastAsia="Times New Roman" w:cs="Times New Roman"/>
                <w:b w:val="0"/>
                <w:i w:val="0"/>
                <w:sz w:val="24"/>
              </w:rPr>
            </w:r>
          </w:p>
        </w:tc>
      </w:tr>
      <w:tr>
        <w:trPr>
          <w:trHeight w:val="510" w:hRule="atLeast"/>
        </w:trPr>
        <w:tc>
          <w:tcPr>
            <w:tcW w:type="dxa" w:w="5023"/>
          </w:tcPr>
          <w:p>
            <w:pPr>
              <w:spacing w:after="60" w:before="60"/>
            </w:pPr>
            <w:r>
              <w:rPr>
                <w:rFonts w:ascii="Times New Roman" w:hAnsi="Times New Roman" w:eastAsia="Times New Roman" w:cs="Times New Roman"/>
                <w:b w:val="0"/>
                <w:i w:val="0"/>
                <w:sz w:val="24"/>
              </w:rPr>
              <w:t>Hàng hóa / dịch vụ cung cấp cho SVWS</w:t>
            </w:r>
          </w:p>
        </w:tc>
        <w:tc>
          <w:tcPr>
            <w:tcW w:type="dxa" w:w="4615"/>
          </w:tcPr>
          <w:p>
            <w:pPr>
              <w:spacing w:after="60" w:before="60"/>
            </w:pPr>
            <w:r>
              <w:rPr>
                <w:rFonts w:ascii="Times New Roman" w:hAnsi="Times New Roman" w:eastAsia="Times New Roman" w:cs="Times New Roman"/>
                <w:b w:val="0"/>
                <w:i w:val="0"/>
                <w:sz w:val="24"/>
              </w:rPr>
            </w:r>
          </w:p>
        </w:tc>
      </w:tr>
      <w:tr>
        <w:trPr>
          <w:trHeight w:val="510" w:hRule="atLeast"/>
        </w:trPr>
        <w:tc>
          <w:tcPr>
            <w:tcW w:type="dxa" w:w="5023"/>
          </w:tcPr>
          <w:p>
            <w:pPr>
              <w:spacing w:after="60" w:before="60"/>
            </w:pPr>
            <w:r>
              <w:rPr>
                <w:rFonts w:ascii="Times New Roman" w:hAnsi="Times New Roman" w:eastAsia="Times New Roman" w:cs="Times New Roman"/>
                <w:b w:val="0"/>
                <w:i w:val="0"/>
                <w:sz w:val="24"/>
              </w:rPr>
              <w:t>Số lao động (nếu là thầu phụ, tổ đội)</w:t>
            </w:r>
          </w:p>
        </w:tc>
        <w:tc>
          <w:tcPr>
            <w:tcW w:type="dxa" w:w="4615"/>
          </w:tcPr>
          <w:p>
            <w:pPr>
              <w:spacing w:after="60" w:before="60"/>
            </w:pPr>
            <w:r>
              <w:rPr>
                <w:rFonts w:ascii="Times New Roman" w:hAnsi="Times New Roman" w:eastAsia="Times New Roman" w:cs="Times New Roman"/>
                <w:b w:val="0"/>
                <w:i w:val="0"/>
                <w:sz w:val="24"/>
              </w:rPr>
            </w:r>
          </w:p>
        </w:tc>
      </w:tr>
      <w:tr>
        <w:trPr>
          <w:trHeight w:val="510" w:hRule="atLeast"/>
        </w:trPr>
        <w:tc>
          <w:tcPr>
            <w:tcW w:type="dxa" w:w="5023"/>
          </w:tcPr>
          <w:p>
            <w:pPr>
              <w:spacing w:after="60" w:before="60"/>
            </w:pPr>
            <w:r>
              <w:rPr>
                <w:rFonts w:ascii="Times New Roman" w:hAnsi="Times New Roman" w:eastAsia="Times New Roman" w:cs="Times New Roman"/>
                <w:b w:val="0"/>
                <w:i w:val="0"/>
                <w:sz w:val="24"/>
              </w:rPr>
              <w:t>Người liên hệ về tuân thủ (tên, điện thoại, email)</w:t>
            </w:r>
          </w:p>
        </w:tc>
        <w:tc>
          <w:tcPr>
            <w:tcW w:type="dxa" w:w="4615"/>
          </w:tcPr>
          <w:p>
            <w:pPr>
              <w:spacing w:after="60" w:before="60"/>
            </w:pPr>
            <w:r>
              <w:rPr>
                <w:rFonts w:ascii="Times New Roman" w:hAnsi="Times New Roman" w:eastAsia="Times New Roman" w:cs="Times New Roman"/>
                <w:b w:val="0"/>
                <w:i w:val="0"/>
                <w:sz w:val="24"/>
              </w:rPr>
            </w:r>
          </w:p>
        </w:tc>
      </w:tr>
    </w:tbl>
    <w:p>
      <w:pPr>
        <w:spacing w:before="120" w:after="100" w:line="300" w:lineRule="auto"/>
        <w:jc w:val="both"/>
      </w:pPr>
      <w:r>
        <w:rPr>
          <w:rFonts w:ascii="Times New Roman" w:hAnsi="Times New Roman" w:eastAsia="Times New Roman" w:cs="Times New Roman"/>
          <w:b w:val="0"/>
          <w:i w:val="0"/>
          <w:sz w:val="24"/>
        </w:rPr>
        <w:t>Chúng tôi xác nhận đã nhận, đọc và cam kết:</w:t>
      </w:r>
    </w:p>
    <w:p>
      <w:pPr>
        <w:spacing w:after="100" w:line="300" w:lineRule="auto"/>
        <w:ind w:left="360"/>
        <w:jc w:val="both"/>
      </w:pPr>
      <w:r>
        <w:rPr>
          <w:rFonts w:ascii="Times New Roman" w:hAnsi="Times New Roman" w:eastAsia="Times New Roman" w:cs="Times New Roman"/>
          <w:b w:val="0"/>
          <w:i w:val="0"/>
          <w:sz w:val="24"/>
        </w:rPr>
        <w:t xml:space="preserve">1. </w:t>
      </w:r>
      <w:r>
        <w:rPr>
          <w:rFonts w:ascii="Times New Roman" w:hAnsi="Times New Roman" w:eastAsia="Times New Roman" w:cs="Times New Roman"/>
          <w:b w:val="0"/>
          <w:i w:val="0"/>
          <w:sz w:val="24"/>
        </w:rPr>
        <w:t>Tuân thủ Bộ quy tắc ứng xử nhà cung cấp SVWS-POL-03 và Chính sách SVWS-POL-02.</w:t>
      </w:r>
    </w:p>
    <w:p>
      <w:pPr>
        <w:spacing w:after="100" w:line="300" w:lineRule="auto"/>
        <w:ind w:left="360"/>
        <w:jc w:val="both"/>
      </w:pPr>
      <w:r>
        <w:rPr>
          <w:rFonts w:ascii="Times New Roman" w:hAnsi="Times New Roman" w:eastAsia="Times New Roman" w:cs="Times New Roman"/>
          <w:b w:val="0"/>
          <w:i w:val="0"/>
          <w:sz w:val="24"/>
        </w:rPr>
        <w:t xml:space="preserve">2. </w:t>
      </w:r>
      <w:r>
        <w:rPr>
          <w:rFonts w:ascii="Times New Roman" w:hAnsi="Times New Roman" w:eastAsia="Times New Roman" w:cs="Times New Roman"/>
          <w:b w:val="0"/>
          <w:i w:val="0"/>
          <w:sz w:val="24"/>
        </w:rPr>
        <w:t>Không sử dụng lao động trẻ em, lao động cưỡng bức; chỉ đưa người đủ 18 tuổi vào công trường của SVWS và khách hàng của SVWS.</w:t>
      </w:r>
    </w:p>
    <w:p>
      <w:pPr>
        <w:spacing w:after="100" w:line="300" w:lineRule="auto"/>
        <w:ind w:left="360"/>
        <w:jc w:val="both"/>
      </w:pPr>
      <w:r>
        <w:rPr>
          <w:rFonts w:ascii="Times New Roman" w:hAnsi="Times New Roman" w:eastAsia="Times New Roman" w:cs="Times New Roman"/>
          <w:b w:val="0"/>
          <w:i w:val="0"/>
          <w:sz w:val="24"/>
        </w:rPr>
        <w:t xml:space="preserve">3. </w:t>
      </w:r>
      <w:r>
        <w:rPr>
          <w:rFonts w:ascii="Times New Roman" w:hAnsi="Times New Roman" w:eastAsia="Times New Roman" w:cs="Times New Roman"/>
          <w:b w:val="0"/>
          <w:i w:val="0"/>
          <w:sz w:val="24"/>
        </w:rPr>
        <w:t>Trả lương không thấp hơn mức tối thiểu vùng, tuân thủ giới hạn thời giờ làm việc và đóng bảo hiểm bắt buộc.</w:t>
      </w:r>
    </w:p>
    <w:p>
      <w:pPr>
        <w:spacing w:after="100" w:line="300" w:lineRule="auto"/>
        <w:ind w:left="360"/>
        <w:jc w:val="both"/>
      </w:pPr>
      <w:r>
        <w:rPr>
          <w:rFonts w:ascii="Times New Roman" w:hAnsi="Times New Roman" w:eastAsia="Times New Roman" w:cs="Times New Roman"/>
          <w:b w:val="0"/>
          <w:i w:val="0"/>
          <w:sz w:val="24"/>
        </w:rPr>
        <w:t xml:space="preserve">4. </w:t>
      </w:r>
      <w:r>
        <w:rPr>
          <w:rFonts w:ascii="Times New Roman" w:hAnsi="Times New Roman" w:eastAsia="Times New Roman" w:cs="Times New Roman"/>
          <w:b w:val="0"/>
          <w:i w:val="0"/>
          <w:sz w:val="24"/>
        </w:rPr>
        <w:t>Không đưa, hứa hoặc nhận hối lộ, lại quả dưới bất kỳ hình thức nào.</w:t>
      </w:r>
    </w:p>
    <w:p>
      <w:pPr>
        <w:spacing w:after="100" w:line="300" w:lineRule="auto"/>
        <w:ind w:left="360"/>
        <w:jc w:val="both"/>
      </w:pPr>
      <w:r>
        <w:rPr>
          <w:rFonts w:ascii="Times New Roman" w:hAnsi="Times New Roman" w:eastAsia="Times New Roman" w:cs="Times New Roman"/>
          <w:b w:val="0"/>
          <w:i w:val="0"/>
          <w:sz w:val="24"/>
        </w:rPr>
        <w:t xml:space="preserve">5. </w:t>
      </w:r>
      <w:r>
        <w:rPr>
          <w:rFonts w:ascii="Times New Roman" w:hAnsi="Times New Roman" w:eastAsia="Times New Roman" w:cs="Times New Roman"/>
          <w:b w:val="0"/>
          <w:i w:val="0"/>
          <w:sz w:val="24"/>
        </w:rPr>
        <w:t>Truyền đạt yêu cầu tương đương xuống nhà cung cấp và thầu phụ của chúng tôi.</w:t>
      </w:r>
    </w:p>
    <w:p>
      <w:pPr>
        <w:spacing w:after="100" w:line="300" w:lineRule="auto"/>
        <w:ind w:left="360"/>
        <w:jc w:val="both"/>
      </w:pPr>
      <w:r>
        <w:rPr>
          <w:rFonts w:ascii="Times New Roman" w:hAnsi="Times New Roman" w:eastAsia="Times New Roman" w:cs="Times New Roman"/>
          <w:b w:val="0"/>
          <w:i w:val="0"/>
          <w:sz w:val="24"/>
        </w:rPr>
        <w:t xml:space="preserve">6. </w:t>
      </w:r>
      <w:r>
        <w:rPr>
          <w:rFonts w:ascii="Times New Roman" w:hAnsi="Times New Roman" w:eastAsia="Times New Roman" w:cs="Times New Roman"/>
          <w:b w:val="0"/>
          <w:i w:val="0"/>
          <w:sz w:val="24"/>
        </w:rPr>
        <w:t>Cung cấp hồ sơ và cho phép SVWS đánh giá khi được yêu cầu; thông báo cho SVWS trong 5 ngày làm việc khi phát hiện vi phạm.</w:t>
      </w: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819"/>
        <w:gridCol w:w="4819"/>
      </w:tblGrid>
      <w:tr>
        <w:tc>
          <w:tcPr>
            <w:tcW w:type="dxa" w:w="5957"/>
          </w:tcPr>
          <w:p>
            <w:pPr>
              <w:spacing w:after="60" w:before="60"/>
            </w:pPr>
            <w:r>
              <w:rPr>
                <w:rFonts w:ascii="Times New Roman" w:hAnsi="Times New Roman" w:eastAsia="Times New Roman" w:cs="Times New Roman"/>
                <w:b/>
                <w:i w:val="0"/>
                <w:sz w:val="24"/>
              </w:rPr>
              <w:t>Đại diện theo pháp luật của nhà cung cấp</w:t>
            </w:r>
          </w:p>
        </w:tc>
        <w:tc>
          <w:tcPr>
            <w:tcW w:type="dxa" w:w="3681"/>
          </w:tcPr>
          <w:p>
            <w:pPr>
              <w:spacing w:after="60" w:before="60"/>
            </w:pPr>
            <w:r>
              <w:rPr>
                <w:rFonts w:ascii="Times New Roman" w:hAnsi="Times New Roman" w:eastAsia="Times New Roman" w:cs="Times New Roman"/>
                <w:b/>
                <w:i w:val="0"/>
                <w:sz w:val="24"/>
              </w:rPr>
              <w:t>Xác nhận của SVWS</w:t>
            </w:r>
          </w:p>
        </w:tc>
      </w:tr>
      <w:tr>
        <w:trPr>
          <w:trHeight w:val="1247" w:hRule="atLeast"/>
        </w:trPr>
        <w:tc>
          <w:tcPr>
            <w:tcW w:type="dxa" w:w="5957"/>
          </w:tcPr>
          <w:p>
            <w:pPr>
              <w:spacing w:after="60" w:before="60"/>
            </w:pPr>
            <w:r>
              <w:rPr>
                <w:rFonts w:ascii="Times New Roman" w:hAnsi="Times New Roman" w:eastAsia="Times New Roman" w:cs="Times New Roman"/>
                <w:b w:val="0"/>
                <w:i w:val="0"/>
                <w:sz w:val="24"/>
              </w:rPr>
              <w:t>Ký, ghi rõ họ tên, chức vụ, đóng dấu</w:t>
            </w:r>
          </w:p>
        </w:tc>
        <w:tc>
          <w:tcPr>
            <w:tcW w:type="dxa" w:w="3681"/>
          </w:tcPr>
          <w:p>
            <w:pPr>
              <w:spacing w:after="60" w:before="60"/>
            </w:pPr>
            <w:r>
              <w:rPr>
                <w:rFonts w:ascii="Times New Roman" w:hAnsi="Times New Roman" w:eastAsia="Times New Roman" w:cs="Times New Roman"/>
                <w:b w:val="0"/>
                <w:i w:val="0"/>
                <w:sz w:val="24"/>
              </w:rPr>
              <w:t>Ký, ghi rõ họ tên</w:t>
            </w:r>
          </w:p>
        </w:tc>
      </w:tr>
      <w:tr>
        <w:tc>
          <w:tcPr>
            <w:tcW w:type="dxa" w:w="5957"/>
          </w:tcPr>
          <w:p>
            <w:pPr>
              <w:spacing w:after="60" w:before="60"/>
            </w:pPr>
            <w:r>
              <w:rPr>
                <w:rFonts w:ascii="Times New Roman" w:hAnsi="Times New Roman" w:eastAsia="Times New Roman" w:cs="Times New Roman"/>
                <w:b w:val="0"/>
                <w:i w:val="0"/>
                <w:sz w:val="24"/>
              </w:rPr>
              <w:t>Ngày: ……/……/20……</w:t>
            </w:r>
          </w:p>
        </w:tc>
        <w:tc>
          <w:tcPr>
            <w:tcW w:type="dxa" w:w="3681"/>
          </w:tcPr>
          <w:p>
            <w:pPr>
              <w:spacing w:after="60" w:before="60"/>
            </w:pPr>
            <w:r>
              <w:rPr>
                <w:rFonts w:ascii="Times New Roman" w:hAnsi="Times New Roman" w:eastAsia="Times New Roman" w:cs="Times New Roman"/>
                <w:b w:val="0"/>
                <w:i w:val="0"/>
                <w:sz w:val="24"/>
              </w:rPr>
              <w:t>Ngày: ……/……/20……</w:t>
            </w:r>
          </w:p>
        </w:tc>
      </w:tr>
    </w:tbl>
    <w:p>
      <w:pPr>
        <w:keepNext/>
        <w:spacing w:before="140" w:after="80" w:line="300" w:lineRule="auto"/>
      </w:pPr>
      <w:r>
        <w:rPr>
          <w:rFonts w:ascii="Times New Roman" w:hAnsi="Times New Roman" w:eastAsia="Times New Roman" w:cs="Times New Roman"/>
          <w:b/>
          <w:i w:val="0"/>
          <w:sz w:val="24"/>
        </w:rPr>
        <w:t>Phụ lục C – Phiếu tiếp nhận báo cáo vi phạm</w:t>
      </w: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819"/>
        <w:gridCol w:w="4819"/>
      </w:tblGrid>
      <w:tr>
        <w:tc>
          <w:tcPr>
            <w:tcW w:type="dxa" w:w="5268"/>
          </w:tcPr>
          <w:p>
            <w:pPr>
              <w:spacing w:after="60" w:before="60"/>
            </w:pPr>
            <w:r>
              <w:rPr>
                <w:rFonts w:ascii="Times New Roman" w:hAnsi="Times New Roman" w:eastAsia="Times New Roman" w:cs="Times New Roman"/>
                <w:b/>
                <w:i w:val="0"/>
                <w:sz w:val="24"/>
              </w:rPr>
              <w:t>Mục</w:t>
            </w:r>
          </w:p>
        </w:tc>
        <w:tc>
          <w:tcPr>
            <w:tcW w:type="dxa" w:w="4370"/>
          </w:tcPr>
          <w:p>
            <w:pPr>
              <w:spacing w:after="60" w:before="60"/>
            </w:pPr>
            <w:r>
              <w:rPr>
                <w:rFonts w:ascii="Times New Roman" w:hAnsi="Times New Roman" w:eastAsia="Times New Roman" w:cs="Times New Roman"/>
                <w:b/>
                <w:i w:val="0"/>
                <w:sz w:val="24"/>
              </w:rPr>
              <w:t>Nội dung</w:t>
            </w:r>
          </w:p>
        </w:tc>
      </w:tr>
      <w:tr>
        <w:trPr>
          <w:trHeight w:val="510" w:hRule="atLeast"/>
        </w:trPr>
        <w:tc>
          <w:tcPr>
            <w:tcW w:type="dxa" w:w="5268"/>
          </w:tcPr>
          <w:p>
            <w:pPr>
              <w:spacing w:after="60" w:before="60"/>
            </w:pPr>
            <w:r>
              <w:rPr>
                <w:rFonts w:ascii="Times New Roman" w:hAnsi="Times New Roman" w:eastAsia="Times New Roman" w:cs="Times New Roman"/>
                <w:b w:val="0"/>
                <w:i w:val="0"/>
                <w:sz w:val="24"/>
              </w:rPr>
              <w:t>Số phiếu / ngày nhận</w:t>
            </w:r>
          </w:p>
        </w:tc>
        <w:tc>
          <w:tcPr>
            <w:tcW w:type="dxa" w:w="4370"/>
          </w:tcPr>
          <w:p>
            <w:pPr>
              <w:spacing w:after="60" w:before="60"/>
            </w:pPr>
            <w:r>
              <w:rPr>
                <w:rFonts w:ascii="Times New Roman" w:hAnsi="Times New Roman" w:eastAsia="Times New Roman" w:cs="Times New Roman"/>
                <w:b w:val="0"/>
                <w:i w:val="0"/>
                <w:sz w:val="24"/>
              </w:rPr>
            </w:r>
          </w:p>
        </w:tc>
      </w:tr>
      <w:tr>
        <w:trPr>
          <w:trHeight w:val="510" w:hRule="atLeast"/>
        </w:trPr>
        <w:tc>
          <w:tcPr>
            <w:tcW w:type="dxa" w:w="5268"/>
          </w:tcPr>
          <w:p>
            <w:pPr>
              <w:spacing w:after="60" w:before="60"/>
            </w:pPr>
            <w:r>
              <w:rPr>
                <w:rFonts w:ascii="Times New Roman" w:hAnsi="Times New Roman" w:eastAsia="Times New Roman" w:cs="Times New Roman"/>
                <w:b w:val="0"/>
                <w:i w:val="0"/>
                <w:sz w:val="24"/>
              </w:rPr>
              <w:t>Kênh nhận (trực tiếp, email, hộp thư, khác)</w:t>
            </w:r>
          </w:p>
        </w:tc>
        <w:tc>
          <w:tcPr>
            <w:tcW w:type="dxa" w:w="4370"/>
          </w:tcPr>
          <w:p>
            <w:pPr>
              <w:spacing w:after="60" w:before="60"/>
            </w:pPr>
            <w:r>
              <w:rPr>
                <w:rFonts w:ascii="Times New Roman" w:hAnsi="Times New Roman" w:eastAsia="Times New Roman" w:cs="Times New Roman"/>
                <w:b w:val="0"/>
                <w:i w:val="0"/>
                <w:sz w:val="24"/>
              </w:rPr>
            </w:r>
          </w:p>
        </w:tc>
      </w:tr>
      <w:tr>
        <w:trPr>
          <w:trHeight w:val="510" w:hRule="atLeast"/>
        </w:trPr>
        <w:tc>
          <w:tcPr>
            <w:tcW w:type="dxa" w:w="5268"/>
          </w:tcPr>
          <w:p>
            <w:pPr>
              <w:spacing w:after="60" w:before="60"/>
            </w:pPr>
            <w:r>
              <w:rPr>
                <w:rFonts w:ascii="Times New Roman" w:hAnsi="Times New Roman" w:eastAsia="Times New Roman" w:cs="Times New Roman"/>
                <w:b w:val="0"/>
                <w:i w:val="0"/>
                <w:sz w:val="24"/>
              </w:rPr>
              <w:t>Người báo cáo (để trống nếu ẩn danh)</w:t>
            </w:r>
          </w:p>
        </w:tc>
        <w:tc>
          <w:tcPr>
            <w:tcW w:type="dxa" w:w="4370"/>
          </w:tcPr>
          <w:p>
            <w:pPr>
              <w:spacing w:after="60" w:before="60"/>
            </w:pPr>
            <w:r>
              <w:rPr>
                <w:rFonts w:ascii="Times New Roman" w:hAnsi="Times New Roman" w:eastAsia="Times New Roman" w:cs="Times New Roman"/>
                <w:b w:val="0"/>
                <w:i w:val="0"/>
                <w:sz w:val="24"/>
              </w:rPr>
            </w:r>
          </w:p>
        </w:tc>
      </w:tr>
      <w:tr>
        <w:trPr>
          <w:trHeight w:val="510" w:hRule="atLeast"/>
        </w:trPr>
        <w:tc>
          <w:tcPr>
            <w:tcW w:type="dxa" w:w="5268"/>
          </w:tcPr>
          <w:p>
            <w:pPr>
              <w:spacing w:after="60" w:before="60"/>
            </w:pPr>
            <w:r>
              <w:rPr>
                <w:rFonts w:ascii="Times New Roman" w:hAnsi="Times New Roman" w:eastAsia="Times New Roman" w:cs="Times New Roman"/>
                <w:b w:val="0"/>
                <w:i w:val="0"/>
                <w:sz w:val="24"/>
              </w:rPr>
              <w:t>Loại vi phạm (hối lộ, quấy rối, an toàn, lao động, bảo mật, khác)</w:t>
            </w:r>
          </w:p>
        </w:tc>
        <w:tc>
          <w:tcPr>
            <w:tcW w:type="dxa" w:w="4370"/>
          </w:tcPr>
          <w:p>
            <w:pPr>
              <w:spacing w:after="60" w:before="60"/>
            </w:pPr>
            <w:r>
              <w:rPr>
                <w:rFonts w:ascii="Times New Roman" w:hAnsi="Times New Roman" w:eastAsia="Times New Roman" w:cs="Times New Roman"/>
                <w:b w:val="0"/>
                <w:i w:val="0"/>
                <w:sz w:val="24"/>
              </w:rPr>
            </w:r>
          </w:p>
        </w:tc>
      </w:tr>
      <w:tr>
        <w:trPr>
          <w:trHeight w:val="1134" w:hRule="atLeast"/>
        </w:trPr>
        <w:tc>
          <w:tcPr>
            <w:tcW w:type="dxa" w:w="5268"/>
          </w:tcPr>
          <w:p>
            <w:pPr>
              <w:spacing w:after="60" w:before="60"/>
            </w:pPr>
            <w:r>
              <w:rPr>
                <w:rFonts w:ascii="Times New Roman" w:hAnsi="Times New Roman" w:eastAsia="Times New Roman" w:cs="Times New Roman"/>
                <w:b w:val="0"/>
                <w:i w:val="0"/>
                <w:sz w:val="24"/>
              </w:rPr>
              <w:t>Mô tả: ai, việc gì, khi nào, ở đâu</w:t>
            </w:r>
          </w:p>
        </w:tc>
        <w:tc>
          <w:tcPr>
            <w:tcW w:type="dxa" w:w="4370"/>
          </w:tcPr>
          <w:p>
            <w:pPr>
              <w:spacing w:after="60" w:before="60"/>
            </w:pPr>
            <w:r>
              <w:rPr>
                <w:rFonts w:ascii="Times New Roman" w:hAnsi="Times New Roman" w:eastAsia="Times New Roman" w:cs="Times New Roman"/>
                <w:b w:val="0"/>
                <w:i w:val="0"/>
                <w:sz w:val="24"/>
              </w:rPr>
            </w:r>
          </w:p>
        </w:tc>
      </w:tr>
      <w:tr>
        <w:trPr>
          <w:trHeight w:val="510" w:hRule="atLeast"/>
        </w:trPr>
        <w:tc>
          <w:tcPr>
            <w:tcW w:type="dxa" w:w="5268"/>
          </w:tcPr>
          <w:p>
            <w:pPr>
              <w:spacing w:after="60" w:before="60"/>
            </w:pPr>
            <w:r>
              <w:rPr>
                <w:rFonts w:ascii="Times New Roman" w:hAnsi="Times New Roman" w:eastAsia="Times New Roman" w:cs="Times New Roman"/>
                <w:b w:val="0"/>
                <w:i w:val="0"/>
                <w:sz w:val="24"/>
              </w:rPr>
              <w:t>Biện pháp bảo vệ tạm thời (nếu có)</w:t>
            </w:r>
          </w:p>
        </w:tc>
        <w:tc>
          <w:tcPr>
            <w:tcW w:type="dxa" w:w="4370"/>
          </w:tcPr>
          <w:p>
            <w:pPr>
              <w:spacing w:after="60" w:before="60"/>
            </w:pPr>
            <w:r>
              <w:rPr>
                <w:rFonts w:ascii="Times New Roman" w:hAnsi="Times New Roman" w:eastAsia="Times New Roman" w:cs="Times New Roman"/>
                <w:b w:val="0"/>
                <w:i w:val="0"/>
                <w:sz w:val="24"/>
              </w:rPr>
            </w:r>
          </w:p>
        </w:tc>
      </w:tr>
      <w:tr>
        <w:trPr>
          <w:trHeight w:val="510" w:hRule="atLeast"/>
        </w:trPr>
        <w:tc>
          <w:tcPr>
            <w:tcW w:type="dxa" w:w="5268"/>
          </w:tcPr>
          <w:p>
            <w:pPr>
              <w:spacing w:after="60" w:before="60"/>
            </w:pPr>
            <w:r>
              <w:rPr>
                <w:rFonts w:ascii="Times New Roman" w:hAnsi="Times New Roman" w:eastAsia="Times New Roman" w:cs="Times New Roman"/>
                <w:b w:val="0"/>
                <w:i w:val="0"/>
                <w:sz w:val="24"/>
              </w:rPr>
              <w:t>Người được giao xác minh / hạn</w:t>
            </w:r>
          </w:p>
        </w:tc>
        <w:tc>
          <w:tcPr>
            <w:tcW w:type="dxa" w:w="4370"/>
          </w:tcPr>
          <w:p>
            <w:pPr>
              <w:spacing w:after="60" w:before="60"/>
            </w:pPr>
            <w:r>
              <w:rPr>
                <w:rFonts w:ascii="Times New Roman" w:hAnsi="Times New Roman" w:eastAsia="Times New Roman" w:cs="Times New Roman"/>
                <w:b w:val="0"/>
                <w:i w:val="0"/>
                <w:sz w:val="24"/>
              </w:rPr>
            </w:r>
          </w:p>
        </w:tc>
      </w:tr>
      <w:tr>
        <w:trPr>
          <w:trHeight w:val="1134" w:hRule="atLeast"/>
        </w:trPr>
        <w:tc>
          <w:tcPr>
            <w:tcW w:type="dxa" w:w="5268"/>
          </w:tcPr>
          <w:p>
            <w:pPr>
              <w:spacing w:after="60" w:before="60"/>
            </w:pPr>
            <w:r>
              <w:rPr>
                <w:rFonts w:ascii="Times New Roman" w:hAnsi="Times New Roman" w:eastAsia="Times New Roman" w:cs="Times New Roman"/>
                <w:b w:val="0"/>
                <w:i w:val="0"/>
                <w:sz w:val="24"/>
              </w:rPr>
              <w:t>Kết luận và biện pháp xử lý</w:t>
            </w:r>
          </w:p>
        </w:tc>
        <w:tc>
          <w:tcPr>
            <w:tcW w:type="dxa" w:w="4370"/>
          </w:tcPr>
          <w:p>
            <w:pPr>
              <w:spacing w:after="60" w:before="60"/>
            </w:pPr>
            <w:r>
              <w:rPr>
                <w:rFonts w:ascii="Times New Roman" w:hAnsi="Times New Roman" w:eastAsia="Times New Roman" w:cs="Times New Roman"/>
                <w:b w:val="0"/>
                <w:i w:val="0"/>
                <w:sz w:val="24"/>
              </w:rPr>
            </w:r>
          </w:p>
        </w:tc>
      </w:tr>
      <w:tr>
        <w:trPr>
          <w:trHeight w:val="510" w:hRule="atLeast"/>
        </w:trPr>
        <w:tc>
          <w:tcPr>
            <w:tcW w:type="dxa" w:w="5268"/>
          </w:tcPr>
          <w:p>
            <w:pPr>
              <w:spacing w:after="60" w:before="60"/>
            </w:pPr>
            <w:r>
              <w:rPr>
                <w:rFonts w:ascii="Times New Roman" w:hAnsi="Times New Roman" w:eastAsia="Times New Roman" w:cs="Times New Roman"/>
                <w:b w:val="0"/>
                <w:i w:val="0"/>
                <w:sz w:val="24"/>
              </w:rPr>
              <w:t>Ngày phản hồi người báo cáo / ngày đóng hồ sơ</w:t>
            </w:r>
          </w:p>
        </w:tc>
        <w:tc>
          <w:tcPr>
            <w:tcW w:type="dxa" w:w="4370"/>
          </w:tcPr>
          <w:p>
            <w:pPr>
              <w:spacing w:after="60" w:before="60"/>
            </w:pPr>
            <w:r>
              <w:rPr>
                <w:rFonts w:ascii="Times New Roman" w:hAnsi="Times New Roman" w:eastAsia="Times New Roman" w:cs="Times New Roman"/>
                <w:b w:val="0"/>
                <w:i w:val="0"/>
                <w:sz w:val="24"/>
              </w:rPr>
            </w:r>
          </w:p>
        </w:tc>
      </w:tr>
    </w:tbl>
    <w:sectPr>
      <w:pgSz w:w="11906" w:h="16838" w:orient="portrait"/>
      <w:pgMar w:top="1134" w:right="850"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tay quy chế công ty</dc:title>
  <dc:creator>Công ty TNHH Giải pháp Kỹ thuật Sóng Việt</dc:creator>
  <cp:lastModifiedBy>Un-named</cp:lastModifiedBy>
  <cp:revision>1</cp:revision>
  <dcterms:created xsi:type="dcterms:W3CDTF">2026-07-18T03:15:27.286Z</dcterms:created>
  <dcterms:modified xsi:type="dcterms:W3CDTF">2026-07-18T03:15:27.286Z</dcterms:modified>
</cp:coreProperties>
</file>

<file path=docProps/custom.xml><?xml version="1.0" encoding="utf-8"?>
<Properties xmlns="http://schemas.openxmlformats.org/officeDocument/2006/custom-properties" xmlns:vt="http://schemas.openxmlformats.org/officeDocument/2006/docPropsVTypes"/>
</file>