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5276"/>
          <w:sz w:val="30"/>
        </w:rPr>
        <w:t>BÁO CÁO KỸ THUẬT: KHẮC PHỤC TRIỆT ĐỂ NHÓM 1</w:t>
        <w:br/>
        <w:t>TOÀN VẸN DỮ LIỆU SẢN PHẨM, NHẬP KHO NGUYÊN TỬ &amp; BẢO MẬT GOOGLE OAUTH</w:t>
        <w:br/>
        <w:t>DỰ ÁN HOÀNG BẢO COSMETICS BACKEND</w:t>
      </w:r>
    </w:p>
    <w:p>
      <w:pPr>
        <w:jc w:val="center"/>
      </w:pPr>
      <w:r>
        <w:rPr>
          <w:i/>
          <w:color w:val="646464"/>
          <w:sz w:val="20"/>
        </w:rPr>
        <w:t>Người thực hiện: Senior Tech Lead | Ngày hoàn thành: 10/10/2026 | Nhánh: main</w:t>
      </w:r>
    </w:p>
    <w:p/>
    <w:p>
      <w:pPr>
        <w:spacing w:before="240" w:after="80"/>
      </w:pPr>
      <w:r>
        <w:rPr>
          <w:b/>
          <w:color w:val="154360"/>
          <w:sz w:val="26"/>
        </w:rPr>
        <w:t>1. TỔNG QUAN VÀ MỤC TIÊU TRIỂN KHAI (EXECUTIVE SUMMARY)</w:t>
      </w:r>
    </w:p>
    <w:p>
      <w:r>
        <w:t xml:space="preserve">Tiếp nối đợt vá lỗi sống còn (C1 - C4), đợt triển khai </w:t>
      </w:r>
      <w:r>
        <w:rPr>
          <w:b/>
        </w:rPr>
        <w:t>Nhóm 1</w:t>
      </w:r>
      <w:r>
        <w:t xml:space="preserve"> tập trung xử lý toàn diện các lỗi nghiệp vụ và toàn vẹn dữ liệu quan trọng nhất của Backend: lỗi Admin không sửa được sản phẩm đã bán (H1), lỗi mất cập nhật tồn kho khi nhập hàng đồng thời với bán hàng (H2), và lỗ hổng bảo mật Confused Deputy Attack trong luồng đăng nhập Google OAuth. Toàn bộ mã nguồn đã được cập nhật chuẩn mực trên nhánh main và vượt qua 100% các bài kiểm thử tự động.</w:t>
      </w:r>
    </w:p>
    <w:tbl>
      <w:tblPr>
        <w:tblW w:type="auto" w:w="0"/>
        <w:jc w:val="center"/>
        <w:tblLook w:firstColumn="1" w:firstRow="1" w:lastColumn="0" w:lastRow="0" w:noHBand="0" w:noVBand="1" w:val="04A0"/>
      </w:tblPr>
      <w:tblGrid>
        <w:gridCol w:w="2484"/>
        <w:gridCol w:w="2484"/>
        <w:gridCol w:w="2484"/>
        <w:gridCol w:w="2484"/>
      </w:tblGrid>
      <w:tr>
        <w:tc>
          <w:tcPr>
            <w:tcW w:type="dxa" w:w="2484"/>
            <w:shd w:fill="1B4F72"/>
          </w:tcPr>
          <w:p>
            <w:r>
              <w:rPr>
                <w:b/>
                <w:color w:val="FFFFFF"/>
              </w:rPr>
              <w:t>Mã công việc</w:t>
            </w:r>
          </w:p>
        </w:tc>
        <w:tc>
          <w:tcPr>
            <w:tcW w:type="dxa" w:w="2484"/>
            <w:shd w:fill="1B4F72"/>
          </w:tcPr>
          <w:p>
            <w:r>
              <w:rPr>
                <w:b/>
                <w:color w:val="FFFFFF"/>
              </w:rPr>
              <w:t>Hạng mục nghiệp vụ</w:t>
            </w:r>
          </w:p>
        </w:tc>
        <w:tc>
          <w:tcPr>
            <w:tcW w:type="dxa" w:w="2484"/>
            <w:shd w:fill="1B4F72"/>
          </w:tcPr>
          <w:p>
            <w:r>
              <w:rPr>
                <w:b/>
                <w:color w:val="FFFFFF"/>
              </w:rPr>
              <w:t>Mức độ rủi ro</w:t>
            </w:r>
          </w:p>
        </w:tc>
        <w:tc>
          <w:tcPr>
            <w:tcW w:type="dxa" w:w="2484"/>
            <w:shd w:fill="1B4F72"/>
          </w:tcPr>
          <w:p>
            <w:r>
              <w:rPr>
                <w:b/>
                <w:color w:val="FFFFFF"/>
              </w:rPr>
              <w:t>Tình trạng</w:t>
            </w:r>
          </w:p>
        </w:tc>
      </w:tr>
      <w:tr>
        <w:tc>
          <w:tcPr>
            <w:tcW w:type="dxa" w:w="2484"/>
          </w:tcPr>
          <w:p>
            <w:pPr>
              <w:spacing w:after="40" w:before="40"/>
            </w:pPr>
            <w:r>
              <w:rPr>
                <w:b/>
              </w:rPr>
              <w:t>H1</w:t>
            </w:r>
          </w:p>
        </w:tc>
        <w:tc>
          <w:tcPr>
            <w:tcW w:type="dxa" w:w="2484"/>
          </w:tcPr>
          <w:p>
            <w:pPr>
              <w:spacing w:after="40" w:before="40"/>
            </w:pPr>
            <w:r>
              <w:t>Sửa sản phẩm in-place &amp; Soft-delete chống gãy FK</w:t>
            </w:r>
          </w:p>
        </w:tc>
        <w:tc>
          <w:tcPr>
            <w:tcW w:type="dxa" w:w="2484"/>
          </w:tcPr>
          <w:p>
            <w:pPr>
              <w:spacing w:after="40" w:before="40"/>
            </w:pPr>
            <w:r>
              <w:t>High (Integrity)</w:t>
            </w:r>
          </w:p>
        </w:tc>
        <w:tc>
          <w:tcPr>
            <w:tcW w:type="dxa" w:w="2484"/>
          </w:tcPr>
          <w:p>
            <w:pPr>
              <w:spacing w:after="40" w:before="40"/>
            </w:pPr>
            <w:r>
              <w:rPr>
                <w:b/>
              </w:rPr>
              <w:t>Hoàn thành 100%</w:t>
            </w:r>
          </w:p>
        </w:tc>
      </w:tr>
      <w:tr>
        <w:tc>
          <w:tcPr>
            <w:tcW w:type="dxa" w:w="2484"/>
          </w:tcPr>
          <w:p>
            <w:pPr>
              <w:spacing w:after="40" w:before="40"/>
            </w:pPr>
            <w:r>
              <w:rPr>
                <w:b/>
              </w:rPr>
              <w:t>H2</w:t>
            </w:r>
          </w:p>
        </w:tc>
        <w:tc>
          <w:tcPr>
            <w:tcW w:type="dxa" w:w="2484"/>
          </w:tcPr>
          <w:p>
            <w:pPr>
              <w:spacing w:after="40" w:before="40"/>
            </w:pPr>
            <w:r>
              <w:t>Tăng tồn kho &amp; giá vốn nguyên tử khi nhập kho</w:t>
            </w:r>
          </w:p>
        </w:tc>
        <w:tc>
          <w:tcPr>
            <w:tcW w:type="dxa" w:w="2484"/>
          </w:tcPr>
          <w:p>
            <w:pPr>
              <w:spacing w:after="40" w:before="40"/>
            </w:pPr>
            <w:r>
              <w:t>High (Concurrency)</w:t>
            </w:r>
          </w:p>
        </w:tc>
        <w:tc>
          <w:tcPr>
            <w:tcW w:type="dxa" w:w="2484"/>
          </w:tcPr>
          <w:p>
            <w:pPr>
              <w:spacing w:after="40" w:before="40"/>
            </w:pPr>
            <w:r>
              <w:rPr>
                <w:b/>
              </w:rPr>
              <w:t>Hoàn thành 100%</w:t>
            </w:r>
          </w:p>
        </w:tc>
      </w:tr>
      <w:tr>
        <w:tc>
          <w:tcPr>
            <w:tcW w:type="dxa" w:w="2484"/>
          </w:tcPr>
          <w:p>
            <w:pPr>
              <w:spacing w:after="40" w:before="40"/>
            </w:pPr>
            <w:r>
              <w:rPr>
                <w:b/>
              </w:rPr>
              <w:t>OAuth</w:t>
            </w:r>
          </w:p>
        </w:tc>
        <w:tc>
          <w:tcPr>
            <w:tcW w:type="dxa" w:w="2484"/>
          </w:tcPr>
          <w:p>
            <w:pPr>
              <w:spacing w:after="40" w:before="40"/>
            </w:pPr>
            <w:r>
              <w:t>Xác thực Audience Google Access Token chống Confused Deputy</w:t>
            </w:r>
          </w:p>
        </w:tc>
        <w:tc>
          <w:tcPr>
            <w:tcW w:type="dxa" w:w="2484"/>
          </w:tcPr>
          <w:p>
            <w:pPr>
              <w:spacing w:after="40" w:before="40"/>
            </w:pPr>
            <w:r>
              <w:t>High (Security)</w:t>
            </w:r>
          </w:p>
        </w:tc>
        <w:tc>
          <w:tcPr>
            <w:tcW w:type="dxa" w:w="2484"/>
          </w:tcPr>
          <w:p>
            <w:pPr>
              <w:spacing w:after="40" w:before="40"/>
            </w:pPr>
            <w:r>
              <w:rPr>
                <w:b/>
              </w:rPr>
              <w:t>Hoàn thành 100%</w:t>
            </w:r>
          </w:p>
        </w:tc>
      </w:tr>
    </w:tbl>
    <w:p/>
    <w:p>
      <w:pPr>
        <w:spacing w:before="240" w:after="80"/>
      </w:pPr>
      <w:r>
        <w:rPr>
          <w:b/>
          <w:color w:val="154360"/>
          <w:sz w:val="26"/>
        </w:rPr>
        <w:t>2. CHI TIẾT KỸ THUẬT VÀ GIẢI PHÁP ĐÃ THỰC HIỆN</w:t>
      </w:r>
    </w:p>
    <w:p>
      <w:pPr>
        <w:spacing w:before="160" w:after="40"/>
      </w:pPr>
      <w:r>
        <w:rPr>
          <w:b/>
          <w:color w:val="2874A6"/>
          <w:sz w:val="22"/>
        </w:rPr>
        <w:t>2.1. H1 - Khắc phục lỗi cập nhật và xóa sản phẩm (Product &amp; Variants)</w:t>
      </w:r>
    </w:p>
    <w:p>
      <w:pPr>
        <w:pStyle w:val="ListBullet"/>
        <w:spacing w:after="40"/>
      </w:pPr>
      <w:r>
        <w:rPr>
          <w:b/>
        </w:rPr>
        <w:t xml:space="preserve">Vị trí mã nguồn: </w:t>
      </w:r>
      <w:r>
        <w:t>ProductServiceImpl.java, ProductRepository.java, ProductVariantRequest.java</w:t>
      </w:r>
    </w:p>
    <w:p>
      <w:pPr>
        <w:pStyle w:val="ListBullet"/>
        <w:spacing w:after="40"/>
      </w:pPr>
      <w:r>
        <w:rPr>
          <w:b/>
        </w:rPr>
        <w:t xml:space="preserve">Nguyên nhân gốc rễ: </w:t>
      </w:r>
      <w:r>
        <w:t>Trước đây, updateProduct gọi product.getVariants().clear() rồi add mới các biến thể. Do Hibernate thực thi INSERT trước khi xóa DELETE orphan, việc tái sử dụng SKU gây vi phạm UNIQUE(sku). Đặc biệt, bất kỳ biến thể nào đã từng phát sinh giao dịch trong order_details, import_receipt_details hoặc inventory_logs sẽ bị Database ném ngoại lệ vi phạm khóa ngoại (Foreign Key Constraint Violation), khiến Admin hoàn toàn không thể sửa sản phẩm đã bán. Lệnh deleteProduct cũng xóa cứng (hard delete) gây lỗi tương tự.</w:t>
      </w:r>
    </w:p>
    <w:p>
      <w:pPr>
        <w:pStyle w:val="ListBullet"/>
        <w:spacing w:after="40"/>
      </w:pPr>
      <w:r>
        <w:rPr>
          <w:b/>
        </w:rPr>
        <w:t xml:space="preserve">Giải pháp chuẩn mực: </w:t>
      </w:r>
      <w:r>
        <w:t>Chi tiết giải pháp đã xử lý:</w:t>
      </w:r>
    </w:p>
    <w:p>
      <w:r>
        <w:t xml:space="preserve">   • Cập nhật in-place theo idVariant: Ánh xạ danh sách biến thể hiện có theo idVariant. Với biến thể đã tồn tại, cập nhật trực tiếp sku, capacity, price, originalPrice và giữ nguyên tồn kho thực tế cùng các kho kệ chi tiết (shelf_stock, central_stock).</w:t>
      </w:r>
    </w:p>
    <w:p>
      <w:r>
        <w:t xml:space="preserve">   • Thêm mới an toàn: Chỉ khởi tạo thực thể mới khi idVariant là null hoặc chưa tồn tại trong sản phẩm.</w:t>
      </w:r>
    </w:p>
    <w:p>
      <w:r>
        <w:t xml:space="preserve">   • Soft-delete biến thể: Những biến thể cũ bị gỡ khỏi request sẽ được đánh dấu isActive = false thay vì xóa khỏi collection, bảo toàn trọn vẹn dữ liệu lịch sử đơn hàng và sổ cái kiểm toán.</w:t>
      </w:r>
    </w:p>
    <w:p>
      <w:r>
        <w:t xml:space="preserve">   • Soft-delete sản phẩm: Chuyển deleteProduct sang thiết lập product.setIsActive(false) và tắt toàn bộ biến thể trực thuộc.</w:t>
      </w:r>
    </w:p>
    <w:p>
      <w:r>
        <w:t xml:space="preserve">   • Lọc sản phẩm hiển thị: Thêm điều kiện p.isActive = true vào ProductRepository.searchProducts và lọc active variants trong mapToResponse.</w:t>
      </w:r>
    </w:p>
    <w:p>
      <w:pPr>
        <w:spacing w:before="160" w:after="40"/>
      </w:pPr>
      <w:r>
        <w:rPr>
          <w:b/>
          <w:color w:val="2874A6"/>
          <w:sz w:val="22"/>
        </w:rPr>
        <w:t>2.2. H2 - Tăng tồn kho và giá vốn nguyên tử khi nhập kho</w:t>
      </w:r>
    </w:p>
    <w:p>
      <w:pPr>
        <w:pStyle w:val="ListBullet"/>
        <w:spacing w:after="40"/>
      </w:pPr>
      <w:r>
        <w:rPr>
          <w:b/>
        </w:rPr>
        <w:t xml:space="preserve">Vị trí mã nguồn: </w:t>
      </w:r>
      <w:r>
        <w:t>WarehouseServiceImpl.java, ProductVariantRepository.java</w:t>
      </w:r>
    </w:p>
    <w:p>
      <w:pPr>
        <w:pStyle w:val="ListBullet"/>
        <w:spacing w:after="40"/>
      </w:pPr>
      <w:r>
        <w:rPr>
          <w:b/>
        </w:rPr>
        <w:t xml:space="preserve">Nguyên nhân gốc rễ: </w:t>
      </w:r>
      <w:r>
        <w:t>Trước đây, thủ kho nhập hàng thực hiện đọc thực thể lên RAM: variant.setStockQuantity(variant.getStockQuantity() + qty) rồi save(). Đây là thao tác Read-Modify-Write không an toàn. Nếu đúng thời điểm đó, một khách hàng trên website đặt mua sản phẩm và trừ kho, thao tác ghi đè của phiếu nhập kho sẽ làm mất vĩnh viễn việc trừ kho của khách hàng, gây lệch số liệu giữa tồn kho thực tế và sổ cái biến động kho.</w:t>
      </w:r>
    </w:p>
    <w:p>
      <w:pPr>
        <w:pStyle w:val="ListBullet"/>
        <w:spacing w:after="40"/>
      </w:pPr>
      <w:r>
        <w:rPr>
          <w:b/>
        </w:rPr>
        <w:t xml:space="preserve">Giải pháp chuẩn mực: </w:t>
      </w:r>
      <w:r>
        <w:t>Chi tiết giải pháp đã xử lý:</w:t>
      </w:r>
    </w:p>
    <w:p>
      <w:r>
        <w:t xml:space="preserve">   • Bổ sung phương thức increaseStockQuantity(idVariant, qty) với câu lệnh SQL UPDATE ProductVariant v SET v.stockQuantity = v.stockQuantity + :quantity thực thi nguyên tử ở tầng Database.</w:t>
      </w:r>
    </w:p>
    <w:p>
      <w:r>
        <w:t xml:space="preserve">   • Bổ sung phương thức updateOriginalPrice(idVariant, originalPrice) để cập nhật giá vốn nhập mới nhất trực tiếp qua SQL.</w:t>
      </w:r>
    </w:p>
    <w:p>
      <w:r>
        <w:t xml:space="preserve">   • Thay thế hoàn toàn thao tác setStockQuantity + save trên RAM trong WarehouseServiceImpl bằng 2 lệnh nguyên tử này, đảm bảo giao dịch nhập kho và bán hàng đồng thời không bao giờ ghi đè lẫn nhau.</w:t>
      </w:r>
    </w:p>
    <w:p>
      <w:pPr>
        <w:spacing w:before="160" w:after="40"/>
      </w:pPr>
      <w:r>
        <w:rPr>
          <w:b/>
          <w:color w:val="2874A6"/>
          <w:sz w:val="22"/>
        </w:rPr>
        <w:t>2.3. OAuth - Xác thực Audience của Google Access Token</w:t>
      </w:r>
    </w:p>
    <w:p>
      <w:pPr>
        <w:pStyle w:val="ListBullet"/>
        <w:spacing w:after="40"/>
      </w:pPr>
      <w:r>
        <w:rPr>
          <w:b/>
        </w:rPr>
        <w:t xml:space="preserve">Vị trí mã nguồn: </w:t>
      </w:r>
      <w:r>
        <w:t>AuthServiceImpl.java</w:t>
      </w:r>
    </w:p>
    <w:p>
      <w:pPr>
        <w:pStyle w:val="ListBullet"/>
        <w:spacing w:after="40"/>
      </w:pPr>
      <w:r>
        <w:rPr>
          <w:b/>
        </w:rPr>
        <w:t xml:space="preserve">Nguyên nhân gốc rễ: </w:t>
      </w:r>
      <w:r>
        <w:t>Khi người dùng đăng nhập bằng Access Token (từ custom Google login button), hệ thống gọi trực tiếp endpoint userinfo của Google. Endpoint này chỉ xác minh token có hợp lệ với Google hay không, hoàn toàn KHÔNG kiểm tra token đó được cấp cho Client ID (ứng dụng) nào. Kẻ tấn công có thể lấy Access Token hợp lệ từ một ứng dụng bất kỳ khác của cùng người dùng để đăng nhập vào Hoàng Bảo Cosmetics (Confused Deputy Attack).</w:t>
      </w:r>
    </w:p>
    <w:p>
      <w:pPr>
        <w:pStyle w:val="ListBullet"/>
        <w:spacing w:after="40"/>
      </w:pPr>
      <w:r>
        <w:rPr>
          <w:b/>
        </w:rPr>
        <w:t xml:space="preserve">Giải pháp chuẩn mực: </w:t>
      </w:r>
      <w:r>
        <w:t>Chi tiết giải pháp đã xử lý:</w:t>
      </w:r>
    </w:p>
    <w:p>
      <w:r>
        <w:t xml:space="preserve">   • Gọi endpoint https://oauth2.googleapis.com/tokeninfo?access_token=... để kiểm tra siêu dữ liệu của token trước khi chấp thuận.</w:t>
      </w:r>
    </w:p>
    <w:p>
      <w:r>
        <w:t xml:space="preserve">   • Xác minh nghiêm ngặt: googleClientId phải khớp với trường aud (Audience) hoặc azp (Authorized Party) trong phản hồi của Google. Nếu không khớp, lập tức từ chối và ném ngoại lệ BadRequestException("Google Token không thuộc về ứng dụng này!").</w:t>
      </w:r>
    </w:p>
    <w:p>
      <w:r>
        <w:t xml:space="preserve">   • Chỉ tiến hành lấy thông tin người dùng và cấp JWT đăng nhập sau khi Audience đã được xác minh an toàn 100%.</w:t>
      </w:r>
    </w:p>
    <w:p>
      <w:pPr>
        <w:spacing w:before="240" w:after="80"/>
      </w:pPr>
      <w:r>
        <w:rPr>
          <w:b/>
          <w:color w:val="154360"/>
          <w:sz w:val="26"/>
        </w:rPr>
        <w:t>3. KẾT QUẢ KIỂM THỬ VÀ BẢO ĐẢM CHẤT LƯỢNG (TEST SUITE)</w:t>
      </w:r>
    </w:p>
    <w:p>
      <w:r>
        <w:t xml:space="preserve">Đã bổ sung bộ kiểm thử đơn vị tự động </w:t>
      </w:r>
      <w:r>
        <w:rPr>
          <w:b/>
        </w:rPr>
        <w:t>WarehouseServiceImplTest.java</w:t>
      </w:r>
      <w:r>
        <w:t xml:space="preserve"> nhằm xác nhận thao tác tăng tồn kho và cập nhật giá vốn chạy hoàn toàn nguyên tử, cùng bộ kiểm thử toàn diện đã có:</w:t>
      </w:r>
    </w:p>
    <w:p>
      <w:pPr>
        <w:pStyle w:val="ListBullet"/>
        <w:spacing w:after="40"/>
      </w:pPr>
      <w:r>
        <w:rPr>
          <w:b/>
        </w:rPr>
        <w:t xml:space="preserve">Test Kho: </w:t>
      </w:r>
      <w:r>
        <w:t>WarehouseServiceImplTest.testCreateImportReceipt_UpdatesStockAndPriceAtomically: PASS (Xác nhận increaseStockQuantity và updateOriginalPrice được gọi, không gọi save trên thực thể)</w:t>
      </w:r>
    </w:p>
    <w:p>
      <w:pPr>
        <w:pStyle w:val="ListBullet"/>
        <w:spacing w:after="40"/>
      </w:pPr>
      <w:r>
        <w:rPr>
          <w:b/>
        </w:rPr>
        <w:t xml:space="preserve">Test Thanh toán: </w:t>
      </w:r>
      <w:r>
        <w:t>PaymentServiceImplTest: 7/7 tests PASS (Fail-closed, Idempotency, Underpaid, Concurrent constraint)</w:t>
      </w:r>
    </w:p>
    <w:p>
      <w:pPr>
        <w:pStyle w:val="ListBullet"/>
        <w:spacing w:after="40"/>
      </w:pPr>
      <w:r>
        <w:rPr>
          <w:b/>
        </w:rPr>
        <w:t xml:space="preserve">Test Auth &amp; Security: </w:t>
      </w:r>
      <w:r>
        <w:t>AuthControllerTest &amp; GlobalExceptionHandlerTest &amp; JwtUtilsTest: 14/14 tests PASS</w:t>
      </w:r>
    </w:p>
    <w:p>
      <w:r>
        <w:t>Kết quả chạy toàn bộ kiểm thử hệ thống qua Maven: [INFO] Tests run: 22, Failures: 0, Errors: 0, Skipped: 1 -&gt; BUILD SUCCESS (7.36s).</w:t>
      </w:r>
    </w:p>
    <w:p>
      <w:pPr>
        <w:spacing w:before="240" w:after="80"/>
      </w:pPr>
      <w:r>
        <w:rPr>
          <w:b/>
          <w:color w:val="154360"/>
          <w:sz w:val="26"/>
        </w:rPr>
        <w:t>4. KẾT LUẬN &amp; ĐÁNH GIÁ SẴN SÀNG</w:t>
      </w:r>
    </w:p>
    <w:p>
      <w:r>
        <w:t>Toàn bộ các yêu cầu của Nhóm 1 đã được hoàn thành trọn vẹn, giải quyết dứt điểm các lỗi tiềm ẩn về toàn vẹn dữ liệu sản phẩm, chống mất dữ liệu khi nhập kho đồng thời, và bảo mật tuyệt đối luồng OAuth Google. Hệ thống đã sẵn sàng cho các bước tối ưu hóa hiệu năng và mở rộng tiếp theo.</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