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line="259" w:lineRule="auto"/>
        <w:jc w:val="center"/>
      </w:pPr>
      <w:r>
        <w:rPr>
          <w:b/>
        </w:rPr>
        <w:t>Bài 4 - Redis + ARQ + Worker</w:t>
      </w:r>
    </w:p>
    <w:p>
      <w:pPr>
        <w:spacing w:line="259" w:lineRule="auto"/>
        <w:jc w:val="center"/>
      </w:pPr>
      <w:r>
        <w:rPr>
          <w:i/>
          <w:sz w:val="21"/>
        </w:rPr>
        <w:t>Đánh giá kiến trúc, ưu điểm, nhược điểm và phạm vi áp dụng</w:t>
      </w:r>
    </w:p>
    <w:p>
      <w:pPr>
        <w:spacing w:line="259" w:lineRule="auto"/>
      </w:pPr>
    </w:p>
    <w:p>
      <w:pPr>
        <w:pStyle w:val="Heading1"/>
        <w:spacing w:line="259" w:lineRule="auto"/>
      </w:pPr>
      <w:r>
        <w:t>1. Kiến trúc của bài</w:t>
      </w:r>
    </w:p>
    <w:p>
      <w:pPr>
        <w:spacing w:line="259" w:lineRule="auto"/>
      </w:pPr>
      <w:r>
        <w:t>Producer kết nối Redis và enqueue các job bằng ARQ. Một ARQ worker chạy ở process riêng, đọc job từ Redis và gọi hàm worker tương ứng. Đây là bước chuyển từ in-memory queue sang external broker.</w:t>
      </w:r>
    </w:p>
    <w:p>
      <w:pPr>
        <w:spacing w:before="80" w:after="160" w:line="259" w:lineRule="auto"/>
        <w:ind w:left="648" w:right="648"/>
      </w:pPr>
      <w:r>
        <w:rPr>
          <w:rFonts w:ascii="Consolas" w:hAnsi="Consolas"/>
          <w:sz w:val="20"/>
        </w:rPr>
        <w:t>Producer script</w:t>
        <w:br/>
        <w:t xml:space="preserve">    ↓ enqueue_job()</w:t>
        <w:br/>
        <w:t>Redis</w:t>
        <w:br/>
        <w:t xml:space="preserve">    ↓ ARQ lấy job</w:t>
        <w:br/>
        <w:t>ARQ Worker process</w:t>
        <w:br/>
        <w:t xml:space="preserve">    ↓</w:t>
        <w:br/>
        <w:t>worker(ctx, text)</w:t>
        <w:br/>
        <w:t xml:space="preserve">    ↓</w:t>
        <w:br/>
        <w:t>Business logic</w:t>
      </w:r>
    </w:p>
    <w:p>
      <w:pPr>
        <w:pStyle w:val="Heading1"/>
        <w:spacing w:line="259" w:lineRule="auto"/>
      </w:pPr>
      <w:r>
        <w:t>2. Ưu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Ưu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Ý nghĩa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Tách producer và consumer thành process riêng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Producer có thể kết thúc mà worker vẫn tiếp tục xử lý job đã enqueue.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là hệ thống trung gian dùng chung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Nhiều process/máy có thể kết nối tới cùng Redis.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Scale worker độc lập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tăng số worker mà không phải tăng API server.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job abstraction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ARQ quản lý enqueue, job function, timeout/retry tốt hơn tự viết queue.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Phù hợp task dài hơn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Web/API không phải trực tiếp giữ task trong event loop của chính nó.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Kiến trúc gần production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Producer → broker → consumer là mẫu rất phổ biến.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3. Nhược điểm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Nhược điểm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Hệ quả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Thêm Redis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Cần cài đặt, vận hành, giám sát và cấu hình Redis.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Nhiều thành phần hơn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Debug phải kiểm tra producer, Redis và worker riêng.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Serialization/contract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Arguments của job phải phù hợp cách ARQ serialize; thay đổi function signature cần quản lý.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Thứ tự xử lý không nên coi là cam kết tuyệt đối trong mọi cấu hình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Concurrency, retry, scheduling hoặc nhiều worker có thể làm thứ tự hoàn thành khác thứ tự enqueue.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Cần thiết kế idempotency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Retry hoặc lỗi mạng có thể khiến logic cần an toàn khi chạy lại.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vẫn là dependency quan trọng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Redis down có thể khiến enqueue/consume bị gián đoạn.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4. Cải thiện so với Bài 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3: asyncio.Queue</w:t>
            </w:r>
          </w:p>
        </w:tc>
        <w:tc>
          <w:tcPr>
            <w:tcW w:type="dxa" w:w="5040"/>
            <w:shd w:fill="D9EAF7"/>
            <w:vAlign w:val="center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rPr>
                <w:b/>
              </w:rPr>
              <w:t>Bài 4: Redis + ARQ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 trong RAM của app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Queue/broker nằm ngoài process.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Restart app làm mất queue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Job có thể tồn tại độc lập hơn khỏi producer process, tùy cấu hình/persistence Redis.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 cùng process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Worker process riêng.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Khó scale qua nhiều máy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Có thể scale consumer kết nối cùng Redis.</w:t>
            </w:r>
          </w:p>
        </w:tc>
      </w:tr>
      <w:tr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Retry/job tooling tự xây</w:t>
            </w:r>
          </w:p>
        </w:tc>
        <w:tc>
          <w:tcPr>
            <w:tcW w:type="dxa" w:w="5040"/>
            <w:vAlign w:val="top"/>
            <w:tcMar>
              <w:top w:w="100" w:type="dxa"/>
              <w:start w:w="100" w:type="dxa"/>
              <w:bottom w:w="100" w:type="dxa"/>
              <w:end w:w="100" w:type="dxa"/>
            </w:tcMar>
          </w:tcPr>
          <w:p>
            <w:r>
              <w:t>ARQ cung cấp job framework.</w:t>
            </w:r>
          </w:p>
        </w:tc>
      </w:tr>
    </w:tbl>
    <w:p>
      <w:pPr>
        <w:spacing w:line="259" w:lineRule="auto"/>
      </w:pPr>
    </w:p>
    <w:p>
      <w:pPr>
        <w:pStyle w:val="Heading1"/>
        <w:spacing w:line="259" w:lineRule="auto"/>
      </w:pPr>
      <w:r>
        <w:t>5. Kiến thức production cần bổ sung</w:t>
      </w:r>
    </w:p>
    <w:p>
      <w:pPr>
        <w:pStyle w:val="ListBullet"/>
        <w:spacing w:after="60" w:line="259" w:lineRule="auto"/>
      </w:pPr>
      <w:r>
        <w:t>Redis persistence (RDB/AOF) nếu yêu cầu độ bền cao hơn.</w:t>
      </w:r>
    </w:p>
    <w:p>
      <w:pPr>
        <w:pStyle w:val="ListBullet"/>
        <w:spacing w:after="60" w:line="259" w:lineRule="auto"/>
      </w:pPr>
      <w:r>
        <w:t>Retry policy và phân loại lỗi retryable/non-retryable.</w:t>
      </w:r>
    </w:p>
    <w:p>
      <w:pPr>
        <w:pStyle w:val="ListBullet"/>
        <w:spacing w:after="60" w:line="259" w:lineRule="auto"/>
      </w:pPr>
      <w:r>
        <w:t>Idempotency để task chạy lại không gây tác dụng phụ sai.</w:t>
      </w:r>
    </w:p>
    <w:p>
      <w:pPr>
        <w:pStyle w:val="ListBullet"/>
        <w:spacing w:after="60" w:line="259" w:lineRule="auto"/>
      </w:pPr>
      <w:r>
        <w:t>Timeout, max_jobs, worker concurrency và resource limits.</w:t>
      </w:r>
    </w:p>
    <w:p>
      <w:pPr>
        <w:pStyle w:val="ListBullet"/>
        <w:spacing w:after="60" w:line="259" w:lineRule="auto"/>
      </w:pPr>
      <w:r>
        <w:t>Monitoring queue depth, latency, failed jobs và worker health.</w:t>
      </w:r>
    </w:p>
    <w:p>
      <w:pPr>
        <w:pStyle w:val="Heading1"/>
        <w:spacing w:line="259" w:lineRule="auto"/>
      </w:pPr>
      <w:r>
        <w:t>6. Khi nào nên dùng?</w:t>
      </w:r>
    </w:p>
    <w:p>
      <w:pPr>
        <w:pStyle w:val="ListBullet"/>
        <w:spacing w:after="60" w:line="259" w:lineRule="auto"/>
      </w:pPr>
      <w:r>
        <w:t>Background jobs cần tách khỏi web process.</w:t>
      </w:r>
    </w:p>
    <w:p>
      <w:pPr>
        <w:pStyle w:val="ListBullet"/>
        <w:spacing w:after="60" w:line="259" w:lineRule="auto"/>
      </w:pPr>
      <w:r>
        <w:t>Cần nhiều worker hoặc scale theo tải xử lý.</w:t>
      </w:r>
    </w:p>
    <w:p>
      <w:pPr>
        <w:pStyle w:val="ListBullet"/>
        <w:spacing w:after="60" w:line="259" w:lineRule="auto"/>
      </w:pPr>
      <w:r>
        <w:t>Muốn retry/job queue framework nhưng vẫn giữ hệ sinh thái async Python tương đối gọn.</w:t>
      </w:r>
    </w:p>
    <w:p>
      <w:pPr>
        <w:pStyle w:val="Heading1"/>
        <w:spacing w:line="259" w:lineRule="auto"/>
      </w:pPr>
      <w:r>
        <w:t>7. Khi nào chưa cần?</w:t>
      </w:r>
    </w:p>
    <w:p>
      <w:pPr>
        <w:pStyle w:val="ListBullet"/>
        <w:spacing w:after="60" w:line="259" w:lineRule="auto"/>
      </w:pPr>
      <w:r>
        <w:t>Ứng dụng rất nhỏ, task chỉ vài mili-giây.</w:t>
      </w:r>
    </w:p>
    <w:p>
      <w:pPr>
        <w:pStyle w:val="ListBullet"/>
        <w:spacing w:after="60" w:line="259" w:lineRule="auto"/>
      </w:pPr>
      <w:r>
        <w:t>Không muốn thêm dependency vận hành Redis.</w:t>
      </w:r>
    </w:p>
    <w:p>
      <w:pPr>
        <w:pStyle w:val="ListBullet"/>
        <w:spacing w:after="60" w:line="259" w:lineRule="auto"/>
      </w:pPr>
      <w:r>
        <w:t>Task không quan trọng và BackgroundTasks đã đủ.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2CC"/>
            <w:tcMar>
              <w:top w:w="140" w:type="dxa"/>
              <w:start w:w="140" w:type="dxa"/>
              <w:bottom w:w="140" w:type="dxa"/>
              <w:end w:w="140" w:type="dxa"/>
            </w:tcMar>
          </w:tcPr>
          <w:p>
            <w:r>
              <w:rPr>
                <w:b/>
              </w:rPr>
              <w:t>Kết luận ngắn: Bài 4 giải quyết điểm yếu lớn của queue trong RAM: broker và worker đã tách khỏi producer. Đổi lại, hệ thống phức tạp hơn và cần vận hành Redis.</w:t>
            </w:r>
          </w:p>
        </w:tc>
      </w:tr>
    </w:tbl>
    <w:p>
      <w:pPr>
        <w:spacing w:line="259" w:lineRule="auto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Tài liệu học tập - FastAPI / Async Worker Architecture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